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155575</wp:posOffset>
            </wp:positionH>
            <wp:positionV relativeFrom="page">
              <wp:posOffset>288290</wp:posOffset>
            </wp:positionV>
            <wp:extent cx="72510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302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387985</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6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4" w:lineRule="exact"/>
        <w:rPr>
          <w:sz w:val="24"/>
          <w:szCs w:val="24"/>
          <w:color w:val="auto"/>
        </w:rPr>
      </w:pPr>
    </w:p>
    <w:p>
      <w:pPr>
        <w:jc w:val="center"/>
        <w:ind w:left="3860" w:right="1500" w:hanging="3587"/>
        <w:spacing w:after="0" w:line="507" w:lineRule="auto"/>
        <w:tabs>
          <w:tab w:leader="none" w:pos="12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23" w:lineRule="exact"/>
        <w:rPr>
          <w:sz w:val="24"/>
          <w:szCs w:val="24"/>
          <w:color w:val="auto"/>
        </w:rPr>
      </w:pPr>
    </w:p>
    <w:p>
      <w:pPr>
        <w:jc w:val="center"/>
        <w:ind w:left="3740" w:right="1500" w:hanging="3467"/>
        <w:spacing w:after="0" w:line="513" w:lineRule="auto"/>
        <w:tabs>
          <w:tab w:leader="none" w:pos="1277"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7"/>
          <w:szCs w:val="17"/>
          <w:color w:val="auto"/>
        </w:rPr>
      </w:pPr>
    </w:p>
    <w:p>
      <w:pPr>
        <w:ind w:left="452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0-1665</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KINGSTONE COMPANIES,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420"/>
          </w:cols>
          <w:pgMar w:left="240" w:top="910" w:right="239" w:bottom="1440" w:gutter="0" w:footer="0" w:header="0"/>
        </w:sectPr>
      </w:pPr>
    </w:p>
    <w:p>
      <w:pPr>
        <w:spacing w:after="0" w:line="205" w:lineRule="exact"/>
        <w:rPr>
          <w:sz w:val="24"/>
          <w:szCs w:val="24"/>
          <w:color w:val="auto"/>
        </w:rPr>
      </w:pPr>
    </w:p>
    <w:p>
      <w:pPr>
        <w:jc w:val="center"/>
        <w:ind w:right="152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152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36-2476480</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660" w:space="720"/>
            <w:col w:w="4040"/>
          </w:cols>
          <w:pgMar w:left="240" w:top="910"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15 Joys Lane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Kingston, NY 12401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910" w:right="239" w:bottom="1440" w:gutter="0" w:footer="0" w:header="0"/>
          <w:type w:val="continuous"/>
        </w:sect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802-7900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51"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ind w:right="12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ind w:right="20"/>
        <w:spacing w:after="0" w:line="28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00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3400" w:type="dxa"/>
            <w:vAlign w:val="bottom"/>
          </w:tcPr>
          <w:p>
            <w:pPr>
              <w:ind w:left="980"/>
              <w:spacing w:after="0"/>
              <w:rPr>
                <w:sz w:val="20"/>
                <w:szCs w:val="20"/>
                <w:color w:val="auto"/>
              </w:rPr>
            </w:pPr>
            <w:r>
              <w:rPr>
                <w:rFonts w:ascii="Arial" w:cs="Arial" w:eastAsia="Arial" w:hAnsi="Arial"/>
                <w:sz w:val="17"/>
                <w:szCs w:val="17"/>
                <w:color w:val="auto"/>
              </w:rPr>
              <w:t>Accelerated filer</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5000" w:type="dxa"/>
            <w:vAlign w:val="bottom"/>
          </w:tcPr>
          <w:p>
            <w:pPr>
              <w:ind w:left="6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400" w:type="dxa"/>
            <w:vAlign w:val="bottom"/>
          </w:tcPr>
          <w:p>
            <w:pPr>
              <w:ind w:left="980"/>
              <w:spacing w:after="0"/>
              <w:rPr>
                <w:sz w:val="20"/>
                <w:szCs w:val="20"/>
                <w:color w:val="auto"/>
              </w:rPr>
            </w:pPr>
            <w:r>
              <w:rPr>
                <w:rFonts w:ascii="Arial" w:cs="Arial" w:eastAsia="Arial" w:hAnsi="Arial"/>
                <w:sz w:val="17"/>
                <w:szCs w:val="17"/>
                <w:color w:val="auto"/>
              </w:rPr>
              <w:t>Smaller reporting company</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214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3400" w:type="dxa"/>
            <w:vAlign w:val="bottom"/>
          </w:tcPr>
          <w:p>
            <w:pPr>
              <w:ind w:left="980"/>
              <w:spacing w:after="0"/>
              <w:rPr>
                <w:sz w:val="20"/>
                <w:szCs w:val="20"/>
                <w:color w:val="auto"/>
              </w:rPr>
            </w:pPr>
            <w:r>
              <w:rPr>
                <w:rFonts w:ascii="Arial" w:cs="Arial" w:eastAsia="Arial" w:hAnsi="Arial"/>
                <w:sz w:val="17"/>
                <w:szCs w:val="17"/>
                <w:color w:val="auto"/>
              </w:rPr>
              <w:t>Emerging growth company</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3" w:lineRule="exact"/>
        <w:rPr>
          <w:sz w:val="24"/>
          <w:szCs w:val="24"/>
          <w:color w:val="auto"/>
        </w:rPr>
      </w:pPr>
    </w:p>
    <w:p>
      <w:pPr>
        <w:ind w:right="240"/>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9, 2017, there were 10,626,402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7251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725106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33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537210</wp:posOffset>
            </wp:positionV>
            <wp:extent cx="7251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91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KINGSTONE COMPANIES,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PART I — FINANCIAL INFORMATION</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7"/>
                <w:szCs w:val="17"/>
                <w:color w:val="auto"/>
              </w:rPr>
              <w:t>Item 1 —</w:t>
            </w:r>
          </w:p>
        </w:tc>
        <w:tc>
          <w:tcPr>
            <w:tcW w:w="9300" w:type="dxa"/>
            <w:vAlign w:val="bottom"/>
          </w:tcPr>
          <w:p>
            <w:pPr>
              <w:ind w:left="180"/>
              <w:spacing w:after="0"/>
              <w:rPr>
                <w:sz w:val="20"/>
                <w:szCs w:val="20"/>
                <w:color w:val="auto"/>
              </w:rPr>
            </w:pPr>
            <w:r>
              <w:rPr>
                <w:rFonts w:ascii="Arial" w:cs="Arial" w:eastAsia="Arial" w:hAnsi="Arial"/>
                <w:sz w:val="17"/>
                <w:szCs w:val="17"/>
                <w:color w:val="auto"/>
              </w:rPr>
              <w:t>Financial Statements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Condensed Consolidated Balance Sheets at September 30, 2017 (Unaudited) and December 31, 2016</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300" w:type="dxa"/>
            <w:vAlign w:val="bottom"/>
          </w:tcPr>
          <w:p>
            <w:pPr>
              <w:ind w:left="180"/>
              <w:spacing w:after="0"/>
              <w:rPr>
                <w:sz w:val="20"/>
                <w:szCs w:val="20"/>
                <w:color w:val="auto"/>
              </w:rPr>
            </w:pPr>
            <w:r>
              <w:rPr>
                <w:rFonts w:ascii="Arial" w:cs="Arial" w:eastAsia="Arial" w:hAnsi="Arial"/>
                <w:sz w:val="17"/>
                <w:szCs w:val="17"/>
                <w:color w:val="auto"/>
                <w:w w:val="90"/>
              </w:rPr>
              <w:t>Condensed Consolidated Statements of Income and Comprehensive Income for the three months and nine months ended September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7"/>
                <w:szCs w:val="17"/>
                <w:color w:val="auto"/>
              </w:rPr>
              <w:t>30, 2017 (Unaudited) and 2016 (Unaudited)</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Condensed Consolidated Statement of Stockholders’ Equity for the nine months ended September 30, 2017 (Unaudited)</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300" w:type="dxa"/>
            <w:vAlign w:val="bottom"/>
          </w:tcPr>
          <w:p>
            <w:pPr>
              <w:ind w:left="180"/>
              <w:spacing w:after="0"/>
              <w:rPr>
                <w:sz w:val="20"/>
                <w:szCs w:val="20"/>
                <w:color w:val="auto"/>
              </w:rPr>
            </w:pPr>
            <w:r>
              <w:rPr>
                <w:rFonts w:ascii="Arial" w:cs="Arial" w:eastAsia="Arial" w:hAnsi="Arial"/>
                <w:sz w:val="17"/>
                <w:szCs w:val="17"/>
                <w:color w:val="auto"/>
                <w:w w:val="92"/>
              </w:rPr>
              <w:t>Condensed Consolidated Statements of Cash Flows for the three months and nine months ended September 30, 2017 (Unaudited)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300" w:type="dxa"/>
            <w:vAlign w:val="bottom"/>
          </w:tcPr>
          <w:p>
            <w:pPr>
              <w:ind w:left="180"/>
              <w:spacing w:after="0"/>
              <w:rPr>
                <w:sz w:val="20"/>
                <w:szCs w:val="20"/>
                <w:color w:val="auto"/>
              </w:rPr>
            </w:pPr>
            <w:r>
              <w:rPr>
                <w:rFonts w:ascii="Arial" w:cs="Arial" w:eastAsia="Arial" w:hAnsi="Arial"/>
                <w:sz w:val="17"/>
                <w:szCs w:val="17"/>
                <w:color w:val="auto"/>
              </w:rPr>
              <w:t>and 2016 (Unaudited)</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Notes to Condensed Consolidated Financial Statements (Unaudited)</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7"/>
                <w:szCs w:val="17"/>
                <w:color w:val="auto"/>
              </w:rPr>
              <w:t>Item 2 —</w:t>
            </w:r>
          </w:p>
        </w:tc>
        <w:tc>
          <w:tcPr>
            <w:tcW w:w="9300" w:type="dxa"/>
            <w:vAlign w:val="bottom"/>
          </w:tcPr>
          <w:p>
            <w:pPr>
              <w:ind w:left="1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Item 3 —</w:t>
            </w:r>
          </w:p>
        </w:tc>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Quantitative and Qualitative Disclosures About Market Risk</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7"/>
                <w:szCs w:val="17"/>
                <w:color w:val="auto"/>
              </w:rPr>
              <w:t>Item 4 —</w:t>
            </w:r>
          </w:p>
        </w:tc>
        <w:tc>
          <w:tcPr>
            <w:tcW w:w="9300" w:type="dxa"/>
            <w:vAlign w:val="bottom"/>
          </w:tcPr>
          <w:p>
            <w:pPr>
              <w:ind w:left="180"/>
              <w:spacing w:after="0"/>
              <w:rPr>
                <w:sz w:val="20"/>
                <w:szCs w:val="20"/>
                <w:color w:val="auto"/>
              </w:rPr>
            </w:pPr>
            <w:r>
              <w:rPr>
                <w:rFonts w:ascii="Arial" w:cs="Arial" w:eastAsia="Arial" w:hAnsi="Arial"/>
                <w:sz w:val="17"/>
                <w:szCs w:val="17"/>
                <w:color w:val="auto"/>
              </w:rPr>
              <w:t>Controls and Procedures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3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7"/>
                <w:szCs w:val="17"/>
                <w:b w:val="1"/>
                <w:bCs w:val="1"/>
                <w:color w:val="auto"/>
              </w:rPr>
              <w:t>PART II — OTHER INFORMATION</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Item 1 —</w:t>
            </w:r>
          </w:p>
        </w:tc>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Legal Proceedings</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7"/>
                <w:szCs w:val="17"/>
                <w:color w:val="auto"/>
              </w:rPr>
              <w:t>Item 1A —</w:t>
            </w:r>
          </w:p>
        </w:tc>
        <w:tc>
          <w:tcPr>
            <w:tcW w:w="9300" w:type="dxa"/>
            <w:vAlign w:val="bottom"/>
          </w:tcPr>
          <w:p>
            <w:pPr>
              <w:ind w:left="180"/>
              <w:spacing w:after="0"/>
              <w:rPr>
                <w:sz w:val="20"/>
                <w:szCs w:val="20"/>
                <w:color w:val="auto"/>
              </w:rPr>
            </w:pPr>
            <w:r>
              <w:rPr>
                <w:rFonts w:ascii="Arial" w:cs="Arial" w:eastAsia="Arial" w:hAnsi="Arial"/>
                <w:sz w:val="17"/>
                <w:szCs w:val="17"/>
                <w:color w:val="auto"/>
              </w:rPr>
              <w:t>Risk Factors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Item 2 —</w:t>
            </w:r>
          </w:p>
        </w:tc>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Unregistered Sales of Equity Securities and Use of Proceeds</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7"/>
                <w:szCs w:val="17"/>
                <w:color w:val="auto"/>
              </w:rPr>
              <w:t>Item 3 —</w:t>
            </w:r>
          </w:p>
        </w:tc>
        <w:tc>
          <w:tcPr>
            <w:tcW w:w="9300" w:type="dxa"/>
            <w:vAlign w:val="bottom"/>
          </w:tcPr>
          <w:p>
            <w:pPr>
              <w:ind w:left="180"/>
              <w:spacing w:after="0"/>
              <w:rPr>
                <w:sz w:val="20"/>
                <w:szCs w:val="20"/>
                <w:color w:val="auto"/>
              </w:rPr>
            </w:pPr>
            <w:r>
              <w:rPr>
                <w:rFonts w:ascii="Arial" w:cs="Arial" w:eastAsia="Arial" w:hAnsi="Arial"/>
                <w:sz w:val="17"/>
                <w:szCs w:val="17"/>
                <w:color w:val="auto"/>
              </w:rPr>
              <w:t>Defaults Upon Senior Securities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Item 4 —</w:t>
            </w:r>
          </w:p>
        </w:tc>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Mine Safety Disclosures</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7"/>
                <w:szCs w:val="17"/>
                <w:color w:val="auto"/>
              </w:rPr>
              <w:t>Item 5 —</w:t>
            </w:r>
          </w:p>
        </w:tc>
        <w:tc>
          <w:tcPr>
            <w:tcW w:w="9300" w:type="dxa"/>
            <w:vAlign w:val="bottom"/>
          </w:tcPr>
          <w:p>
            <w:pPr>
              <w:ind w:left="180"/>
              <w:spacing w:after="0"/>
              <w:rPr>
                <w:sz w:val="20"/>
                <w:szCs w:val="20"/>
                <w:color w:val="auto"/>
              </w:rPr>
            </w:pPr>
            <w:r>
              <w:rPr>
                <w:rFonts w:ascii="Arial" w:cs="Arial" w:eastAsia="Arial" w:hAnsi="Arial"/>
                <w:sz w:val="17"/>
                <w:szCs w:val="17"/>
                <w:color w:val="auto"/>
              </w:rPr>
              <w:t>Other Information</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Item 6 —</w:t>
            </w:r>
          </w:p>
        </w:tc>
        <w:tc>
          <w:tcPr>
            <w:tcW w:w="9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Exhibits</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Signatures</w:t>
            </w:r>
          </w:p>
        </w:tc>
        <w:tc>
          <w:tcPr>
            <w:tcW w:w="93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EXHIBIT 3(a)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3(b)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31(a)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31(b)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101.INS XBRL Instance Document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101.SCH XBRL Taxonomy Extension Schema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101.CAL XBRL Taxonomy Extension Calculation Linkbase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101.DEF XBRL Taxonomy Extension Definition Linkbase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101.LAB XBRL Taxonomy Extension Label Linkbase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51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15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2016 under “Factors That May Affect Future Results and Financial Condition.”</w:t>
      </w:r>
    </w:p>
    <w:p>
      <w:pPr>
        <w:spacing w:after="0" w:line="99"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 xml:space="preserve">PART I. </w:t>
      </w:r>
      <w:r>
        <w:rPr>
          <w:rFonts w:ascii="Arial" w:cs="Arial" w:eastAsia="Arial" w:hAnsi="Arial"/>
          <w:sz w:val="17"/>
          <w:szCs w:val="17"/>
          <w:b w:val="1"/>
          <w:bCs w:val="1"/>
          <w:u w:val="single" w:color="auto"/>
          <w:color w:val="auto"/>
        </w:rPr>
        <w:t>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61" w:lineRule="exact"/>
        <w:rPr>
          <w:sz w:val="20"/>
          <w:szCs w:val="20"/>
          <w:color w:val="auto"/>
        </w:rPr>
      </w:pPr>
    </w:p>
    <w:p>
      <w:pPr>
        <w:ind w:left="8920"/>
        <w:spacing w:after="0"/>
        <w:tabs>
          <w:tab w:leader="none" w:pos="1028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48" w:lineRule="exact"/>
        <w:rPr>
          <w:sz w:val="20"/>
          <w:szCs w:val="20"/>
          <w:color w:val="auto"/>
        </w:rPr>
      </w:pPr>
    </w:p>
    <w:p>
      <w:pPr>
        <w:ind w:left="9240"/>
        <w:spacing w:after="0"/>
        <w:tabs>
          <w:tab w:leader="none" w:pos="105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2510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4" w:lineRule="exact"/>
        <w:rPr>
          <w:sz w:val="20"/>
          <w:szCs w:val="20"/>
          <w:color w:val="auto"/>
        </w:rPr>
      </w:pPr>
    </w:p>
    <w:p>
      <w:pPr>
        <w:ind w:left="360" w:right="2720" w:hanging="156"/>
        <w:spacing w:after="0" w:line="291" w:lineRule="auto"/>
        <w:rPr>
          <w:sz w:val="20"/>
          <w:szCs w:val="20"/>
          <w:color w:val="auto"/>
        </w:rPr>
      </w:pPr>
      <w:r>
        <w:rPr>
          <w:rFonts w:ascii="Arial" w:cs="Arial" w:eastAsia="Arial" w:hAnsi="Arial"/>
          <w:sz w:val="15"/>
          <w:szCs w:val="15"/>
          <w:color w:val="auto"/>
        </w:rPr>
        <w:t>Fixed-maturity securities, held-to-maturity, at amortized cost (fair value of $5,181,159 at September 30, 2017 and $5,298,119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1065" cy="132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Fixed-maturity securities, available-for-sale, at fair value (amortized cost of</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$110,315,798 at September 30, 2017 and $80,596,628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1065"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7" w:lineRule="exact"/>
        <w:rPr>
          <w:sz w:val="20"/>
          <w:szCs w:val="20"/>
          <w:color w:val="auto"/>
        </w:rPr>
      </w:pPr>
    </w:p>
    <w:p>
      <w:pPr>
        <w:ind w:left="360" w:right="3140" w:hanging="156"/>
        <w:spacing w:after="0" w:line="305" w:lineRule="auto"/>
        <w:rPr>
          <w:sz w:val="20"/>
          <w:szCs w:val="20"/>
          <w:color w:val="auto"/>
        </w:rPr>
      </w:pPr>
      <w:r>
        <w:rPr>
          <w:rFonts w:ascii="Arial" w:cs="Arial" w:eastAsia="Arial" w:hAnsi="Arial"/>
          <w:sz w:val="15"/>
          <w:szCs w:val="15"/>
          <w:color w:val="auto"/>
        </w:rPr>
        <w:t>Equity securities, available-for-sale, at fair value (cost of $12,706,538 at September 30, 2017 and $9,709,385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1065" cy="149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Total investments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Premiums receivable,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Reinsurance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Deferred policy acquisition costs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Property and equipment,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49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assets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15" w:lineRule="exact"/>
        <w:rPr>
          <w:sz w:val="20"/>
          <w:szCs w:val="20"/>
          <w:color w:val="auto"/>
        </w:rPr>
      </w:pPr>
    </w:p>
    <w:p>
      <w:pPr>
        <w:jc w:val="both"/>
        <w:spacing w:after="0"/>
        <w:tabs>
          <w:tab w:leader="none" w:pos="400" w:val="left"/>
          <w:tab w:leader="none" w:pos="1360" w:val="left"/>
          <w:tab w:leader="none" w:pos="17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4,846,349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5,094,902</w:t>
      </w:r>
    </w:p>
    <w:p>
      <w:pPr>
        <w:spacing w:after="0" w:line="223" w:lineRule="exact"/>
        <w:rPr>
          <w:sz w:val="20"/>
          <w:szCs w:val="20"/>
          <w:color w:val="auto"/>
        </w:rPr>
      </w:pPr>
    </w:p>
    <w:p>
      <w:pPr>
        <w:jc w:val="both"/>
        <w:ind w:left="260"/>
        <w:spacing w:after="0"/>
        <w:tabs>
          <w:tab w:leader="none" w:pos="1680" w:val="left"/>
        </w:tabs>
        <w:rPr>
          <w:sz w:val="20"/>
          <w:szCs w:val="20"/>
          <w:color w:val="auto"/>
        </w:rPr>
      </w:pPr>
      <w:r>
        <w:rPr>
          <w:rFonts w:ascii="Arial" w:cs="Arial" w:eastAsia="Arial" w:hAnsi="Arial"/>
          <w:sz w:val="17"/>
          <w:szCs w:val="17"/>
          <w:color w:val="auto"/>
        </w:rPr>
        <w:t>111,789,752</w:t>
      </w:r>
      <w:r>
        <w:rPr>
          <w:sz w:val="20"/>
          <w:szCs w:val="20"/>
          <w:color w:val="auto"/>
        </w:rPr>
        <w:tab/>
      </w:r>
      <w:r>
        <w:rPr>
          <w:rFonts w:ascii="Arial" w:cs="Arial" w:eastAsia="Arial" w:hAnsi="Arial"/>
          <w:sz w:val="17"/>
          <w:szCs w:val="17"/>
          <w:color w:val="auto"/>
        </w:rPr>
        <w:t>80,428,828</w:t>
      </w:r>
    </w:p>
    <w:p>
      <w:pPr>
        <w:spacing w:after="0" w:line="223" w:lineRule="exact"/>
        <w:rPr>
          <w:sz w:val="20"/>
          <w:szCs w:val="20"/>
          <w:color w:val="auto"/>
        </w:rPr>
      </w:pPr>
    </w:p>
    <w:p>
      <w:pPr>
        <w:jc w:val="both"/>
        <w:ind w:left="340"/>
        <w:spacing w:after="0"/>
        <w:tabs>
          <w:tab w:leader="none" w:pos="1760" w:val="left"/>
        </w:tabs>
        <w:rPr>
          <w:sz w:val="20"/>
          <w:szCs w:val="20"/>
          <w:color w:val="auto"/>
        </w:rPr>
      </w:pPr>
      <w:r>
        <w:rPr>
          <w:rFonts w:ascii="Arial" w:cs="Arial" w:eastAsia="Arial" w:hAnsi="Arial"/>
          <w:sz w:val="17"/>
          <w:szCs w:val="17"/>
          <w:color w:val="auto"/>
        </w:rPr>
        <w:t>13,221,116</w:t>
      </w:r>
      <w:r>
        <w:rPr>
          <w:sz w:val="20"/>
          <w:szCs w:val="20"/>
          <w:color w:val="auto"/>
        </w:rPr>
        <w:tab/>
      </w:r>
      <w:r>
        <w:rPr>
          <w:rFonts w:ascii="Arial" w:cs="Arial" w:eastAsia="Arial" w:hAnsi="Arial"/>
          <w:sz w:val="17"/>
          <w:szCs w:val="17"/>
          <w:color w:val="auto"/>
        </w:rPr>
        <w:t>9,987,686</w:t>
      </w:r>
    </w:p>
    <w:p>
      <w:pPr>
        <w:spacing w:after="0" w:line="40" w:lineRule="exact"/>
        <w:rPr>
          <w:sz w:val="20"/>
          <w:szCs w:val="20"/>
          <w:color w:val="auto"/>
        </w:rPr>
      </w:pPr>
    </w:p>
    <w:p>
      <w:pPr>
        <w:jc w:val="both"/>
        <w:ind w:left="260"/>
        <w:spacing w:after="0"/>
        <w:tabs>
          <w:tab w:leader="none" w:pos="1680" w:val="left"/>
        </w:tabs>
        <w:rPr>
          <w:sz w:val="20"/>
          <w:szCs w:val="20"/>
          <w:color w:val="auto"/>
        </w:rPr>
      </w:pPr>
      <w:r>
        <w:rPr>
          <w:rFonts w:ascii="Arial" w:cs="Arial" w:eastAsia="Arial" w:hAnsi="Arial"/>
          <w:sz w:val="17"/>
          <w:szCs w:val="17"/>
          <w:color w:val="auto"/>
        </w:rPr>
        <w:t>129,857,217</w:t>
      </w:r>
      <w:r>
        <w:rPr>
          <w:sz w:val="20"/>
          <w:szCs w:val="20"/>
          <w:color w:val="auto"/>
        </w:rPr>
        <w:tab/>
      </w:r>
      <w:r>
        <w:rPr>
          <w:rFonts w:ascii="Arial" w:cs="Arial" w:eastAsia="Arial" w:hAnsi="Arial"/>
          <w:sz w:val="17"/>
          <w:szCs w:val="17"/>
          <w:color w:val="auto"/>
        </w:rPr>
        <w:t>95,511,416</w:t>
      </w:r>
    </w:p>
    <w:p>
      <w:pPr>
        <w:spacing w:after="0" w:line="20"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25,880,306</w:t>
      </w:r>
      <w:r>
        <w:rPr>
          <w:sz w:val="20"/>
          <w:szCs w:val="20"/>
          <w:color w:val="auto"/>
        </w:rPr>
        <w:tab/>
      </w:r>
      <w:r>
        <w:rPr>
          <w:rFonts w:ascii="Arial" w:cs="Arial" w:eastAsia="Arial" w:hAnsi="Arial"/>
          <w:sz w:val="17"/>
          <w:szCs w:val="17"/>
          <w:color w:val="auto"/>
        </w:rPr>
        <w:t>12,044,520</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13,394,800</w:t>
      </w:r>
      <w:r>
        <w:rPr>
          <w:sz w:val="20"/>
          <w:szCs w:val="20"/>
          <w:color w:val="auto"/>
        </w:rPr>
        <w:tab/>
      </w:r>
      <w:r>
        <w:rPr>
          <w:rFonts w:ascii="Arial" w:cs="Arial" w:eastAsia="Arial" w:hAnsi="Arial"/>
          <w:sz w:val="17"/>
          <w:szCs w:val="17"/>
          <w:color w:val="auto"/>
        </w:rPr>
        <w:t>11,649,398</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24,971,272</w:t>
      </w:r>
      <w:r>
        <w:rPr>
          <w:sz w:val="20"/>
          <w:szCs w:val="20"/>
          <w:color w:val="auto"/>
        </w:rPr>
        <w:tab/>
      </w:r>
      <w:r>
        <w:rPr>
          <w:rFonts w:ascii="Arial" w:cs="Arial" w:eastAsia="Arial" w:hAnsi="Arial"/>
          <w:sz w:val="17"/>
          <w:szCs w:val="17"/>
          <w:color w:val="auto"/>
        </w:rPr>
        <w:t>32,197,765</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14,381,976</w:t>
      </w:r>
      <w:r>
        <w:rPr>
          <w:sz w:val="20"/>
          <w:szCs w:val="20"/>
          <w:color w:val="auto"/>
        </w:rPr>
        <w:tab/>
      </w:r>
      <w:r>
        <w:rPr>
          <w:rFonts w:ascii="Arial" w:cs="Arial" w:eastAsia="Arial" w:hAnsi="Arial"/>
          <w:sz w:val="17"/>
          <w:szCs w:val="17"/>
          <w:color w:val="auto"/>
        </w:rPr>
        <w:t>12,239,781</w:t>
      </w:r>
    </w:p>
    <w:p>
      <w:pPr>
        <w:spacing w:after="0" w:line="14"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7"/>
          <w:szCs w:val="17"/>
          <w:color w:val="auto"/>
        </w:rPr>
        <w:t>1,095,000</w:t>
      </w:r>
      <w:r>
        <w:rPr>
          <w:sz w:val="20"/>
          <w:szCs w:val="20"/>
          <w:color w:val="auto"/>
        </w:rPr>
        <w:tab/>
      </w:r>
      <w:r>
        <w:rPr>
          <w:rFonts w:ascii="Arial" w:cs="Arial" w:eastAsia="Arial" w:hAnsi="Arial"/>
          <w:sz w:val="17"/>
          <w:szCs w:val="17"/>
          <w:color w:val="auto"/>
        </w:rPr>
        <w:t>1,350,000</w:t>
      </w:r>
    </w:p>
    <w:p>
      <w:pPr>
        <w:spacing w:after="0" w:line="14" w:lineRule="exact"/>
        <w:rPr>
          <w:sz w:val="20"/>
          <w:szCs w:val="20"/>
          <w:color w:val="auto"/>
        </w:rPr>
      </w:pPr>
    </w:p>
    <w:p>
      <w:pPr>
        <w:jc w:val="both"/>
        <w:ind w:left="420"/>
        <w:spacing w:after="0"/>
        <w:tabs>
          <w:tab w:leader="none" w:pos="1780" w:val="left"/>
        </w:tabs>
        <w:rPr>
          <w:sz w:val="20"/>
          <w:szCs w:val="20"/>
          <w:color w:val="auto"/>
        </w:rPr>
      </w:pPr>
      <w:r>
        <w:rPr>
          <w:rFonts w:ascii="Arial" w:cs="Arial" w:eastAsia="Arial" w:hAnsi="Arial"/>
          <w:sz w:val="17"/>
          <w:szCs w:val="17"/>
          <w:color w:val="auto"/>
        </w:rPr>
        <w:t>4,187,325</w:t>
      </w:r>
      <w:r>
        <w:rPr>
          <w:sz w:val="20"/>
          <w:szCs w:val="20"/>
          <w:color w:val="auto"/>
        </w:rPr>
        <w:tab/>
      </w:r>
      <w:r>
        <w:rPr>
          <w:rFonts w:ascii="Arial" w:cs="Arial" w:eastAsia="Arial" w:hAnsi="Arial"/>
          <w:sz w:val="17"/>
          <w:szCs w:val="17"/>
          <w:color w:val="auto"/>
        </w:rPr>
        <w:t>3,011,373</w:t>
      </w:r>
    </w:p>
    <w:p>
      <w:pPr>
        <w:spacing w:after="0" w:line="14"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7"/>
          <w:szCs w:val="17"/>
          <w:color w:val="auto"/>
        </w:rPr>
        <w:t>1,638,899</w:t>
      </w:r>
      <w:r>
        <w:rPr>
          <w:sz w:val="20"/>
          <w:szCs w:val="20"/>
          <w:color w:val="auto"/>
        </w:rPr>
        <w:tab/>
      </w:r>
      <w:r>
        <w:rPr>
          <w:rFonts w:ascii="Arial" w:cs="Arial" w:eastAsia="Arial" w:hAnsi="Arial"/>
          <w:sz w:val="17"/>
          <w:szCs w:val="17"/>
          <w:color w:val="auto"/>
        </w:rPr>
        <w:t>1,442,209</w:t>
      </w:r>
    </w:p>
    <w:p>
      <w:pPr>
        <w:spacing w:after="0" w:line="34" w:lineRule="exact"/>
        <w:rPr>
          <w:sz w:val="20"/>
          <w:szCs w:val="20"/>
          <w:color w:val="auto"/>
        </w:rPr>
      </w:pPr>
    </w:p>
    <w:p>
      <w:pPr>
        <w:spacing w:after="0"/>
        <w:tabs>
          <w:tab w:leader="none" w:pos="240" w:val="left"/>
          <w:tab w:leader="none" w:pos="1360" w:val="left"/>
          <w:tab w:leader="none" w:pos="1600" w:val="left"/>
        </w:tabs>
        <w:rPr>
          <w:sz w:val="20"/>
          <w:szCs w:val="20"/>
          <w:color w:val="auto"/>
        </w:rPr>
      </w:pPr>
      <w:r>
        <w:rPr>
          <w:rFonts w:ascii="Arial" w:cs="Arial" w:eastAsia="Arial" w:hAnsi="Arial"/>
          <w:sz w:val="17"/>
          <w:szCs w:val="17"/>
          <w:color w:val="auto"/>
        </w:rPr>
        <w:t>$</w:t>
        <w:tab/>
        <w:t>215,406,795</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169,446,462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13970</wp:posOffset>
            </wp:positionV>
            <wp:extent cx="17360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6090"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100" w:space="720"/>
            <w:col w:w="2600"/>
          </w:cols>
          <w:pgMar w:left="240" w:top="546"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42,290,797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41,736,719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Unearned premiums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63,442,903</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54,994,375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Advance premiums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2,086,589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1,421,560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Reinsurance balances payable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1,812,348</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2,146,017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ceding commission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3,953,749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6,851,841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Accounts payable, accrued expenses and other liabilities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6,874,636</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5,448,448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1,128,088</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166,949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5"/>
              </w:rPr>
              <w:t>121,589,110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5"/>
              </w:rPr>
              <w:t>112,765,909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stock, $.01 par value; authorized 2,500,000 shares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7"/>
                <w:szCs w:val="17"/>
                <w:color w:val="auto"/>
              </w:rPr>
              <w:t>Common stock, $.01 par value; authorized 20,000,000 shares; issued 11,610,216 shares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at September 30, 2017 and 8,896,335 at December 31, 2016; outstanding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7"/>
                <w:szCs w:val="17"/>
                <w:color w:val="auto"/>
              </w:rPr>
              <w:t>10,623,407 shares at September 30, 2017 and 7,921,866 shares at December 31, 2016</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116,102</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88,963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 in excess of par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68,306,831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37,950,401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7"/>
                <w:szCs w:val="17"/>
                <w:color w:val="auto"/>
              </w:rPr>
              <w:t>Accumulated other comprehensive income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1,312,431</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72,931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26,254,620</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20,563,720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95,989,984</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58,676,015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Treasury stock, at cost, 986,809 shares at September 30, 2017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7"/>
                <w:szCs w:val="17"/>
                <w:color w:val="auto"/>
              </w:rPr>
              <w:t>and 974,469 shares at December 31, 2016</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(2,172,299)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(1,995,462)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93,817,685</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56,680,553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95"/>
              </w:rPr>
              <w:t>215,406,795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95"/>
              </w:rPr>
              <w:t>169,446,462</w:t>
            </w:r>
          </w:p>
        </w:tc>
        <w:tc>
          <w:tcPr>
            <w:tcW w:w="0" w:type="dxa"/>
            <w:vAlign w:val="bottom"/>
          </w:tcPr>
          <w:p>
            <w:pPr>
              <w:spacing w:after="0"/>
              <w:rPr>
                <w:sz w:val="1"/>
                <w:szCs w:val="1"/>
                <w:color w:val="auto"/>
              </w:rPr>
            </w:pPr>
          </w:p>
        </w:tc>
      </w:tr>
      <w:tr>
        <w:trPr>
          <w:trHeight w:val="409"/>
        </w:trPr>
        <w:tc>
          <w:tcPr>
            <w:tcW w:w="8680" w:type="dxa"/>
            <w:vAlign w:val="bottom"/>
            <w:gridSpan w:val="2"/>
          </w:tcPr>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8660" w:type="dxa"/>
            <w:vAlign w:val="bottom"/>
            <w:tcBorders>
              <w:bottom w:val="single" w:sz="8" w:color="auto"/>
            </w:tcBorders>
          </w:tcPr>
          <w:p>
            <w:pPr>
              <w:ind w:left="5660"/>
              <w:spacing w:after="0"/>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type w:val="continuous"/>
        </w:sectPr>
      </w:pPr>
    </w:p>
    <w:bookmarkStart w:id="4" w:name="page5"/>
    <w:bookmarkEnd w:id="4"/>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Income and Comprehensive Income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38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Revenues</w:t>
            </w:r>
          </w:p>
        </w:tc>
        <w:tc>
          <w:tcPr>
            <w:tcW w:w="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6"/>
              <w:spacing w:after="0" w:line="157"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5"/>
              <w:spacing w:after="0" w:line="15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line="157"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line="157"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21,514,408</w:t>
            </w:r>
          </w:p>
        </w:tc>
        <w:tc>
          <w:tcPr>
            <w:tcW w:w="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9"/>
              </w:rPr>
              <w:t>15,646,181</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54,837,883</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45,188,731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1,717,610</w:t>
            </w:r>
          </w:p>
        </w:tc>
        <w:tc>
          <w:tcPr>
            <w:tcW w:w="4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2,934,928</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8,208,000</w:t>
            </w:r>
          </w:p>
        </w:tc>
        <w:tc>
          <w:tcPr>
            <w:tcW w:w="4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8,274,290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1,033,307</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709,072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2,917,111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2,286,199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Net realized gains on investments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20,998</w:t>
            </w:r>
          </w:p>
        </w:tc>
        <w:tc>
          <w:tcPr>
            <w:tcW w:w="4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241,035</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96,915</w:t>
            </w:r>
          </w:p>
        </w:tc>
        <w:tc>
          <w:tcPr>
            <w:tcW w:w="4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604,903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328,330</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297,181</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926,189</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831,036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24,614,653</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9"/>
              </w:rPr>
              <w:t>19,828,397</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66,986,098</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9"/>
              </w:rPr>
              <w:t>57,185,159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7,073,323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5,134,854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22,821,241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20,405,545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5,500,483</w:t>
            </w:r>
          </w:p>
        </w:tc>
        <w:tc>
          <w:tcPr>
            <w:tcW w:w="4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4,603,755</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15,491,027</w:t>
            </w:r>
          </w:p>
        </w:tc>
        <w:tc>
          <w:tcPr>
            <w:tcW w:w="4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w w:val="89"/>
              </w:rPr>
              <w:t>13,400,029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4,475,455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4,039,209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12,887,488</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10,981,784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1,069,005</w:t>
            </w:r>
          </w:p>
        </w:tc>
        <w:tc>
          <w:tcPr>
            <w:tcW w:w="4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530,261</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2,731,499</w:t>
            </w:r>
          </w:p>
        </w:tc>
        <w:tc>
          <w:tcPr>
            <w:tcW w:w="4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1,292,196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378,518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262,387</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1,023,390</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835,388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Total expenses</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18,496,784</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9"/>
              </w:rPr>
              <w:t>14,570,466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54,954,645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9"/>
              </w:rPr>
              <w:t>46,914,942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Income from operations before taxes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6,117,869</w:t>
            </w:r>
          </w:p>
        </w:tc>
        <w:tc>
          <w:tcPr>
            <w:tcW w:w="4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5,257,931</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12,031,453</w:t>
            </w:r>
          </w:p>
        </w:tc>
        <w:tc>
          <w:tcPr>
            <w:tcW w:w="4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w w:val="89"/>
              </w:rPr>
              <w:t>10,270,217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2,043,948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1,797,305</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3,976,560</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3,426,298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4,073,921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3,460,626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8,054,893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6,843,919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Other comprehensive income, net of tax</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change in unrealized gains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on available-for-sale-securities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499,077</w:t>
            </w:r>
          </w:p>
        </w:tc>
        <w:tc>
          <w:tcPr>
            <w:tcW w:w="4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60,391</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1,974,946</w:t>
            </w:r>
          </w:p>
        </w:tc>
        <w:tc>
          <w:tcPr>
            <w:tcW w:w="4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2,418,305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Reclassification adjustment for gains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included in net income</w:t>
            </w:r>
          </w:p>
        </w:tc>
        <w:tc>
          <w:tcPr>
            <w:tcW w:w="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(20,998)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(241,035)</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(96,915)</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(604,903)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7"/>
                <w:szCs w:val="17"/>
                <w:color w:val="auto"/>
              </w:rPr>
              <w:t>Net change in unrealized gains (losses)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478,079</w:t>
            </w:r>
          </w:p>
        </w:tc>
        <w:tc>
          <w:tcPr>
            <w:tcW w:w="44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(180,644)</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1,878,031</w:t>
            </w:r>
          </w:p>
        </w:tc>
        <w:tc>
          <w:tcPr>
            <w:tcW w:w="4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1,813,402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(expense) benefit related to items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of other comprehensive income (loss)</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(162,547)</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61,419</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(638,531)</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(616,557)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(loss), net of tax</w:t>
            </w:r>
          </w:p>
        </w:tc>
        <w:tc>
          <w:tcPr>
            <w:tcW w:w="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315,532</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(119,225)</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1,239,500</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1,196,845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4,389,453</w:t>
            </w:r>
          </w:p>
        </w:tc>
        <w:tc>
          <w:tcPr>
            <w:tcW w:w="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3,341,401</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9,294,393</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8,040,764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common share: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Basic</w:t>
            </w:r>
          </w:p>
        </w:tc>
        <w:tc>
          <w:tcPr>
            <w:tcW w:w="9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0.38</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0.44</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0.78</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0.38</w:t>
            </w:r>
          </w:p>
        </w:tc>
        <w:tc>
          <w:tcPr>
            <w:tcW w:w="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0.43</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0.77</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Basic</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10,626,242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7,911,353</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10,307,689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7,676,887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10,832,739</w:t>
            </w: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7,972,925</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10,500,272</w:t>
            </w: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7,729,712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0.0800</w:t>
            </w:r>
          </w:p>
        </w:tc>
        <w:tc>
          <w:tcPr>
            <w:tcW w:w="4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0.0625</w:t>
            </w: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0.2225</w:t>
            </w:r>
          </w:p>
        </w:tc>
        <w:tc>
          <w:tcPr>
            <w:tcW w:w="4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0.1875</w:t>
            </w:r>
          </w:p>
        </w:tc>
        <w:tc>
          <w:tcPr>
            <w:tcW w:w="0" w:type="dxa"/>
            <w:vAlign w:val="bottom"/>
          </w:tcPr>
          <w:p>
            <w:pPr>
              <w:spacing w:after="0"/>
              <w:rPr>
                <w:sz w:val="1"/>
                <w:szCs w:val="1"/>
                <w:color w:val="auto"/>
              </w:rPr>
            </w:pPr>
          </w:p>
        </w:tc>
      </w:tr>
      <w:tr>
        <w:trPr>
          <w:trHeight w:val="409"/>
        </w:trPr>
        <w:tc>
          <w:tcPr>
            <w:tcW w:w="5320" w:type="dxa"/>
            <w:vAlign w:val="bottom"/>
            <w:gridSpan w:val="2"/>
          </w:tcPr>
          <w:p>
            <w:pPr>
              <w:spacing w:after="0"/>
              <w:rPr>
                <w:sz w:val="20"/>
                <w:szCs w:val="20"/>
                <w:color w:val="auto"/>
              </w:rPr>
            </w:pPr>
            <w:r>
              <w:rPr>
                <w:rFonts w:ascii="Arial" w:cs="Arial" w:eastAsia="Arial" w:hAnsi="Arial"/>
                <w:sz w:val="17"/>
                <w:szCs w:val="17"/>
                <w:i w:val="1"/>
                <w:iCs w:val="1"/>
                <w:color w:val="auto"/>
                <w:w w:val="95"/>
              </w:rPr>
              <w:t>See accompanying notes to condensed consolidated financial statements.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7" w:right="239" w:bottom="1440" w:gutter="0" w:footer="0" w:header="0"/>
        </w:sectPr>
      </w:pPr>
    </w:p>
    <w:bookmarkStart w:id="5" w:name="page6"/>
    <w:bookmarkEnd w:id="5"/>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color w:val="auto"/>
              </w:rPr>
              <w:t>Accumulated</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8"/>
                <w:szCs w:val="18"/>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color w:val="auto"/>
              </w:rPr>
              <w:t>Preferred Stock</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color w:val="auto"/>
              </w:rPr>
              <w:t>Common Stock</w:t>
            </w: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in Excess</w:t>
            </w:r>
          </w:p>
        </w:tc>
        <w:tc>
          <w:tcPr>
            <w:tcW w:w="140" w:type="dxa"/>
            <w:vAlign w:val="bottom"/>
          </w:tcPr>
          <w:p>
            <w:pPr>
              <w:spacing w:after="0"/>
              <w:rPr>
                <w:sz w:val="17"/>
                <w:szCs w:val="17"/>
                <w:color w:val="auto"/>
              </w:rPr>
            </w:pPr>
          </w:p>
        </w:tc>
        <w:tc>
          <w:tcPr>
            <w:tcW w:w="1680" w:type="dxa"/>
            <w:vAlign w:val="bottom"/>
            <w:gridSpan w:val="2"/>
          </w:tcPr>
          <w:p>
            <w:pPr>
              <w:jc w:val="right"/>
              <w:ind w:right="148"/>
              <w:spacing w:after="0"/>
              <w:rPr>
                <w:sz w:val="20"/>
                <w:szCs w:val="20"/>
                <w:color w:val="auto"/>
              </w:rPr>
            </w:pPr>
            <w:r>
              <w:rPr>
                <w:rFonts w:ascii="Arial" w:cs="Arial" w:eastAsia="Arial" w:hAnsi="Arial"/>
                <w:sz w:val="14"/>
                <w:szCs w:val="14"/>
                <w:color w:val="auto"/>
                <w:w w:val="91"/>
              </w:rPr>
              <w:t>Comprehensive Retained</w:t>
            </w:r>
          </w:p>
        </w:tc>
        <w:tc>
          <w:tcPr>
            <w:tcW w:w="180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Treasury Stock</w:t>
            </w:r>
          </w:p>
        </w:tc>
        <w:tc>
          <w:tcPr>
            <w:tcW w:w="9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94"/>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9"/>
              </w:rPr>
              <w:t>Amount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of Par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Income</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Earnings</w:t>
            </w: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Shares</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r>
      <w:tr>
        <w:trPr>
          <w:trHeight w:val="157"/>
        </w:trPr>
        <w:tc>
          <w:tcPr>
            <w:tcW w:w="20" w:type="dxa"/>
            <w:vAlign w:val="bottom"/>
          </w:tcPr>
          <w:p>
            <w:pPr>
              <w:spacing w:after="0"/>
              <w:rPr>
                <w:sz w:val="13"/>
                <w:szCs w:val="13"/>
                <w:color w:val="auto"/>
              </w:rPr>
            </w:pPr>
          </w:p>
        </w:tc>
        <w:tc>
          <w:tcPr>
            <w:tcW w:w="29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Balance, January 1, 2017</w:t>
            </w:r>
          </w:p>
        </w:tc>
        <w:tc>
          <w:tcPr>
            <w:tcW w:w="2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8"/>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8,896,335</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88,963</w:t>
            </w:r>
          </w:p>
        </w:tc>
        <w:tc>
          <w:tcPr>
            <w:tcW w:w="9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$37,950,401</w:t>
            </w:r>
          </w:p>
        </w:tc>
        <w:tc>
          <w:tcPr>
            <w:tcW w:w="14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72,931</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$20,563,720</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974,469</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 (1,995,462)</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$56,680,553</w:t>
            </w:r>
          </w:p>
        </w:tc>
      </w:tr>
      <w:tr>
        <w:trPr>
          <w:trHeight w:val="157"/>
        </w:trPr>
        <w:tc>
          <w:tcPr>
            <w:tcW w:w="20" w:type="dxa"/>
            <w:vAlign w:val="bottom"/>
          </w:tcPr>
          <w:p>
            <w:pPr>
              <w:spacing w:after="0"/>
              <w:rPr>
                <w:sz w:val="13"/>
                <w:szCs w:val="13"/>
                <w:color w:val="auto"/>
              </w:rPr>
            </w:pPr>
          </w:p>
        </w:tc>
        <w:tc>
          <w:tcPr>
            <w:tcW w:w="2980" w:type="dxa"/>
            <w:vAlign w:val="bottom"/>
            <w:gridSpan w:val="2"/>
          </w:tcPr>
          <w:p>
            <w:pPr>
              <w:spacing w:after="0" w:line="157" w:lineRule="exact"/>
              <w:rPr>
                <w:sz w:val="20"/>
                <w:szCs w:val="20"/>
                <w:color w:val="auto"/>
              </w:rPr>
            </w:pPr>
            <w:r>
              <w:rPr>
                <w:rFonts w:ascii="Arial" w:cs="Arial" w:eastAsia="Arial" w:hAnsi="Arial"/>
                <w:sz w:val="14"/>
                <w:szCs w:val="14"/>
                <w:color w:val="auto"/>
              </w:rPr>
              <w:t>Proceeds from public offering, net of</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29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offering costs of $2,173,000</w:t>
            </w:r>
          </w:p>
        </w:tc>
        <w:tc>
          <w:tcPr>
            <w:tcW w:w="2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2,692,500</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26,925</w:t>
            </w:r>
          </w:p>
        </w:tc>
        <w:tc>
          <w:tcPr>
            <w:tcW w:w="9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30,109,774</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30,136,699</w:t>
            </w:r>
          </w:p>
        </w:tc>
      </w:tr>
      <w:tr>
        <w:trPr>
          <w:trHeight w:val="157"/>
        </w:trPr>
        <w:tc>
          <w:tcPr>
            <w:tcW w:w="20" w:type="dxa"/>
            <w:vAlign w:val="bottom"/>
          </w:tcPr>
          <w:p>
            <w:pPr>
              <w:spacing w:after="0"/>
              <w:rPr>
                <w:sz w:val="13"/>
                <w:szCs w:val="13"/>
                <w:color w:val="auto"/>
              </w:rPr>
            </w:pPr>
          </w:p>
        </w:tc>
        <w:tc>
          <w:tcPr>
            <w:tcW w:w="2980" w:type="dxa"/>
            <w:vAlign w:val="bottom"/>
            <w:gridSpan w:val="2"/>
          </w:tcPr>
          <w:p>
            <w:pPr>
              <w:spacing w:after="0" w:line="157"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2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198,046</w:t>
            </w:r>
          </w:p>
        </w:tc>
        <w:tc>
          <w:tcPr>
            <w:tcW w:w="140" w:type="dxa"/>
            <w:vAlign w:val="bottom"/>
          </w:tcPr>
          <w:p>
            <w:pPr>
              <w:spacing w:after="0"/>
              <w:rPr>
                <w:sz w:val="13"/>
                <w:szCs w:val="13"/>
                <w:color w:val="auto"/>
              </w:rPr>
            </w:pP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198,046</w:t>
            </w:r>
          </w:p>
        </w:tc>
      </w:tr>
      <w:tr>
        <w:trPr>
          <w:trHeight w:val="157"/>
        </w:trPr>
        <w:tc>
          <w:tcPr>
            <w:tcW w:w="20" w:type="dxa"/>
            <w:vAlign w:val="bottom"/>
          </w:tcPr>
          <w:p>
            <w:pPr>
              <w:spacing w:after="0"/>
              <w:rPr>
                <w:sz w:val="13"/>
                <w:szCs w:val="13"/>
                <w:color w:val="auto"/>
              </w:rPr>
            </w:pPr>
          </w:p>
        </w:tc>
        <w:tc>
          <w:tcPr>
            <w:tcW w:w="29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Vesting of restricted stock awards</w:t>
            </w:r>
          </w:p>
        </w:tc>
        <w:tc>
          <w:tcPr>
            <w:tcW w:w="2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8,966</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90</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r>
      <w:tr>
        <w:trPr>
          <w:trHeight w:val="157"/>
        </w:trPr>
        <w:tc>
          <w:tcPr>
            <w:tcW w:w="20" w:type="dxa"/>
            <w:vAlign w:val="bottom"/>
          </w:tcPr>
          <w:p>
            <w:pPr>
              <w:spacing w:after="0"/>
              <w:rPr>
                <w:sz w:val="13"/>
                <w:szCs w:val="13"/>
                <w:color w:val="auto"/>
              </w:rPr>
            </w:pPr>
          </w:p>
        </w:tc>
        <w:tc>
          <w:tcPr>
            <w:tcW w:w="2980" w:type="dxa"/>
            <w:vAlign w:val="bottom"/>
            <w:gridSpan w:val="2"/>
          </w:tcPr>
          <w:p>
            <w:pPr>
              <w:spacing w:after="0" w:line="157" w:lineRule="exact"/>
              <w:rPr>
                <w:sz w:val="20"/>
                <w:szCs w:val="20"/>
                <w:color w:val="auto"/>
              </w:rPr>
            </w:pPr>
            <w:r>
              <w:rPr>
                <w:rFonts w:ascii="Arial" w:cs="Arial" w:eastAsia="Arial" w:hAnsi="Arial"/>
                <w:sz w:val="14"/>
                <w:szCs w:val="14"/>
                <w:color w:val="auto"/>
              </w:rPr>
              <w:t>Shares deducted from restricted stock</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298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4"/>
                <w:szCs w:val="14"/>
                <w:color w:val="auto"/>
              </w:rPr>
              <w:t>awards for payment of withholding</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taxes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(17,681)</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(17,693)</w:t>
            </w:r>
          </w:p>
        </w:tc>
      </w:tr>
      <w:tr>
        <w:trPr>
          <w:trHeight w:val="157"/>
        </w:trPr>
        <w:tc>
          <w:tcPr>
            <w:tcW w:w="20" w:type="dxa"/>
            <w:vAlign w:val="bottom"/>
          </w:tcPr>
          <w:p>
            <w:pPr>
              <w:spacing w:after="0"/>
              <w:rPr>
                <w:sz w:val="13"/>
                <w:szCs w:val="13"/>
                <w:color w:val="auto"/>
              </w:rPr>
            </w:pPr>
          </w:p>
        </w:tc>
        <w:tc>
          <w:tcPr>
            <w:tcW w:w="2980" w:type="dxa"/>
            <w:vAlign w:val="bottom"/>
            <w:gridSpan w:val="2"/>
          </w:tcPr>
          <w:p>
            <w:pPr>
              <w:spacing w:after="0" w:line="157" w:lineRule="exact"/>
              <w:rPr>
                <w:sz w:val="20"/>
                <w:szCs w:val="20"/>
                <w:color w:val="auto"/>
              </w:rPr>
            </w:pPr>
            <w:r>
              <w:rPr>
                <w:rFonts w:ascii="Arial" w:cs="Arial" w:eastAsia="Arial" w:hAnsi="Arial"/>
                <w:sz w:val="14"/>
                <w:szCs w:val="14"/>
                <w:color w:val="auto"/>
              </w:rPr>
              <w:t>Exercise of stock options</w:t>
            </w:r>
          </w:p>
        </w:tc>
        <w:tc>
          <w:tcPr>
            <w:tcW w:w="2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2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13,578</w:t>
            </w:r>
          </w:p>
        </w:tc>
        <w:tc>
          <w:tcPr>
            <w:tcW w:w="180" w:type="dxa"/>
            <w:vAlign w:val="bottom"/>
          </w:tcPr>
          <w:p>
            <w:pPr>
              <w:spacing w:after="0"/>
              <w:rPr>
                <w:sz w:val="13"/>
                <w:szCs w:val="13"/>
                <w:color w:val="auto"/>
              </w:rPr>
            </w:pP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136</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66,381</w:t>
            </w:r>
          </w:p>
        </w:tc>
        <w:tc>
          <w:tcPr>
            <w:tcW w:w="140" w:type="dxa"/>
            <w:vAlign w:val="bottom"/>
          </w:tcPr>
          <w:p>
            <w:pPr>
              <w:spacing w:after="0"/>
              <w:rPr>
                <w:sz w:val="13"/>
                <w:szCs w:val="13"/>
                <w:color w:val="auto"/>
              </w:rPr>
            </w:pP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66,517</w:t>
            </w:r>
          </w:p>
        </w:tc>
      </w:tr>
      <w:tr>
        <w:trPr>
          <w:trHeight w:val="157"/>
        </w:trPr>
        <w:tc>
          <w:tcPr>
            <w:tcW w:w="20" w:type="dxa"/>
            <w:vAlign w:val="bottom"/>
          </w:tcPr>
          <w:p>
            <w:pPr>
              <w:spacing w:after="0"/>
              <w:rPr>
                <w:sz w:val="13"/>
                <w:szCs w:val="13"/>
                <w:color w:val="auto"/>
              </w:rPr>
            </w:pPr>
          </w:p>
        </w:tc>
        <w:tc>
          <w:tcPr>
            <w:tcW w:w="29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Acquisition of treasury stock</w:t>
            </w:r>
          </w:p>
        </w:tc>
        <w:tc>
          <w:tcPr>
            <w:tcW w:w="2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12,340</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(176,837)</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(176,837)</w:t>
            </w:r>
          </w:p>
        </w:tc>
      </w:tr>
      <w:tr>
        <w:trPr>
          <w:trHeight w:val="157"/>
        </w:trPr>
        <w:tc>
          <w:tcPr>
            <w:tcW w:w="20" w:type="dxa"/>
            <w:vAlign w:val="bottom"/>
          </w:tcPr>
          <w:p>
            <w:pPr>
              <w:spacing w:after="0"/>
              <w:rPr>
                <w:sz w:val="13"/>
                <w:szCs w:val="13"/>
                <w:color w:val="auto"/>
              </w:rPr>
            </w:pPr>
          </w:p>
        </w:tc>
        <w:tc>
          <w:tcPr>
            <w:tcW w:w="2980" w:type="dxa"/>
            <w:vAlign w:val="bottom"/>
            <w:gridSpan w:val="2"/>
          </w:tcPr>
          <w:p>
            <w:pPr>
              <w:spacing w:after="0" w:line="157" w:lineRule="exact"/>
              <w:rPr>
                <w:sz w:val="20"/>
                <w:szCs w:val="20"/>
                <w:color w:val="auto"/>
              </w:rPr>
            </w:pPr>
            <w:r>
              <w:rPr>
                <w:rFonts w:ascii="Arial" w:cs="Arial" w:eastAsia="Arial" w:hAnsi="Arial"/>
                <w:sz w:val="14"/>
                <w:szCs w:val="14"/>
                <w:color w:val="auto"/>
              </w:rPr>
              <w:t>Dividends</w:t>
            </w:r>
          </w:p>
        </w:tc>
        <w:tc>
          <w:tcPr>
            <w:tcW w:w="2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2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(2,363,993)</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(2,363,993)</w:t>
            </w:r>
          </w:p>
        </w:tc>
      </w:tr>
      <w:tr>
        <w:trPr>
          <w:trHeight w:val="157"/>
        </w:trPr>
        <w:tc>
          <w:tcPr>
            <w:tcW w:w="20" w:type="dxa"/>
            <w:vAlign w:val="bottom"/>
          </w:tcPr>
          <w:p>
            <w:pPr>
              <w:spacing w:after="0"/>
              <w:rPr>
                <w:sz w:val="13"/>
                <w:szCs w:val="13"/>
                <w:color w:val="auto"/>
              </w:rPr>
            </w:pPr>
          </w:p>
        </w:tc>
        <w:tc>
          <w:tcPr>
            <w:tcW w:w="29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8,054,893</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8,054,893</w:t>
            </w:r>
          </w:p>
        </w:tc>
      </w:tr>
      <w:tr>
        <w:trPr>
          <w:trHeight w:val="148"/>
        </w:trPr>
        <w:tc>
          <w:tcPr>
            <w:tcW w:w="20" w:type="dxa"/>
            <w:vAlign w:val="bottom"/>
          </w:tcPr>
          <w:p>
            <w:pPr>
              <w:spacing w:after="0"/>
              <w:rPr>
                <w:sz w:val="12"/>
                <w:szCs w:val="12"/>
                <w:color w:val="auto"/>
              </w:rPr>
            </w:pPr>
          </w:p>
        </w:tc>
        <w:tc>
          <w:tcPr>
            <w:tcW w:w="2980" w:type="dxa"/>
            <w:vAlign w:val="bottom"/>
            <w:gridSpan w:val="2"/>
          </w:tcPr>
          <w:p>
            <w:pPr>
              <w:spacing w:after="0" w:line="147" w:lineRule="exact"/>
              <w:rPr>
                <w:sz w:val="20"/>
                <w:szCs w:val="20"/>
                <w:color w:val="auto"/>
              </w:rPr>
            </w:pPr>
            <w:r>
              <w:rPr>
                <w:rFonts w:ascii="Arial" w:cs="Arial" w:eastAsia="Arial" w:hAnsi="Arial"/>
                <w:sz w:val="14"/>
                <w:szCs w:val="14"/>
                <w:color w:val="auto"/>
              </w:rPr>
              <w:t>Change in unrealized gains on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6"/>
        </w:trPr>
        <w:tc>
          <w:tcPr>
            <w:tcW w:w="3000" w:type="dxa"/>
            <w:vAlign w:val="bottom"/>
            <w:gridSpan w:val="3"/>
          </w:tcPr>
          <w:p>
            <w:pPr>
              <w:spacing w:after="0"/>
              <w:rPr>
                <w:sz w:val="20"/>
                <w:szCs w:val="20"/>
                <w:color w:val="auto"/>
              </w:rPr>
            </w:pPr>
            <w:r>
              <w:rPr>
                <w:rFonts w:ascii="Arial" w:cs="Arial" w:eastAsia="Arial" w:hAnsi="Arial"/>
                <w:sz w:val="14"/>
                <w:szCs w:val="14"/>
                <w:color w:val="auto"/>
              </w:rPr>
              <w:t>available-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for-sale securities, net of tax</w:t>
            </w:r>
          </w:p>
        </w:tc>
        <w:tc>
          <w:tcPr>
            <w:tcW w:w="7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1,239,500</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1,239,500</w:t>
            </w:r>
          </w:p>
        </w:tc>
      </w:tr>
      <w:tr>
        <w:trPr>
          <w:trHeight w:val="157"/>
        </w:trPr>
        <w:tc>
          <w:tcPr>
            <w:tcW w:w="20" w:type="dxa"/>
            <w:vAlign w:val="bottom"/>
          </w:tcPr>
          <w:p>
            <w:pPr>
              <w:spacing w:after="0"/>
              <w:rPr>
                <w:sz w:val="13"/>
                <w:szCs w:val="13"/>
                <w:color w:val="auto"/>
              </w:rPr>
            </w:pPr>
          </w:p>
        </w:tc>
        <w:tc>
          <w:tcPr>
            <w:tcW w:w="2980" w:type="dxa"/>
            <w:vAlign w:val="bottom"/>
            <w:gridSpan w:val="2"/>
          </w:tcPr>
          <w:p>
            <w:pPr>
              <w:spacing w:after="0" w:line="157" w:lineRule="exact"/>
              <w:rPr>
                <w:sz w:val="20"/>
                <w:szCs w:val="20"/>
                <w:color w:val="auto"/>
              </w:rPr>
            </w:pPr>
            <w:r>
              <w:rPr>
                <w:rFonts w:ascii="Arial" w:cs="Arial" w:eastAsia="Arial" w:hAnsi="Arial"/>
                <w:sz w:val="14"/>
                <w:szCs w:val="14"/>
                <w:color w:val="auto"/>
              </w:rPr>
              <w:t>Balance, September 30, 2017</w:t>
            </w:r>
          </w:p>
        </w:tc>
        <w:tc>
          <w:tcPr>
            <w:tcW w:w="2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11,610,216</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116,102</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$68,306,831</w:t>
            </w:r>
          </w:p>
        </w:tc>
        <w:tc>
          <w:tcPr>
            <w:tcW w:w="140" w:type="dxa"/>
            <w:vAlign w:val="bottom"/>
          </w:tcPr>
          <w:p>
            <w:pPr>
              <w:ind w:left="6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1,312,431</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$26,254,620</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986,809</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 (2,172,299)</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$93,817,685</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-165735</wp:posOffset>
            </wp:positionV>
            <wp:extent cx="579755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651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 w:name="page7"/>
    <w:bookmarkEnd w:id="6"/>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i w:val="1"/>
                <w:iCs w:val="1"/>
                <w:color w:val="auto"/>
              </w:rPr>
              <w:t>Nine months ended September 30,</w:t>
            </w:r>
          </w:p>
        </w:tc>
        <w:tc>
          <w:tcPr>
            <w:tcW w:w="3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416"/>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8,054,893</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6,843,919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realized gains on sale of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(96,915)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(604,903)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1,023,390</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835,388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bond premium,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405,832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310,838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198,046</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89,814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income tax expense (benefit)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322,608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(Increase) decrease in operating 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Premiums receivable,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(1,745,402)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(894,774)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Reinsurance receivables, net</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7,226,493</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57,259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policy acquisition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(2,142,195)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(219,189)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(308,505)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operating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554,078</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(74,177)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8,448,528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4,873,607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Advance premiums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665,029</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846,905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Reinsurance balances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(333,669)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2,307,504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Deferred ceding commission revenue</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(2,898,092)</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217,786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1,426,188</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343,707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20,889,623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13,474,432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 fixed-maturity securities available-for-sale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9"/>
              </w:rPr>
              <w:t>(38,612,403)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(33,295,669)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Purchase - equity securities available-for-sale</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(5,298,781)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(6,728,540)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Redemption - fixed-maturity securities held-to-maturity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200,000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Sale or maturity - fixed-maturity securities available-for-sale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8,385,874</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16,374,028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Sale - equity securities available-for-sale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2,571,122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6,065,744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Acquisition of fixed assets</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(1,944,342)</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(521,533)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250,448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cash flows used in investing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9"/>
              </w:rPr>
              <w:t>(34,698,530)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(17,855,522)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issuance of common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30,136,699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4,807,631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Proceeds from exercise of stock options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66,517</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12,725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of treasury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(176,837)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Withholding taxes paid on vested retricted stock awards</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(17,693)</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Dividends paid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(2,363,993)</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(1,446,684)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cash flows provided by financing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27,644,693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3,260,405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Increase (decrease) in cash and cash equivalents</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13,835,786</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(1,120,685)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12,044,520</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13,551,372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25,880,306</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12,430,687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income taxes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3,936,000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3,799,671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 w:name="page8"/>
    <w:bookmarkEnd w:id="7"/>
    <w:p>
      <w:pPr>
        <w:ind w:left="36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and Texas. KICO is currently offering its property and casualty insurance products in New York, New Jersey and Pennsylvania. Although New Jersey is now a growing expansion market for the Company, the majority of KICO’s business is written in the State of New York. In October 2017, a homeowners rate, rule, and form filing was approved for use by the State of Rhode Island. KICO anticipates writing business there in the fourth quarter of 2017.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condensed consolidated financial statements should be read in conjunction with the consolidated financial statements as of and for the year ended December 31, 2016 and notes thereto included in the Company’s Annual Report on Form 10-K filed with the SEC on March 16, 2017.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nine months ended September 30, 2017 may not be indicative of the results that may be expected for the year ending December 31, 2017.</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consolidated financial statements consist of Kingstone and its wholly owned subsidiaries: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Changes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May 2015, the Financial Accounting Standards Board (“FASB”) issued Accounting Standards Update (“ASU”) 2015-09, Financial Services – Insurance (Topic 944): Disclosures About Short-Duration Contracts. The updated accounting guidance requires expanded disclosures for insurance entities that issue short-duration contracts. The expanded disclosures are designed to provide additional insight into an insurance entity’s ability to underwrite and anticipate costs associated with insurance claims. The disclosures include information about incurred and paid claims development by accident year, on a net basis after reinsurance, for the number of years claims incurred that typically remain outstanding, not to exceed ten years. Each period presented in the disclosure about claims development that precedes the current reporting period is considered required supplementary information. The expanded disclosures also include information about significant changes in methodologies and assumptions, a reconciliation of incurred and paid claims development to the carrying amount of the liability for unpaid claims and claim adjustment expenses, the total amount of incurred but not reported liabilities plus expected development, claims frequency information including the methodology used to determine claim frequency and any changes to that methodology, and claim duration. The guidance became effective for annual periods beginning after December 15, 2015, and interim periods beginning after December 15, 2016, and has been applied retrospectively. The new guidance affected disclosures only and had no impact on the Company’s results of operations or financial position.</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Effective January 1, 2017, the Company has adopted the provisions of ASU 2016-09 – Compensation - Stock Compensation (Topic 718): Improvements to Employee Share-Based Payment Accounting, which requires recognition of all income tax effects from share-based payments arising on or after January 1, 2017 (the Company’s adoption date) in income tax expense. As a result, the Company realized windfall tax benefits in the interim period of adoption of approximately $5,000, which was recognized as a discrete period income tax benefit as required by this ASU. This benefit had no effect on the Company’s effective tax rate for the interim period ended September 30, 2017.</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May 2014, FASB issued ASU 2014-09 – Revenue from Contracts with Customers (Topic 606). The standard excludes from its scope the accounting for insurance contracts, financial instruments, and certain other agreements that are governed under other GAAP guidance. The core principle of the new guidance is that an entity should recognize revenue to reflect the transfer of goods and services to customers in an amount equal to the consideration the entity receives or expects to receive. ASU 2014-09, as amended by ASU 2015-14, ASU 2016-08, ASU 2016-10 and ASU 2016-20, is effective for annual reporting periods beginning after December 15, 2017, including interim periods within that reporting period. Early adoption is permitted for annual reporting periods beginning after December 15, 2016. The Company will apply the guidance using a modified retrospective approach. The Company does not expect these amendments to have a material effect on its consolidated financial statements.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January 2016, FASB issued ASU 2016-01 – Financial Instruments – Overall (Subtopic 825-10): Recognition and Measurement of Financial Assets and Financial Liabilities. The updated accounting guidance requires changes to the reporting model for financial instruments. The primary change for the Company is expected to be the requirement for equity investments (except those accounted for under the equity method of accounting or those that result in consolidation of the investee) to be measured at fair value with changes in fair value recognized in net income. The updated guidance is effective for fiscal years beginning after December 15, 2017, including interim periods within those fiscal years. The Company is currently evaluating the effect the updated guidance will have on its consolidated financial statements.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 w:name="page10"/>
    <w:bookmarkEnd w:id="9"/>
    <w:p>
      <w:pPr>
        <w:jc w:val="both"/>
        <w:spacing w:after="0" w:line="297" w:lineRule="auto"/>
        <w:rPr>
          <w:sz w:val="20"/>
          <w:szCs w:val="20"/>
          <w:color w:val="auto"/>
        </w:rPr>
      </w:pPr>
      <w:r>
        <w:rPr>
          <w:rFonts w:ascii="Arial" w:cs="Arial" w:eastAsia="Arial" w:hAnsi="Arial"/>
          <w:sz w:val="15"/>
          <w:szCs w:val="15"/>
          <w:color w:val="auto"/>
        </w:rPr>
        <w:t>In February 2016, FASB issued ASU 2016-02 – Leases (Topic 842). Under this ASU, lessees will recognize a right-of-use-asset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interim and annual reporting periods beginning after December 15, 2018. The Company will apply the guidance using a modified retrospective approach. Early application is permitted. The Company is evaluating whether the adoption of ASU 2016-02 will have a significant impact on its consolidated results of operations, financial position or cash flows.</w:t>
      </w:r>
    </w:p>
    <w:p>
      <w:pPr>
        <w:spacing w:after="0" w:line="10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In August 2016, FASB issued ASU 2016-15 - Statement of Cash Flows (Topic 230): Classification of Certain Cash Receipts and Cash Payments. The revised ASU provides accounting guidance for eight specific cash flow issues. FASB issued the standard to clarify areas where GAAP has been either unclear or lacking in specific guidance. ASU 2016-15 will be effective for the Company for interim and annual reporting periods beginning after December 15, 2018. Early adoption is permitted, including adoption in an interim period. The Company is currently evaluating the effect the updated guidance will have on its consolidated statement of cash flows.</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3 -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Available-for-Sale Securities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amortized cost and fair value of investments in available-for-sale fixed-maturity securities and equity securities as of September 30, 2017 and December 31, 2016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September 30, 2017</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43"/>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7"/>
                <w:szCs w:val="17"/>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w w:val="95"/>
              </w:rPr>
              <w:t>Gross Unrealized Losses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43"/>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9"/>
        </w:trPr>
        <w:tc>
          <w:tcPr>
            <w:tcW w:w="4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Category</w:t>
            </w:r>
          </w:p>
        </w:tc>
        <w:tc>
          <w:tcPr>
            <w:tcW w:w="220" w:type="dxa"/>
            <w:vAlign w:val="bottom"/>
          </w:tcPr>
          <w:p>
            <w:pPr>
              <w:spacing w:after="0"/>
              <w:rPr>
                <w:sz w:val="17"/>
                <w:szCs w:val="17"/>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7"/>
                <w:szCs w:val="17"/>
                <w:color w:val="auto"/>
              </w:rPr>
            </w:pPr>
          </w:p>
        </w:tc>
        <w:tc>
          <w:tcPr>
            <w:tcW w:w="920" w:type="dxa"/>
            <w:vAlign w:val="bottom"/>
          </w:tcPr>
          <w:p>
            <w:pPr>
              <w:jc w:val="center"/>
              <w:ind w:right="163"/>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More than 12</w:t>
            </w:r>
          </w:p>
        </w:tc>
        <w:tc>
          <w:tcPr>
            <w:tcW w:w="1140" w:type="dxa"/>
            <w:vAlign w:val="bottom"/>
          </w:tcPr>
          <w:p>
            <w:pPr>
              <w:jc w:val="right"/>
              <w:ind w:right="362"/>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920" w:type="dxa"/>
            <w:vAlign w:val="bottom"/>
          </w:tcPr>
          <w:p>
            <w:pPr>
              <w:jc w:val="center"/>
              <w:ind w:right="123"/>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Months</w:t>
            </w:r>
          </w:p>
        </w:tc>
        <w:tc>
          <w:tcPr>
            <w:tcW w:w="11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396"/>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Fixed-Maturity Securities: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80" w:type="dxa"/>
            <w:vAlign w:val="bottom"/>
            <w:gridSpan w:val="2"/>
          </w:tcPr>
          <w:p>
            <w:pPr>
              <w:spacing w:after="0"/>
              <w:rPr>
                <w:sz w:val="20"/>
                <w:szCs w:val="20"/>
                <w:color w:val="auto"/>
              </w:rPr>
            </w:pPr>
            <w:r>
              <w:rPr>
                <w:rFonts w:ascii="Arial" w:cs="Arial" w:eastAsia="Arial" w:hAnsi="Arial"/>
                <w:sz w:val="16"/>
                <w:szCs w:val="16"/>
                <w:color w:val="auto"/>
              </w:rPr>
              <w:t>Political subdivisions of States,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99"/>
              </w:rPr>
              <w:t>11,428,403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286,360</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(21,223)</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  11,693,540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265,137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 bonds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Industrial and miscellaneous</w:t>
            </w:r>
          </w:p>
        </w:tc>
        <w:tc>
          <w:tcPr>
            <w:tcW w:w="22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w w:val="99"/>
              </w:rPr>
              <w:t>77,734,988</w:t>
            </w:r>
          </w:p>
        </w:tc>
        <w:tc>
          <w:tcPr>
            <w:tcW w:w="22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1,416,060</w:t>
            </w:r>
          </w:p>
        </w:tc>
        <w:tc>
          <w:tcPr>
            <w:tcW w:w="26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(204,904)</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(109,623)</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78,836,521</w:t>
            </w:r>
          </w:p>
        </w:tc>
        <w:tc>
          <w:tcPr>
            <w:tcW w:w="22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1,101,533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Residential mortgage and other</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asset backed securities (1)</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99"/>
              </w:rPr>
              <w:t>21,152,407</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291,172</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(120,346)</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(63,542)</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21,259,691</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107,284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Total fixed-maturity securities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89"/>
              </w:rPr>
              <w:t>110,315,798</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1,993,592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(346,473)</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(173,165)</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111,789,752</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1,473,954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6,056,783</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59,374</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(26,360)</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(107,477)</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5,982,320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Common stocks and exchange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traded mutual funds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6,649,755</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725,638</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(77,429)</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(59,168)</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7,238,796</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589,041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Total equity securities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9"/>
              </w:rPr>
              <w:t>12,706,538</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785,012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(103,789)</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(166,645)</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13,221,116</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514,578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7"/>
                <w:szCs w:val="17"/>
                <w:color w:val="auto"/>
                <w:w w:val="98"/>
              </w:rPr>
              <w:t>$123,022,336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2,778,604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(450,262)</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(339,810)</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w w:val="98"/>
              </w:rPr>
              <w:t>$125,010,868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1,988,532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40" w:hanging="321"/>
        <w:spacing w:after="0" w:line="265"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KICO placed certain residential mortgage backed securities as eligible collateral in a designated custodian account related to our relationship with the Federal Home Loan Bank of New York ("FHLBNY"). The eligible collateral would be pledged to FHLBNY if KICO draws an advance from the FHBLNY credit line. As of September 30, 2017, the fair value of the eligible investments was $7,028,101. KICO will retain all rights regarding all securities if pledged as collateral. As of September 30, 2017, there was no outstanding balance on the credit line.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Category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Fixed-Maturity Securities: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Political subdivisions of States,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Territories and Possessions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bonds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Industrial and miscellaneous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Residential mortgage backed</w:t>
      </w:r>
    </w:p>
    <w:p>
      <w:pPr>
        <w:spacing w:after="0" w:line="20" w:lineRule="exact"/>
        <w:rPr>
          <w:sz w:val="20"/>
          <w:szCs w:val="20"/>
          <w:color w:val="auto"/>
        </w:rPr>
      </w:pPr>
      <w:r>
        <w:rPr>
          <w:sz w:val="20"/>
          <w:szCs w:val="20"/>
          <w:color w:val="auto"/>
        </w:rPr>
        <w:br w:type="column"/>
      </w:r>
    </w:p>
    <w:p>
      <w:pPr>
        <w:ind w:left="2840"/>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434403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44035" cy="1651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w w:val="97"/>
              </w:rPr>
              <w:t>Net</w:t>
            </w:r>
          </w:p>
        </w:tc>
      </w:tr>
      <w:tr>
        <w:trPr>
          <w:trHeight w:val="200"/>
        </w:trPr>
        <w:tc>
          <w:tcPr>
            <w:tcW w:w="220" w:type="dxa"/>
            <w:vAlign w:val="bottom"/>
          </w:tcPr>
          <w:p>
            <w:pPr>
              <w:spacing w:after="0"/>
              <w:rPr>
                <w:sz w:val="17"/>
                <w:szCs w:val="17"/>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Cost or</w:t>
            </w:r>
          </w:p>
        </w:tc>
        <w:tc>
          <w:tcPr>
            <w:tcW w:w="200" w:type="dxa"/>
            <w:vAlign w:val="bottom"/>
          </w:tcPr>
          <w:p>
            <w:pPr>
              <w:spacing w:after="0"/>
              <w:rPr>
                <w:sz w:val="17"/>
                <w:szCs w:val="17"/>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Gross Unrealized Losses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Unrealized</w:t>
            </w:r>
          </w:p>
        </w:tc>
      </w:tr>
      <w:tr>
        <w:trPr>
          <w:trHeight w:val="225"/>
        </w:trPr>
        <w:tc>
          <w:tcPr>
            <w:tcW w:w="220" w:type="dxa"/>
            <w:vAlign w:val="bottom"/>
          </w:tcPr>
          <w:p>
            <w:pPr>
              <w:spacing w:after="0"/>
              <w:rPr>
                <w:sz w:val="19"/>
                <w:szCs w:val="19"/>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9"/>
                <w:szCs w:val="19"/>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9"/>
                <w:szCs w:val="19"/>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w w:val="87"/>
              </w:rPr>
              <w:t>Less than 12</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More than 12</w:t>
            </w:r>
          </w:p>
        </w:tc>
        <w:tc>
          <w:tcPr>
            <w:tcW w:w="280" w:type="dxa"/>
            <w:vAlign w:val="bottom"/>
          </w:tcPr>
          <w:p>
            <w:pPr>
              <w:spacing w:after="0"/>
              <w:rPr>
                <w:sz w:val="19"/>
                <w:szCs w:val="19"/>
                <w:color w:val="auto"/>
              </w:rPr>
            </w:pPr>
          </w:p>
        </w:tc>
        <w:tc>
          <w:tcPr>
            <w:tcW w:w="86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Gains/</w:t>
            </w:r>
          </w:p>
        </w:tc>
      </w:tr>
      <w:tr>
        <w:trPr>
          <w:trHeight w:val="187"/>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Months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Months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6"/>
              </w:rPr>
              <w:t>(Losses)</w:t>
            </w:r>
          </w:p>
        </w:tc>
      </w:tr>
      <w:tr>
        <w:trPr>
          <w:trHeight w:val="801"/>
        </w:trPr>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8,053,449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199,028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(46,589)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8,205,888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152,439</w:t>
            </w:r>
          </w:p>
        </w:tc>
      </w:tr>
      <w:tr>
        <w:trPr>
          <w:trHeight w:val="589"/>
        </w:trPr>
        <w:tc>
          <w:tcPr>
            <w:tcW w:w="2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53,728,395</w:t>
            </w:r>
          </w:p>
        </w:tc>
        <w:tc>
          <w:tcPr>
            <w:tcW w:w="20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600,519</w:t>
            </w:r>
          </w:p>
        </w:tc>
        <w:tc>
          <w:tcPr>
            <w:tcW w:w="18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(638,113)</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(5,612)</w:t>
            </w: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53,685,189</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-508000</wp:posOffset>
            </wp:positionV>
            <wp:extent cx="7251065" cy="124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-258445</wp:posOffset>
            </wp:positionV>
            <wp:extent cx="7251065" cy="12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-9525</wp:posOffset>
            </wp:positionV>
            <wp:extent cx="7251065" cy="124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12446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3860" w:space="720"/>
            <w:col w:w="6840"/>
          </w:cols>
          <w:pgMar w:left="240" w:top="754" w:right="239" w:bottom="1440" w:gutter="0" w:footer="0" w:header="0"/>
        </w:sect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securities</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18,814,784</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70,682</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(309,273)</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(38,442)</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18,537,751</w:t>
            </w: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Total fixed-maturity securities</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80,596,628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870,229</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(993,975)</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(44,054)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80,428,828</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Equity Securities: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5,986,588</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10,317</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(241,333)</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(70,571)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5,685,001</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Common stocks and</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exchange traded mutual funds</w:t>
            </w:r>
          </w:p>
        </w:tc>
        <w:tc>
          <w:tcPr>
            <w:tcW w:w="3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3,722,797</w:t>
            </w: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691,324</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(13,968)</w:t>
            </w: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(97,468)</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4,302,685</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579,888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equity securities</w:t>
            </w: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9,709,385</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701,641</w:t>
            </w: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(255,301)</w:t>
            </w: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(168,039)</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9,987,686</w:t>
            </w: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278,301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90,306,013</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1,571,870</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(1,249,276)</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(212,093)</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90,416,514</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 summary of the amortized cost and fair value of the Company’s investments in available-for-sale fixed-maturity securities by contractual maturity as of September 30, 2017 and December 31, 2016 is shown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September 30, 2017</w:t>
            </w: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25"/>
        </w:trPr>
        <w:tc>
          <w:tcPr>
            <w:tcW w:w="59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Remaining Time to Maturity</w:t>
            </w:r>
          </w:p>
        </w:tc>
        <w:tc>
          <w:tcPr>
            <w:tcW w:w="300" w:type="dxa"/>
            <w:vAlign w:val="bottom"/>
          </w:tcPr>
          <w:p>
            <w:pPr>
              <w:spacing w:after="0"/>
              <w:rPr>
                <w:sz w:val="19"/>
                <w:szCs w:val="19"/>
                <w:color w:val="auto"/>
              </w:rPr>
            </w:pPr>
          </w:p>
        </w:tc>
        <w:tc>
          <w:tcPr>
            <w:tcW w:w="1080" w:type="dxa"/>
            <w:vAlign w:val="bottom"/>
          </w:tcPr>
          <w:p>
            <w:pPr>
              <w:jc w:val="right"/>
              <w:ind w:right="279"/>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79"/>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08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080" w:type="dxa"/>
            <w:vAlign w:val="bottom"/>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6"/>
                <w:szCs w:val="16"/>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Less than one year</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2,366,279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2,376,210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1,752,501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1,765,795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One to five years</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31,925,436</w:t>
            </w:r>
          </w:p>
        </w:tc>
        <w:tc>
          <w:tcPr>
            <w:tcW w:w="2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32,558,980</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29,541,568</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29,913,308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Five to ten years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52,234,361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52,888,971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30,487,775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30,211,974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More than 10 years</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2,637,315</w:t>
            </w:r>
          </w:p>
        </w:tc>
        <w:tc>
          <w:tcPr>
            <w:tcW w:w="2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2,705,900</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21,152,407</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21,259,691</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18,814,784</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18,537,751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w w:val="97"/>
              </w:rPr>
              <w:t>110,315,798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9"/>
              </w:rPr>
              <w:t>111,789,752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80,596,628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80,428,828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amortized cost and fair value of investments in held-to-maturity fixed-maturity securities as of September 30, 2017 and December 31, 2016 are summarized as follows: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198"/>
              <w:spacing w:after="0"/>
              <w:rPr>
                <w:sz w:val="20"/>
                <w:szCs w:val="20"/>
                <w:color w:val="auto"/>
              </w:rPr>
            </w:pPr>
            <w:r>
              <w:rPr>
                <w:rFonts w:ascii="Arial" w:cs="Arial" w:eastAsia="Arial" w:hAnsi="Arial"/>
                <w:sz w:val="14"/>
                <w:szCs w:val="14"/>
                <w:b w:val="1"/>
                <w:bCs w:val="1"/>
                <w:color w:val="auto"/>
                <w:w w:val="91"/>
              </w:rPr>
              <w:t>September 30, 2017</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4"/>
                <w:szCs w:val="14"/>
                <w:b w:val="1"/>
                <w:bCs w:val="1"/>
                <w:color w:val="auto"/>
                <w:w w:val="89"/>
              </w:rPr>
              <w:t>Gross Unrealized Losses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5"/>
        </w:trPr>
        <w:tc>
          <w:tcPr>
            <w:tcW w:w="4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Category</w:t>
            </w:r>
          </w:p>
        </w:tc>
        <w:tc>
          <w:tcPr>
            <w:tcW w:w="220" w:type="dxa"/>
            <w:vAlign w:val="bottom"/>
          </w:tcPr>
          <w:p>
            <w:pPr>
              <w:spacing w:after="0"/>
              <w:rPr>
                <w:sz w:val="19"/>
                <w:szCs w:val="19"/>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280" w:type="dxa"/>
            <w:vAlign w:val="bottom"/>
          </w:tcPr>
          <w:p>
            <w:pPr>
              <w:spacing w:after="0"/>
              <w:rPr>
                <w:sz w:val="19"/>
                <w:szCs w:val="19"/>
                <w:color w:val="auto"/>
              </w:rPr>
            </w:pPr>
          </w:p>
        </w:tc>
        <w:tc>
          <w:tcPr>
            <w:tcW w:w="860" w:type="dxa"/>
            <w:vAlign w:val="bottom"/>
          </w:tcPr>
          <w:p>
            <w:pPr>
              <w:jc w:val="center"/>
              <w:ind w:right="19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7"/>
        </w:trPr>
        <w:tc>
          <w:tcPr>
            <w:tcW w:w="4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90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6"/>
                <w:szCs w:val="16"/>
                <w:color w:val="auto"/>
              </w:rPr>
            </w:pPr>
          </w:p>
        </w:tc>
        <w:tc>
          <w:tcPr>
            <w:tcW w:w="86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Months</w:t>
            </w:r>
          </w:p>
        </w:tc>
        <w:tc>
          <w:tcPr>
            <w:tcW w:w="280" w:type="dxa"/>
            <w:vAlign w:val="bottom"/>
          </w:tcPr>
          <w:p>
            <w:pPr>
              <w:spacing w:after="0"/>
              <w:rPr>
                <w:sz w:val="16"/>
                <w:szCs w:val="16"/>
                <w:color w:val="auto"/>
              </w:rPr>
            </w:pPr>
          </w:p>
        </w:tc>
        <w:tc>
          <w:tcPr>
            <w:tcW w:w="86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6"/>
                <w:szCs w:val="16"/>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606,456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147,583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754,039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147,583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1,099,032</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68,375</w:t>
            </w:r>
          </w:p>
        </w:tc>
        <w:tc>
          <w:tcPr>
            <w:tcW w:w="2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w w:val="97"/>
              </w:rPr>
              <w:t>1,167,407</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68,375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3,140,861</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124,122</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(5,270)</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7"/>
              </w:rPr>
              <w:t>3,259,713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118,852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4,846,349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340,080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(5,270)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7"/>
              </w:rPr>
              <w:t>5,181,159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334,810</w:t>
            </w: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98"/>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4"/>
                <w:szCs w:val="14"/>
                <w:b w:val="1"/>
                <w:bCs w:val="1"/>
                <w:color w:val="auto"/>
                <w:w w:val="89"/>
              </w:rPr>
              <w:t>Gross Unrealized Losses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5"/>
        </w:trPr>
        <w:tc>
          <w:tcPr>
            <w:tcW w:w="4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Category</w:t>
            </w:r>
          </w:p>
        </w:tc>
        <w:tc>
          <w:tcPr>
            <w:tcW w:w="220" w:type="dxa"/>
            <w:vAlign w:val="bottom"/>
          </w:tcPr>
          <w:p>
            <w:pPr>
              <w:spacing w:after="0"/>
              <w:rPr>
                <w:sz w:val="19"/>
                <w:szCs w:val="19"/>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280" w:type="dxa"/>
            <w:vAlign w:val="bottom"/>
          </w:tcPr>
          <w:p>
            <w:pPr>
              <w:spacing w:after="0"/>
              <w:rPr>
                <w:sz w:val="19"/>
                <w:szCs w:val="19"/>
                <w:color w:val="auto"/>
              </w:rPr>
            </w:pPr>
          </w:p>
        </w:tc>
        <w:tc>
          <w:tcPr>
            <w:tcW w:w="860" w:type="dxa"/>
            <w:vAlign w:val="bottom"/>
          </w:tcPr>
          <w:p>
            <w:pPr>
              <w:jc w:val="center"/>
              <w:ind w:right="19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7"/>
        </w:trPr>
        <w:tc>
          <w:tcPr>
            <w:tcW w:w="4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90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6"/>
                <w:szCs w:val="16"/>
                <w:color w:val="auto"/>
              </w:rPr>
            </w:pPr>
          </w:p>
        </w:tc>
        <w:tc>
          <w:tcPr>
            <w:tcW w:w="86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Months</w:t>
            </w:r>
          </w:p>
        </w:tc>
        <w:tc>
          <w:tcPr>
            <w:tcW w:w="280" w:type="dxa"/>
            <w:vAlign w:val="bottom"/>
          </w:tcPr>
          <w:p>
            <w:pPr>
              <w:spacing w:after="0"/>
              <w:rPr>
                <w:sz w:val="16"/>
                <w:szCs w:val="16"/>
                <w:color w:val="auto"/>
              </w:rPr>
            </w:pPr>
          </w:p>
        </w:tc>
        <w:tc>
          <w:tcPr>
            <w:tcW w:w="86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6"/>
                <w:szCs w:val="16"/>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419"/>
        </w:trPr>
        <w:tc>
          <w:tcPr>
            <w:tcW w:w="20" w:type="dxa"/>
            <w:vAlign w:val="bottom"/>
            <w:vMerge w:val="restart"/>
          </w:tcPr>
          <w:p>
            <w:pPr>
              <w:spacing w:after="0"/>
              <w:rPr>
                <w:sz w:val="24"/>
                <w:szCs w:val="24"/>
                <w:color w:val="auto"/>
              </w:rPr>
            </w:pPr>
          </w:p>
        </w:tc>
        <w:tc>
          <w:tcPr>
            <w:tcW w:w="45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606,427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147,612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754,039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147,612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1,349,916</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37,321</w:t>
            </w:r>
          </w:p>
        </w:tc>
        <w:tc>
          <w:tcPr>
            <w:tcW w:w="2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w w:val="97"/>
              </w:rPr>
              <w:t>1,387,237</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37,321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3,138,559</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72,784</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(7,619)</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7"/>
              </w:rPr>
              <w:t>3,156,843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18,284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5,094,902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257,717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(7,619)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7"/>
              </w:rPr>
              <w:t>5,298,119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203,217</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the New York State Department of Financial Services’ minimum funds requirement.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3" w:name="page14"/>
    <w:bookmarkEnd w:id="13"/>
    <w:p>
      <w:pPr>
        <w:spacing w:after="0"/>
        <w:rPr>
          <w:sz w:val="20"/>
          <w:szCs w:val="20"/>
          <w:color w:val="auto"/>
        </w:rPr>
      </w:pPr>
      <w:r>
        <w:rPr>
          <w:rFonts w:ascii="Arial" w:cs="Arial" w:eastAsia="Arial" w:hAnsi="Arial"/>
          <w:sz w:val="15"/>
          <w:szCs w:val="15"/>
          <w:color w:val="auto"/>
        </w:rPr>
        <w:t>A summary of the amortized cost and fair value of the Company’s investments in held-to-maturity securities by contractual maturity as of September 30, 2017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is shown below:</w:t>
      </w:r>
    </w:p>
    <w:p>
      <w:pPr>
        <w:sectPr>
          <w:pgSz w:w="11900" w:h="16838" w:orient="portrait"/>
          <w:cols w:equalWidth="0" w:num="1">
            <w:col w:w="11420"/>
          </w:cols>
          <w:pgMar w:left="240" w:top="4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Remaining Time to Maturity</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Less than one year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One to five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Five to ten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More than 10 years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September 30, 2017</w:t>
            </w: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rPr>
              <w:t>December 31, 2016</w:t>
            </w:r>
          </w:p>
        </w:tc>
      </w:tr>
      <w:tr>
        <w:trPr>
          <w:trHeight w:val="212"/>
        </w:trPr>
        <w:tc>
          <w:tcPr>
            <w:tcW w:w="300" w:type="dxa"/>
            <w:vAlign w:val="bottom"/>
          </w:tcPr>
          <w:p>
            <w:pPr>
              <w:spacing w:after="0"/>
              <w:rPr>
                <w:sz w:val="18"/>
                <w:szCs w:val="18"/>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6"/>
        </w:trPr>
        <w:tc>
          <w:tcPr>
            <w:tcW w:w="300" w:type="dxa"/>
            <w:vAlign w:val="bottom"/>
          </w:tcPr>
          <w:p>
            <w:pPr>
              <w:spacing w:after="0"/>
              <w:rPr>
                <w:sz w:val="17"/>
                <w:szCs w:val="17"/>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108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7"/>
                <w:szCs w:val="17"/>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7"/>
                <w:szCs w:val="17"/>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r>
      <w:tr>
        <w:trPr>
          <w:trHeight w:val="420"/>
        </w:trPr>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w:t>
            </w:r>
          </w:p>
        </w:tc>
      </w:tr>
      <w:tr>
        <w:trPr>
          <w:trHeight w:val="209"/>
        </w:trPr>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1,745,332</w:t>
            </w:r>
          </w:p>
        </w:tc>
        <w:tc>
          <w:tcPr>
            <w:tcW w:w="2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1,806,484</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650,000</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642,455</w:t>
            </w:r>
          </w:p>
        </w:tc>
      </w:tr>
      <w:tr>
        <w:trPr>
          <w:trHeight w:val="209"/>
        </w:trPr>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2,494,561</w:t>
            </w:r>
          </w:p>
        </w:tc>
        <w:tc>
          <w:tcPr>
            <w:tcW w:w="2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2,620,636</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3,838,475</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3,901,625</w:t>
            </w:r>
          </w:p>
        </w:tc>
      </w:tr>
      <w:tr>
        <w:trPr>
          <w:trHeight w:val="224"/>
        </w:trPr>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606,456</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754,039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606,427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754,039</w:t>
            </w:r>
          </w:p>
        </w:tc>
      </w:tr>
      <w:tr>
        <w:trPr>
          <w:trHeight w:val="209"/>
        </w:trPr>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4,846,349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5,181,159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5,094,902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5,298,119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-713740</wp:posOffset>
            </wp:positionV>
            <wp:extent cx="7251065" cy="132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-447675</wp:posOffset>
            </wp:positionV>
            <wp:extent cx="7251065" cy="132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-165735</wp:posOffset>
            </wp:positionV>
            <wp:extent cx="7251065" cy="166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16637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-862965</wp:posOffset>
            </wp:positionV>
            <wp:extent cx="725106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80"/>
          </w:cols>
          <w:pgMar w:left="240" w:top="497"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60" w:type="dxa"/>
            <w:vAlign w:val="bottom"/>
            <w:gridSpan w:val="3"/>
          </w:tcPr>
          <w:p>
            <w:pPr>
              <w:jc w:val="right"/>
              <w:ind w:right="65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340" w:type="dxa"/>
            <w:vAlign w:val="bottom"/>
            <w:gridSpan w:val="3"/>
          </w:tcPr>
          <w:p>
            <w:pPr>
              <w:jc w:val="right"/>
              <w:ind w:right="69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Income:</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7"/>
        </w:trPr>
        <w:tc>
          <w:tcPr>
            <w:tcW w:w="59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Fixed-maturity securities</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926,170</w:t>
            </w:r>
          </w:p>
        </w:tc>
        <w:tc>
          <w:tcPr>
            <w:tcW w:w="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602,337</w:t>
            </w:r>
          </w:p>
        </w:tc>
        <w:tc>
          <w:tcPr>
            <w:tcW w:w="4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2,607,166</w:t>
            </w:r>
          </w:p>
        </w:tc>
        <w:tc>
          <w:tcPr>
            <w:tcW w:w="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95"/>
              </w:rPr>
              <w:t>1,952,589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Equity securities</w:t>
            </w:r>
          </w:p>
        </w:tc>
        <w:tc>
          <w:tcPr>
            <w:tcW w:w="3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rPr>
              <w:t>143,826</w:t>
            </w:r>
          </w:p>
        </w:tc>
        <w:tc>
          <w:tcPr>
            <w:tcW w:w="48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135,809</w:t>
            </w:r>
          </w:p>
        </w:tc>
        <w:tc>
          <w:tcPr>
            <w:tcW w:w="4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7"/>
                <w:szCs w:val="17"/>
                <w:color w:val="auto"/>
              </w:rPr>
              <w:t>408,812</w:t>
            </w:r>
          </w:p>
        </w:tc>
        <w:tc>
          <w:tcPr>
            <w:tcW w:w="48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rPr>
              <w:t>416,412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5,772</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5,674</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14,446</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14,852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w:t>
            </w:r>
          </w:p>
        </w:tc>
        <w:tc>
          <w:tcPr>
            <w:tcW w:w="3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rPr>
              <w:t>1,075,768</w:t>
            </w:r>
          </w:p>
        </w:tc>
        <w:tc>
          <w:tcPr>
            <w:tcW w:w="48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743,820</w:t>
            </w:r>
          </w:p>
        </w:tc>
        <w:tc>
          <w:tcPr>
            <w:tcW w:w="4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7"/>
                <w:szCs w:val="17"/>
                <w:color w:val="auto"/>
              </w:rPr>
              <w:t>3,030,424</w:t>
            </w:r>
          </w:p>
        </w:tc>
        <w:tc>
          <w:tcPr>
            <w:tcW w:w="48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color w:val="auto"/>
                <w:w w:val="95"/>
              </w:rPr>
              <w:t>2,383,853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Investment expenses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42,461</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34,748</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113,313</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97,654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1,033,307</w:t>
            </w:r>
          </w:p>
        </w:tc>
        <w:tc>
          <w:tcPr>
            <w:tcW w:w="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709,072</w:t>
            </w:r>
          </w:p>
        </w:tc>
        <w:tc>
          <w:tcPr>
            <w:tcW w:w="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2,917,111</w:t>
            </w:r>
          </w:p>
        </w:tc>
        <w:tc>
          <w:tcPr>
            <w:tcW w:w="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95"/>
              </w:rPr>
              <w:t>2,286,199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Proceeds from the redemption of fixed-maturity securities held-to-maturity were $200,000 and $-0- for the nine months ended September 30, 2017 and 2016, respectively.</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Proceeds from the sale and maturity of fixed-maturity securities available-for-sale were $8,385,874 and $16,347,028 for the nine months ended September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Proceeds from the sale of equity securities available-for-sale were $2,571,122 and $6,065,744 for the nine months ended September 30, 2017 and 2016,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color w:val="auto"/>
        </w:rPr>
        <w:t>The Company’s net realized gains on investments are summarized as follows:</w:t>
      </w:r>
    </w:p>
    <w:p>
      <w:pPr>
        <w:spacing w:after="0" w:line="271" w:lineRule="exact"/>
        <w:rPr>
          <w:sz w:val="20"/>
          <w:szCs w:val="20"/>
          <w:color w:val="auto"/>
        </w:rPr>
      </w:pPr>
    </w:p>
    <w:tbl>
      <w:tblPr>
        <w:tblLayout w:type="fixed"/>
        <w:tblInd w:w="5940" w:type="dxa"/>
        <w:tblCellMar>
          <w:top w:w="0" w:type="dxa"/>
          <w:left w:w="0" w:type="dxa"/>
          <w:bottom w:w="0" w:type="dxa"/>
          <w:right w:w="0" w:type="dxa"/>
        </w:tblCellMar>
      </w:tblPr>
      <w:tr>
        <w:trPr>
          <w:trHeight w:val="186"/>
        </w:trPr>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200"/>
        </w:trPr>
        <w:tc>
          <w:tcPr>
            <w:tcW w:w="8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w w:val="91"/>
              </w:rPr>
              <w:t>September 30,</w:t>
            </w:r>
          </w:p>
        </w:tc>
      </w:tr>
      <w:tr>
        <w:trPr>
          <w:trHeight w:val="215"/>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bl>
    <w:p>
      <w:pPr>
        <w:spacing w:after="0" w:line="1" w:lineRule="exact"/>
        <w:rPr>
          <w:sz w:val="20"/>
          <w:szCs w:val="20"/>
          <w:color w:val="auto"/>
        </w:rPr>
      </w:pPr>
    </w:p>
    <w:p>
      <w:pPr>
        <w:sectPr>
          <w:pgSz w:w="11900" w:h="16838" w:orient="portrait"/>
          <w:cols w:equalWidth="0" w:num="1">
            <w:col w:w="11420"/>
          </w:cols>
          <w:pgMar w:left="240" w:top="497" w:right="239" w:bottom="1440" w:gutter="0" w:footer="0" w:header="0"/>
        </w:sectPr>
      </w:pPr>
    </w:p>
    <w:p>
      <w:pPr>
        <w:spacing w:after="0"/>
        <w:rPr>
          <w:sz w:val="20"/>
          <w:szCs w:val="20"/>
          <w:color w:val="auto"/>
        </w:rPr>
      </w:pPr>
      <w:r>
        <w:rPr>
          <w:rFonts w:ascii="Arial" w:cs="Arial" w:eastAsia="Arial" w:hAnsi="Arial"/>
          <w:sz w:val="15"/>
          <w:szCs w:val="15"/>
          <w:b w:val="1"/>
          <w:bCs w:val="1"/>
          <w:color w:val="auto"/>
        </w:rPr>
        <w:t>Fixed-maturity securities: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gains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Gross realized losses (1)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gains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5,542</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21,173</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67,260</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333,066</w:t>
            </w:r>
          </w:p>
        </w:tc>
      </w:tr>
      <w:tr>
        <w:trPr>
          <w:trHeight w:val="224"/>
        </w:trPr>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(56,783)</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(51,085)</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(167,340)</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(222,056)</w:t>
            </w:r>
          </w:p>
        </w:tc>
      </w:tr>
      <w:tr>
        <w:trPr>
          <w:trHeight w:val="215"/>
        </w:trPr>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(51,241)</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(29,912)</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(100,080)</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111,010</w:t>
            </w:r>
          </w:p>
        </w:tc>
      </w:tr>
      <w:tr>
        <w:trPr>
          <w:trHeight w:val="626"/>
        </w:trPr>
        <w:tc>
          <w:tcPr>
            <w:tcW w:w="460" w:type="dxa"/>
            <w:vAlign w:val="bottom"/>
          </w:tcPr>
          <w:p>
            <w:pPr>
              <w:spacing w:after="0"/>
              <w:rPr>
                <w:sz w:val="24"/>
                <w:szCs w:val="24"/>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229,792</w:t>
            </w:r>
          </w:p>
        </w:tc>
        <w:tc>
          <w:tcPr>
            <w:tcW w:w="420" w:type="dxa"/>
            <w:vAlign w:val="bottom"/>
          </w:tcPr>
          <w:p>
            <w:pPr>
              <w:spacing w:after="0"/>
              <w:rPr>
                <w:sz w:val="24"/>
                <w:szCs w:val="24"/>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270,947</w:t>
            </w:r>
          </w:p>
        </w:tc>
        <w:tc>
          <w:tcPr>
            <w:tcW w:w="400" w:type="dxa"/>
            <w:vAlign w:val="bottom"/>
          </w:tcPr>
          <w:p>
            <w:pPr>
              <w:spacing w:after="0"/>
              <w:rPr>
                <w:sz w:val="24"/>
                <w:szCs w:val="24"/>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386,057</w:t>
            </w:r>
          </w:p>
        </w:tc>
        <w:tc>
          <w:tcPr>
            <w:tcW w:w="380" w:type="dxa"/>
            <w:vAlign w:val="bottom"/>
          </w:tcPr>
          <w:p>
            <w:pPr>
              <w:spacing w:after="0"/>
              <w:rPr>
                <w:sz w:val="24"/>
                <w:szCs w:val="24"/>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586,564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-828675</wp:posOffset>
            </wp:positionV>
            <wp:extent cx="7251065" cy="132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-546100</wp:posOffset>
            </wp:positionV>
            <wp:extent cx="7251065" cy="149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-263525</wp:posOffset>
            </wp:positionV>
            <wp:extent cx="7251065" cy="132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5220" w:space="720"/>
            <w:col w:w="5480"/>
          </w:cols>
          <w:pgMar w:left="240" w:top="497"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realized losses</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(107,553)</w:t>
            </w: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(139,062)</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122,239</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270,947</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246,995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563,804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Other-than-temporary impairment losses: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Fixed-maturity securities</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(50,000)</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(50,000)</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realized gains</w:t>
            </w:r>
          </w:p>
        </w:tc>
        <w:tc>
          <w:tcPr>
            <w:tcW w:w="4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20,998</w:t>
            </w:r>
          </w:p>
        </w:tc>
        <w:tc>
          <w:tcPr>
            <w:tcW w:w="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241,035</w:t>
            </w:r>
          </w:p>
        </w:tc>
        <w:tc>
          <w:tcPr>
            <w:tcW w:w="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96,915</w:t>
            </w:r>
          </w:p>
        </w:tc>
        <w:tc>
          <w:tcPr>
            <w:tcW w:w="4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604,903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319"/>
        <w:spacing w:after="0" w:line="513" w:lineRule="auto"/>
        <w:tabs>
          <w:tab w:leader="none" w:pos="628"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Gross realized losses for the nine months ended September 30, 2017 include $747 of loss from the redemption of fixed-maturity securities held-to-maturity. </w:t>
      </w:r>
      <w:r>
        <w:rPr>
          <w:rFonts w:ascii="Arial" w:cs="Arial" w:eastAsia="Arial" w:hAnsi="Arial"/>
          <w:sz w:val="17"/>
          <w:szCs w:val="17"/>
          <w:u w:val="single" w:color="auto"/>
          <w:color w:val="auto"/>
        </w:rPr>
        <w:t>Impairment Review</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w:t>
      </w:r>
    </w:p>
    <w:p>
      <w:pPr>
        <w:jc w:val="both"/>
        <w:ind w:firstLine="5"/>
        <w:spacing w:after="0" w:line="259" w:lineRule="auto"/>
        <w:tabs>
          <w:tab w:leader="none" w:pos="252" w:val="left"/>
        </w:tabs>
        <w:numPr>
          <w:ilvl w:val="0"/>
          <w:numId w:val="5"/>
        </w:numPr>
        <w:rPr>
          <w:rFonts w:ascii="Arial" w:cs="Arial" w:eastAsia="Arial" w:hAnsi="Arial"/>
          <w:sz w:val="17"/>
          <w:szCs w:val="17"/>
          <w:color w:val="auto"/>
        </w:rPr>
      </w:pPr>
      <w:r>
        <w:rPr>
          <w:rFonts w:ascii="Arial" w:cs="Arial" w:eastAsia="Arial" w:hAnsi="Arial"/>
          <w:sz w:val="17"/>
          <w:szCs w:val="17"/>
          <w:color w:val="auto"/>
        </w:rPr>
        <w:t>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September 30, 2017 and December 31, 2016, there were 67 and 85 securities, respectively, that accounted for the gross unrealized loss. As of September 30, 2017, the Company’s held-to-maturity debt securities included an investment in one bond issued by the Commonwealth of Puerto Rico (“PR”). In July 2016, PR defaulted on its interest payment to bondholders. Due to the credit deterioration of PR, the Company recorded its first credit loss component of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PR and, as a result, the Company recorded an additional credit loss component of OTTI on this investment for the amount of $50,000 during the three months ended September 30, 2017. The total of the two OTTI write-downs of this investment as of September 30, 2017 was $119,911. The Company determined that none of the other unrealized losses were deemed to be OTTI for its portfolio of fixed-maturity investments and equity securities for the nine months ended September 30, 2017 and 2016.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type w:val="continuous"/>
        </w:sectPr>
      </w:pPr>
    </w:p>
    <w:bookmarkStart w:id="15" w:name="page16"/>
    <w:bookmarkEnd w:id="15"/>
    <w:p>
      <w:pPr>
        <w:ind w:right="120"/>
        <w:spacing w:after="0" w:line="281" w:lineRule="auto"/>
        <w:rPr>
          <w:sz w:val="20"/>
          <w:szCs w:val="20"/>
          <w:color w:val="auto"/>
        </w:rPr>
      </w:pPr>
      <w:r>
        <w:rPr>
          <w:rFonts w:ascii="Arial" w:cs="Arial" w:eastAsia="Arial" w:hAnsi="Arial"/>
          <w:sz w:val="17"/>
          <w:szCs w:val="17"/>
          <w:color w:val="auto"/>
        </w:rPr>
        <w:t>The Company held available-for-sale securities with unrealized losses representing declines that were considered temporary at September 30, 2017 and December 31, 2016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September 30, 2017</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4"/>
                <w:szCs w:val="14"/>
                <w:b w:val="1"/>
                <w:bCs w:val="1"/>
                <w:color w:val="auto"/>
                <w:w w:val="90"/>
              </w:rPr>
              <w:t>Less than 12 months</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9"/>
                <w:szCs w:val="19"/>
                <w:color w:val="auto"/>
              </w:rPr>
            </w:pPr>
          </w:p>
        </w:tc>
        <w:tc>
          <w:tcPr>
            <w:tcW w:w="90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Pr>
          <w:p>
            <w:pPr>
              <w:spacing w:after="0"/>
              <w:rPr>
                <w:sz w:val="18"/>
                <w:szCs w:val="18"/>
                <w:color w:val="auto"/>
              </w:rPr>
            </w:pPr>
          </w:p>
        </w:tc>
        <w:tc>
          <w:tcPr>
            <w:tcW w:w="840" w:type="dxa"/>
            <w:vAlign w:val="bottom"/>
          </w:tcPr>
          <w:p>
            <w:pPr>
              <w:jc w:val="right"/>
              <w:ind w:right="278"/>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8"/>
                <w:szCs w:val="18"/>
                <w:color w:val="auto"/>
              </w:rPr>
            </w:pPr>
          </w:p>
        </w:tc>
        <w:tc>
          <w:tcPr>
            <w:tcW w:w="1100" w:type="dxa"/>
            <w:vAlign w:val="bottom"/>
          </w:tcPr>
          <w:p>
            <w:pPr>
              <w:jc w:val="center"/>
              <w:ind w:right="298"/>
              <w:spacing w:after="0"/>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38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8"/>
                <w:szCs w:val="18"/>
                <w:color w:val="auto"/>
              </w:rPr>
            </w:pPr>
          </w:p>
        </w:tc>
        <w:tc>
          <w:tcPr>
            <w:tcW w:w="1080" w:type="dxa"/>
            <w:vAlign w:val="bottom"/>
          </w:tcPr>
          <w:p>
            <w:pPr>
              <w:jc w:val="center"/>
              <w:ind w:right="278"/>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8"/>
                <w:szCs w:val="18"/>
                <w:color w:val="auto"/>
              </w:rPr>
            </w:pPr>
          </w:p>
        </w:tc>
        <w:tc>
          <w:tcPr>
            <w:tcW w:w="900" w:type="dxa"/>
            <w:vAlign w:val="bottom"/>
          </w:tcPr>
          <w:p>
            <w:pPr>
              <w:jc w:val="center"/>
              <w:ind w:right="1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8"/>
                <w:szCs w:val="18"/>
                <w:color w:val="auto"/>
              </w:rPr>
            </w:pPr>
          </w:p>
        </w:tc>
        <w:tc>
          <w:tcPr>
            <w:tcW w:w="92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00"/>
        </w:trPr>
        <w:tc>
          <w:tcPr>
            <w:tcW w:w="230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Held</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10"/>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20"/>
                <w:szCs w:val="20"/>
                <w:color w:val="auto"/>
              </w:rPr>
            </w:pPr>
            <w:r>
              <w:rPr>
                <w:rFonts w:ascii="Arial" w:cs="Arial" w:eastAsia="Arial" w:hAnsi="Arial"/>
                <w:sz w:val="17"/>
                <w:szCs w:val="17"/>
                <w:color w:val="auto"/>
              </w:rPr>
              <w:t>Political subdivisions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7"/>
                <w:szCs w:val="17"/>
                <w:color w:val="auto"/>
              </w:rPr>
              <w:t>States, Territories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2,183,221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(21,223)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2,183,221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bonds industrial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11,306,993</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(204,904)</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4,967,629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(109,623)</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1"/>
              </w:rPr>
              <w:t>16,274,622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(314,527)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5"/>
              </w:rPr>
              <w:t>Residential mortgage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asset backed securities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13,999,289</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(120,346)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1,241,754</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(63,542)</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1"/>
              </w:rPr>
              <w:t>15,241,043</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(183,888)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fixed-maturity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27,489,503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(346,473)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6,209,383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(173,165)</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33,698,886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(519,638)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1,738,380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8"/>
              <w:spacing w:after="0"/>
              <w:rPr>
                <w:sz w:val="20"/>
                <w:szCs w:val="20"/>
                <w:color w:val="auto"/>
              </w:rPr>
            </w:pPr>
            <w:r>
              <w:rPr>
                <w:rFonts w:ascii="Arial" w:cs="Arial" w:eastAsia="Arial" w:hAnsi="Arial"/>
                <w:sz w:val="17"/>
                <w:szCs w:val="17"/>
                <w:color w:val="auto"/>
              </w:rPr>
              <w:t>(26,360)</w:t>
            </w:r>
          </w:p>
        </w:tc>
        <w:tc>
          <w:tcPr>
            <w:tcW w:w="860" w:type="dxa"/>
            <w:vAlign w:val="bottom"/>
          </w:tcPr>
          <w:p>
            <w:pPr>
              <w:jc w:val="right"/>
              <w:spacing w:after="0"/>
              <w:rPr>
                <w:sz w:val="20"/>
                <w:szCs w:val="20"/>
                <w:color w:val="auto"/>
              </w:rPr>
            </w:pPr>
            <w:r>
              <w:rPr>
                <w:rFonts w:ascii="Arial" w:cs="Arial" w:eastAsia="Arial" w:hAnsi="Arial"/>
                <w:sz w:val="17"/>
                <w:szCs w:val="17"/>
                <w:color w:val="auto"/>
              </w:rPr>
              <w:t>6</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7"/>
              </w:rPr>
              <w:t>1,786,150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(107,477)</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3,524,530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(133,837)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Common stocks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40"/>
              <w:spacing w:after="0"/>
              <w:rPr>
                <w:sz w:val="20"/>
                <w:szCs w:val="20"/>
                <w:color w:val="auto"/>
              </w:rPr>
            </w:pPr>
            <w:r>
              <w:rPr>
                <w:rFonts w:ascii="Arial" w:cs="Arial" w:eastAsia="Arial" w:hAnsi="Arial"/>
                <w:sz w:val="17"/>
                <w:szCs w:val="17"/>
                <w:color w:val="auto"/>
                <w:w w:val="92"/>
              </w:rPr>
              <w:t>exchange traded mutual funds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1,612,300</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(77,429)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299,250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(59,168)</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1,911,550</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(136,597)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3,350,680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(103,789)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2,085,400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(166,645)</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5,436,080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(270,434)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30,840,183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(450,262)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8,294,783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(339,810)</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1"/>
              </w:rPr>
              <w:t>39,134,966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14</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December 31, 2016</w:t>
            </w: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Less than 12 months</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7"/>
                <w:szCs w:val="17"/>
                <w:b w:val="1"/>
                <w:bCs w:val="1"/>
                <w:color w:val="auto"/>
                <w:w w:val="88"/>
              </w:rPr>
              <w:t>12 months or more</w:t>
            </w: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Total</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1"/>
              </w:rPr>
              <w:t>No. of</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No. of</w:t>
            </w:r>
          </w:p>
        </w:tc>
        <w:tc>
          <w:tcPr>
            <w:tcW w:w="200" w:type="dxa"/>
            <w:vAlign w:val="bottom"/>
          </w:tcPr>
          <w:p>
            <w:pPr>
              <w:spacing w:after="0"/>
              <w:rPr>
                <w:sz w:val="17"/>
                <w:szCs w:val="17"/>
                <w:color w:val="auto"/>
              </w:rPr>
            </w:pPr>
          </w:p>
        </w:tc>
        <w:tc>
          <w:tcPr>
            <w:tcW w:w="940" w:type="dxa"/>
            <w:vAlign w:val="bottom"/>
          </w:tcPr>
          <w:p>
            <w:pPr>
              <w:jc w:val="center"/>
              <w:ind w:right="115"/>
              <w:spacing w:after="0"/>
              <w:rPr>
                <w:sz w:val="20"/>
                <w:szCs w:val="20"/>
                <w:color w:val="auto"/>
              </w:rPr>
            </w:pPr>
            <w:r>
              <w:rPr>
                <w:rFonts w:ascii="Arial" w:cs="Arial" w:eastAsia="Arial" w:hAnsi="Arial"/>
                <w:sz w:val="17"/>
                <w:szCs w:val="17"/>
                <w:b w:val="1"/>
                <w:bCs w:val="1"/>
                <w:color w:val="auto"/>
                <w:w w:val="87"/>
              </w:rPr>
              <w:t>Aggregate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8"/>
              <w:spacing w:after="0"/>
              <w:rPr>
                <w:sz w:val="20"/>
                <w:szCs w:val="20"/>
                <w:color w:val="auto"/>
              </w:rPr>
            </w:pPr>
            <w:r>
              <w:rPr>
                <w:rFonts w:ascii="Arial" w:cs="Arial" w:eastAsia="Arial" w:hAnsi="Arial"/>
                <w:sz w:val="14"/>
                <w:szCs w:val="14"/>
                <w:b w:val="1"/>
                <w:bCs w:val="1"/>
                <w:color w:val="auto"/>
              </w:rPr>
              <w:t>Fair</w:t>
            </w:r>
          </w:p>
        </w:tc>
        <w:tc>
          <w:tcPr>
            <w:tcW w:w="13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Unrealized</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6"/>
              </w:rPr>
              <w:t>Positions</w:t>
            </w:r>
          </w:p>
        </w:tc>
        <w:tc>
          <w:tcPr>
            <w:tcW w:w="380" w:type="dxa"/>
            <w:vAlign w:val="bottom"/>
          </w:tcPr>
          <w:p>
            <w:pPr>
              <w:spacing w:after="0"/>
              <w:rPr>
                <w:sz w:val="18"/>
                <w:szCs w:val="18"/>
                <w:color w:val="auto"/>
              </w:rPr>
            </w:pPr>
          </w:p>
        </w:tc>
        <w:tc>
          <w:tcPr>
            <w:tcW w:w="880" w:type="dxa"/>
            <w:vAlign w:val="bottom"/>
          </w:tcPr>
          <w:p>
            <w:pPr>
              <w:jc w:val="right"/>
              <w:ind w:right="336"/>
              <w:spacing w:after="0"/>
              <w:rPr>
                <w:sz w:val="20"/>
                <w:szCs w:val="20"/>
                <w:color w:val="auto"/>
              </w:rPr>
            </w:pPr>
            <w:r>
              <w:rPr>
                <w:rFonts w:ascii="Arial" w:cs="Arial" w:eastAsia="Arial" w:hAnsi="Arial"/>
                <w:sz w:val="17"/>
                <w:szCs w:val="17"/>
                <w:b w:val="1"/>
                <w:bCs w:val="1"/>
                <w:color w:val="auto"/>
              </w:rPr>
              <w:t>Fair</w:t>
            </w:r>
          </w:p>
        </w:tc>
        <w:tc>
          <w:tcPr>
            <w:tcW w:w="1300" w:type="dxa"/>
            <w:vAlign w:val="bottom"/>
            <w:gridSpan w:val="2"/>
          </w:tcPr>
          <w:p>
            <w:pPr>
              <w:jc w:val="center"/>
              <w:ind w:right="95"/>
              <w:spacing w:after="0"/>
              <w:rPr>
                <w:sz w:val="20"/>
                <w:szCs w:val="20"/>
                <w:color w:val="auto"/>
              </w:rPr>
            </w:pPr>
            <w:r>
              <w:rPr>
                <w:rFonts w:ascii="Arial" w:cs="Arial" w:eastAsia="Arial" w:hAnsi="Arial"/>
                <w:sz w:val="17"/>
                <w:szCs w:val="17"/>
                <w:b w:val="1"/>
                <w:bCs w:val="1"/>
                <w:color w:val="auto"/>
                <w:w w:val="92"/>
              </w:rPr>
              <w:t>Unrealized</w:t>
            </w:r>
          </w:p>
        </w:tc>
        <w:tc>
          <w:tcPr>
            <w:tcW w:w="960" w:type="dxa"/>
            <w:vAlign w:val="bottom"/>
          </w:tcPr>
          <w:p>
            <w:pPr>
              <w:jc w:val="center"/>
              <w:ind w:right="75"/>
              <w:spacing w:after="0"/>
              <w:rPr>
                <w:sz w:val="20"/>
                <w:szCs w:val="20"/>
                <w:color w:val="auto"/>
              </w:rPr>
            </w:pPr>
            <w:r>
              <w:rPr>
                <w:rFonts w:ascii="Arial" w:cs="Arial" w:eastAsia="Arial" w:hAnsi="Arial"/>
                <w:sz w:val="17"/>
                <w:szCs w:val="17"/>
                <w:b w:val="1"/>
                <w:bCs w:val="1"/>
                <w:color w:val="auto"/>
                <w:w w:val="83"/>
              </w:rPr>
              <w:t>Positions</w:t>
            </w:r>
          </w:p>
        </w:tc>
        <w:tc>
          <w:tcPr>
            <w:tcW w:w="200" w:type="dxa"/>
            <w:vAlign w:val="bottom"/>
          </w:tcPr>
          <w:p>
            <w:pPr>
              <w:spacing w:after="0"/>
              <w:rPr>
                <w:sz w:val="18"/>
                <w:szCs w:val="18"/>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rPr>
              <w:t>Fair</w:t>
            </w:r>
          </w:p>
        </w:tc>
        <w:tc>
          <w:tcPr>
            <w:tcW w:w="114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Unrealized</w:t>
            </w:r>
          </w:p>
        </w:tc>
        <w:tc>
          <w:tcPr>
            <w:tcW w:w="0" w:type="dxa"/>
            <w:vAlign w:val="bottom"/>
          </w:tcPr>
          <w:p>
            <w:pPr>
              <w:spacing w:after="0"/>
              <w:rPr>
                <w:sz w:val="1"/>
                <w:szCs w:val="1"/>
                <w:color w:val="auto"/>
              </w:rPr>
            </w:pPr>
          </w:p>
        </w:tc>
      </w:tr>
      <w:tr>
        <w:trPr>
          <w:trHeight w:val="228"/>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15"/>
              <w:spacing w:after="0"/>
              <w:rPr>
                <w:sz w:val="20"/>
                <w:szCs w:val="20"/>
                <w:color w:val="auto"/>
              </w:rPr>
            </w:pPr>
            <w:r>
              <w:rPr>
                <w:rFonts w:ascii="Arial" w:cs="Arial" w:eastAsia="Arial" w:hAnsi="Arial"/>
                <w:sz w:val="17"/>
                <w:szCs w:val="17"/>
                <w:b w:val="1"/>
                <w:bCs w:val="1"/>
                <w:color w:val="auto"/>
                <w:w w:val="81"/>
              </w:rPr>
              <w:t>Losses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Held</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Value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55"/>
              <w:spacing w:after="0"/>
              <w:rPr>
                <w:sz w:val="20"/>
                <w:szCs w:val="20"/>
                <w:color w:val="auto"/>
              </w:rPr>
            </w:pPr>
            <w:r>
              <w:rPr>
                <w:rFonts w:ascii="Arial" w:cs="Arial" w:eastAsia="Arial" w:hAnsi="Arial"/>
                <w:sz w:val="17"/>
                <w:szCs w:val="17"/>
                <w:b w:val="1"/>
                <w:bCs w:val="1"/>
                <w:color w:val="auto"/>
                <w:w w:val="81"/>
              </w:rPr>
              <w:t>Losses</w:t>
            </w: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7"/>
              </w:rPr>
              <w:t>Held</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88"/>
              </w:rPr>
              <w:t>Value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5"/>
              </w:rPr>
              <w:t>Losses</w:t>
            </w:r>
          </w:p>
        </w:tc>
        <w:tc>
          <w:tcPr>
            <w:tcW w:w="0" w:type="dxa"/>
            <w:vAlign w:val="bottom"/>
          </w:tcPr>
          <w:p>
            <w:pPr>
              <w:spacing w:after="0"/>
              <w:rPr>
                <w:sz w:val="1"/>
                <w:szCs w:val="1"/>
                <w:color w:val="auto"/>
              </w:rPr>
            </w:pPr>
          </w:p>
        </w:tc>
      </w:tr>
      <w:tr>
        <w:trPr>
          <w:trHeight w:val="410"/>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20"/>
                <w:szCs w:val="20"/>
                <w:color w:val="auto"/>
              </w:rPr>
            </w:pPr>
            <w:r>
              <w:rPr>
                <w:rFonts w:ascii="Arial" w:cs="Arial" w:eastAsia="Arial" w:hAnsi="Arial"/>
                <w:sz w:val="17"/>
                <w:szCs w:val="17"/>
                <w:color w:val="auto"/>
              </w:rPr>
              <w:t>Political subdivisions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7"/>
                <w:szCs w:val="17"/>
                <w:color w:val="auto"/>
              </w:rPr>
              <w:t>States, Territories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1,067,574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(46,589)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1,067,574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bonds industrial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19,859,293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(638,113)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239,970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(5,612)</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6"/>
              </w:rPr>
              <w:t>20,099,263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(643,725)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backed securities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15,918,090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(309,273)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675,316</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(38,442)</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6"/>
              </w:rPr>
              <w:t>16,593,406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(347,715)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fixed-maturity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36,844,957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(993,975)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915,286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(44,054)</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6"/>
              </w:rPr>
              <w:t>37,760,243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(1,038,029)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3,759,850</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5"/>
              <w:spacing w:after="0"/>
              <w:rPr>
                <w:sz w:val="20"/>
                <w:szCs w:val="20"/>
                <w:color w:val="auto"/>
              </w:rPr>
            </w:pPr>
            <w:r>
              <w:rPr>
                <w:rFonts w:ascii="Arial" w:cs="Arial" w:eastAsia="Arial" w:hAnsi="Arial"/>
                <w:sz w:val="17"/>
                <w:szCs w:val="17"/>
                <w:color w:val="auto"/>
              </w:rPr>
              <w:t>(241,333)</w:t>
            </w:r>
          </w:p>
        </w:tc>
        <w:tc>
          <w:tcPr>
            <w:tcW w:w="880" w:type="dxa"/>
            <w:vAlign w:val="bottom"/>
          </w:tcPr>
          <w:p>
            <w:pPr>
              <w:jc w:val="right"/>
              <w:spacing w:after="0"/>
              <w:rPr>
                <w:sz w:val="20"/>
                <w:szCs w:val="20"/>
                <w:color w:val="auto"/>
              </w:rPr>
            </w:pPr>
            <w:r>
              <w:rPr>
                <w:rFonts w:ascii="Arial" w:cs="Arial" w:eastAsia="Arial" w:hAnsi="Arial"/>
                <w:sz w:val="17"/>
                <w:szCs w:val="17"/>
                <w:color w:val="auto"/>
              </w:rPr>
              <w:t>8</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660,750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5"/>
              <w:spacing w:after="0"/>
              <w:rPr>
                <w:sz w:val="20"/>
                <w:szCs w:val="20"/>
                <w:color w:val="auto"/>
              </w:rPr>
            </w:pPr>
            <w:r>
              <w:rPr>
                <w:rFonts w:ascii="Arial" w:cs="Arial" w:eastAsia="Arial" w:hAnsi="Arial"/>
                <w:sz w:val="17"/>
                <w:szCs w:val="17"/>
                <w:color w:val="auto"/>
              </w:rPr>
              <w:t>(70,571)</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4,420,600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(311,904)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Common stocks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40"/>
              <w:spacing w:after="0"/>
              <w:rPr>
                <w:sz w:val="20"/>
                <w:szCs w:val="20"/>
                <w:color w:val="auto"/>
              </w:rPr>
            </w:pPr>
            <w:r>
              <w:rPr>
                <w:rFonts w:ascii="Arial" w:cs="Arial" w:eastAsia="Arial" w:hAnsi="Arial"/>
                <w:sz w:val="17"/>
                <w:szCs w:val="17"/>
                <w:color w:val="auto"/>
                <w:w w:val="92"/>
              </w:rPr>
              <w:t>exchange traded mutual funds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288,075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(13,968)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424,550</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(97,468)</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712,625</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4,047,925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(255,301)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7"/>
              </w:rPr>
              <w:t>1,085,300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(168,039)</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5,133,225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(423,340)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40,892,882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4"/>
              </w:rPr>
              <w:t>(1,249,276)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7"/>
              </w:rPr>
              <w:t>2,000,586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(212,093)</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6"/>
              </w:rPr>
              <w:t>42,893,468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(1,461,369)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15</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an active exchange (such as the NASDAQ Global Select Market), U.S. Treasury securities and obligations of U.S. government agencies, together with corporate debt securities that are generally investment grade.</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The Company’s investments are allocated among pricing input levels at September 30, 2017 and December 31, 2016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rPr>
              <w:t>September 30, 2017</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0"/>
        </w:trPr>
        <w:tc>
          <w:tcPr>
            <w:tcW w:w="594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7"/>
                <w:szCs w:val="17"/>
                <w:color w:val="auto"/>
              </w:rPr>
              <w:t>Political subdivisions of</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7"/>
                <w:szCs w:val="17"/>
                <w:color w:val="auto"/>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11,693,540</w:t>
            </w:r>
          </w:p>
        </w:tc>
        <w:tc>
          <w:tcPr>
            <w:tcW w:w="106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11,693,540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74,017,938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4,818,583</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78,836,521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21,259,691</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21,259,691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fixed maturities</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74,017,938</w:t>
            </w:r>
          </w:p>
        </w:tc>
        <w:tc>
          <w:tcPr>
            <w:tcW w:w="34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37,771,814</w:t>
            </w:r>
          </w:p>
        </w:tc>
        <w:tc>
          <w:tcPr>
            <w:tcW w:w="106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w w:val="95"/>
              </w:rPr>
              <w:t>111,789,752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13,221,116</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13,221,116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investments</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87,239,054</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37,771,814</w:t>
            </w:r>
          </w:p>
        </w:tc>
        <w:tc>
          <w:tcPr>
            <w:tcW w:w="106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95"/>
              </w:rPr>
              <w:t>125,010,868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0"/>
        </w:trPr>
        <w:tc>
          <w:tcPr>
            <w:tcW w:w="594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7"/>
                <w:szCs w:val="17"/>
                <w:color w:val="auto"/>
              </w:rPr>
              <w:t>Political subdivisions of</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7"/>
                <w:szCs w:val="17"/>
                <w:color w:val="auto"/>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8,205,888</w:t>
            </w:r>
          </w:p>
        </w:tc>
        <w:tc>
          <w:tcPr>
            <w:tcW w:w="106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8,205,888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48,356,317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5,328,872</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53,685,189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backed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18,537,751</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18,537,751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fixed maturities</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48,356,317</w:t>
            </w:r>
          </w:p>
        </w:tc>
        <w:tc>
          <w:tcPr>
            <w:tcW w:w="34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32,072,511</w:t>
            </w:r>
          </w:p>
        </w:tc>
        <w:tc>
          <w:tcPr>
            <w:tcW w:w="106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80,428,828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9,987,686</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9,987,686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investments</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58,344,003</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32,072,511</w:t>
            </w:r>
          </w:p>
        </w:tc>
        <w:tc>
          <w:tcPr>
            <w:tcW w:w="106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90,416,514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of Financial Instruments and Real Estate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following methods and assumptions in estimating its fair value disclosures for financial instruments and real estate: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Equity securities and fixed income securities: </w:t>
      </w:r>
      <w:r>
        <w:rPr>
          <w:rFonts w:ascii="Arial" w:cs="Arial" w:eastAsia="Arial" w:hAnsi="Arial"/>
          <w:sz w:val="17"/>
          <w:szCs w:val="17"/>
          <w:color w:val="auto"/>
        </w:rPr>
        <w:t>Fair value is based on quoted market prices from a recognized pricing service.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4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 xml:space="preserve">Premiums receivable and reinsurance receivables: </w:t>
      </w:r>
      <w:r>
        <w:rPr>
          <w:rFonts w:ascii="Arial" w:cs="Arial" w:eastAsia="Arial" w:hAnsi="Arial"/>
          <w:sz w:val="17"/>
          <w:szCs w:val="17"/>
          <w:color w:val="auto"/>
        </w:rPr>
        <w:t>The carrying values reported in the accompanying condensed consolidated balance sheets for these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 approximate their fair values due to the short-term nature of the assets.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Real estate: </w:t>
      </w:r>
      <w:r>
        <w:rPr>
          <w:rFonts w:ascii="Arial" w:cs="Arial" w:eastAsia="Arial" w:hAnsi="Arial"/>
          <w:sz w:val="17"/>
          <w:szCs w:val="17"/>
          <w:color w:val="auto"/>
        </w:rPr>
        <w:t>The fair value of the land and building included in property and equipment, which is used in the Company’s operations, approximates the carrying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fair value was based on an appraisal prepared using the sales comparison approach and income approach, and accordingly the real estate is a Level 3 asset under the fair value hierarchy.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September 30, 2017 and December 31, 2016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September 30, 2017</w:t>
            </w:r>
          </w:p>
        </w:tc>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Fixed-maturity securities held-to-maturity</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4,846,349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5,181,159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5,094,902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5,298,119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25,880,306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25,880,306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12,044,520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12,044,520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 receivable</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13,394,800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13,394,800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11,649,398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11,649,398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Reinsurance receivables</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24,971,272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24,971,272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32,197,765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32,197,765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 estate, net of accumulated depreciation</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1,848,264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1,925,000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1,659,405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Reinsurance balances payable</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1,812,348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1,812,348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2,146,017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2,146,017</w:t>
            </w:r>
          </w:p>
        </w:tc>
        <w:tc>
          <w:tcPr>
            <w:tcW w:w="0" w:type="dxa"/>
            <w:vAlign w:val="bottom"/>
          </w:tcPr>
          <w:p>
            <w:pPr>
              <w:spacing w:after="0"/>
              <w:rPr>
                <w:sz w:val="1"/>
                <w:szCs w:val="1"/>
                <w:color w:val="auto"/>
              </w:rPr>
            </w:pPr>
          </w:p>
        </w:tc>
      </w:tr>
      <w:tr>
        <w:trPr>
          <w:trHeight w:val="619"/>
        </w:trPr>
        <w:tc>
          <w:tcPr>
            <w:tcW w:w="5940" w:type="dxa"/>
            <w:vAlign w:val="bottom"/>
            <w:gridSpan w:val="3"/>
          </w:tcPr>
          <w:p>
            <w:pPr>
              <w:spacing w:after="0"/>
              <w:rPr>
                <w:sz w:val="20"/>
                <w:szCs w:val="20"/>
                <w:color w:val="auto"/>
              </w:rPr>
            </w:pPr>
            <w:r>
              <w:rPr>
                <w:rFonts w:ascii="Arial" w:cs="Arial" w:eastAsia="Arial" w:hAnsi="Arial"/>
                <w:sz w:val="17"/>
                <w:szCs w:val="17"/>
                <w:b w:val="1"/>
                <w:bCs w:val="1"/>
                <w:color w:val="auto"/>
              </w:rPr>
              <w:t>Note 6 – Property and Casualty Insurance Activity</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Premiums Earned</w:t>
            </w:r>
          </w:p>
        </w:tc>
        <w:tc>
          <w:tcPr>
            <w:tcW w:w="4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940" w:type="dxa"/>
            <w:vAlign w:val="bottom"/>
            <w:gridSpan w:val="3"/>
          </w:tcPr>
          <w:p>
            <w:pPr>
              <w:spacing w:after="0"/>
              <w:rPr>
                <w:sz w:val="20"/>
                <w:szCs w:val="20"/>
                <w:color w:val="auto"/>
              </w:rPr>
            </w:pPr>
            <w:r>
              <w:rPr>
                <w:rFonts w:ascii="Arial" w:cs="Arial" w:eastAsia="Arial" w:hAnsi="Arial"/>
                <w:sz w:val="17"/>
                <w:szCs w:val="17"/>
                <w:color w:val="auto"/>
              </w:rPr>
              <w:t>Premiums written, ceded and earned are as follows: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Direct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Assumed</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Ceded</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16"/>
        </w:trPr>
        <w:tc>
          <w:tcPr>
            <w:tcW w:w="5940" w:type="dxa"/>
            <w:vAlign w:val="bottom"/>
            <w:gridSpan w:val="3"/>
          </w:tcPr>
          <w:p>
            <w:pPr>
              <w:spacing w:after="0"/>
              <w:rPr>
                <w:sz w:val="20"/>
                <w:szCs w:val="20"/>
                <w:color w:val="auto"/>
              </w:rPr>
            </w:pPr>
            <w:r>
              <w:rPr>
                <w:rFonts w:ascii="Arial" w:cs="Arial" w:eastAsia="Arial" w:hAnsi="Arial"/>
                <w:sz w:val="17"/>
                <w:szCs w:val="17"/>
                <w:b w:val="1"/>
                <w:bCs w:val="1"/>
                <w:color w:val="auto"/>
              </w:rPr>
              <w:t>Nine months ended September 30, 2017</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 written</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89,423,758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18,203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(20,719,037)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68,722,924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(8,456,690)</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8,162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(5,436,513)</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(13,885,041)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80,967,068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26,365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99"/>
              </w:rPr>
              <w:t>(26,155,550)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54,837,883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Nine months ended September 30, 2016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written</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76,375,159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14,631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w w:val="99"/>
              </w:rPr>
              <w:t>(27,542,953)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48,846,837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(4,875,664)</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2,058</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1,215,500</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(3,658,106)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71,499,495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16,689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9"/>
              </w:rPr>
              <w:t>(26,327,453)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45,188,731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September 30, 2017</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 written</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32,839,891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11,910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(590,482)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32,261,319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(4,407,894)</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(6,338,852)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(10,746,911)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28,431,997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11,745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(6,929,334)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21,514,408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Three months ended September 30, 2016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written</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27,170,743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(1,367)</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(9,937,096)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17,232,280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(2,302,119)</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(1,479)</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717,499</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(1,586,099)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24,868,624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(2,846)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(9,219,597)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15,646,181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6473190</wp:posOffset>
            </wp:positionH>
            <wp:positionV relativeFrom="paragraph">
              <wp:posOffset>-1627505</wp:posOffset>
            </wp:positionV>
            <wp:extent cx="825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September 30, 2017 and December 31, 2016 was approximately $2,087,000 and $1,422,000, respectively.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41,736,719</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39,876,500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Less reinsurance recoverables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w w:val="99"/>
              </w:rPr>
              <w:t>(15,776,880)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(16,706,364)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balance,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25,959,839</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23,170,136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Incurred related to:</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Current year</w:t>
            </w:r>
          </w:p>
        </w:tc>
        <w:tc>
          <w:tcPr>
            <w:tcW w:w="320" w:type="dxa"/>
            <w:vAlign w:val="bottom"/>
          </w:tcPr>
          <w:p>
            <w:pPr>
              <w:spacing w:after="0"/>
              <w:rPr>
                <w:sz w:val="18"/>
                <w:szCs w:val="18"/>
                <w:color w:val="auto"/>
              </w:rPr>
            </w:pP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23,071,466</w:t>
            </w:r>
          </w:p>
        </w:tc>
        <w:tc>
          <w:tcPr>
            <w:tcW w:w="28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20,572,367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(250,225)</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(166,822)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 incurred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22,821,241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20,405,545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Paid related to:</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12,955,928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11,855,911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8,176,715</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7,359,828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paid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21,132,643</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19,215,739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balance at end of period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27,648,437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24,359,942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Add reinsurance recoverables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14,642,360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15,442,381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42,290,797</w:t>
            </w:r>
          </w:p>
        </w:tc>
        <w:tc>
          <w:tcPr>
            <w:tcW w:w="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39,802,323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Incurred losses and LAE are net of reinsurance recoveries under reinsurance contracts of $8,503,237 and $8,676,621 for the nine months ended September 30, 2017 and 2016, respectively.</w:t>
      </w:r>
    </w:p>
    <w:p>
      <w:pPr>
        <w:spacing w:after="0" w:line="170"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Prior year incurred loss and LAE development is based upon estimates by line of business and accident year. Prior year loss and LAE development incurred during the nine months ended September 30, 2017 and 2016 was $(250,225) favorable and $(166,822) favorable, respectively. The Company’s management continually monitors claims activity to assess the appropriateness of carried case and incurred but not reported (“IBNR”) reserves, giving consideration to Company and industry trends.</w:t>
      </w:r>
    </w:p>
    <w:p>
      <w:pPr>
        <w:spacing w:after="0" w:line="1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monthly basis, the Company reviews by line of business existing reserves, new claims, changes to existing case reserves and paid losses with respect to the current and prior years. Several methods are used, varying by product line and accident year, in order to determine the required IBNR reserves. These methods include the following: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46" w:lineRule="exact"/>
        <w:rPr>
          <w:sz w:val="20"/>
          <w:szCs w:val="20"/>
          <w:color w:val="auto"/>
        </w:rPr>
      </w:pPr>
    </w:p>
    <w:p>
      <w:pPr>
        <w:jc w:val="both"/>
        <w:ind w:left="640"/>
        <w:spacing w:after="0" w:line="281"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incurred loss emergence in order to estimate required reserves.</w:t>
      </w:r>
    </w:p>
    <w:p>
      <w:pPr>
        <w:spacing w:after="0" w:line="170"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w:t>
      </w:r>
      <w:r>
        <w:rPr>
          <w:rFonts w:ascii="Arial" w:cs="Arial" w:eastAsia="Arial" w:hAnsi="Arial"/>
          <w:sz w:val="16"/>
          <w:szCs w:val="16"/>
          <w:i w:val="1"/>
          <w:iCs w:val="1"/>
          <w:color w:val="auto"/>
        </w:rPr>
        <w:t xml:space="preserve"> </w:t>
      </w:r>
      <w:r>
        <w:rPr>
          <w:rFonts w:ascii="Arial" w:cs="Arial" w:eastAsia="Arial" w:hAnsi="Arial"/>
          <w:sz w:val="16"/>
          <w:szCs w:val="16"/>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1" w:name="page22"/>
    <w:bookmarkEnd w:id="21"/>
    <w:p>
      <w:pPr>
        <w:jc w:val="both"/>
        <w:ind w:left="640"/>
        <w:spacing w:after="0" w:line="286"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2014 and prior is limited although there remains the possibility of adverse development on reported claims (‘case development’ IBNR).</w:t>
      </w:r>
    </w:p>
    <w:p>
      <w:pPr>
        <w:spacing w:after="0" w:line="180"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The following is information about incurred and paid claims development as of September 30, 2017, net of reinsurance, as well as the cumulative reported claims by accident year and total IBNR reserves as of September 30, 2017 included in the net incurred loss and allocated expense amounts. The historical information regarding incurred and paid claims development for the years ended December 31, 2008 to December 31, 2015 is presented as supplementary unaudited information.</w:t>
      </w:r>
    </w:p>
    <w:p>
      <w:pPr>
        <w:spacing w:after="0" w:line="14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reported claims data)</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27"/>
              <w:spacing w:after="0"/>
              <w:rPr>
                <w:sz w:val="20"/>
                <w:szCs w:val="20"/>
                <w:color w:val="auto"/>
              </w:rPr>
            </w:pPr>
            <w:r>
              <w:rPr>
                <w:rFonts w:ascii="Arial" w:cs="Arial" w:eastAsia="Arial" w:hAnsi="Arial"/>
                <w:sz w:val="17"/>
                <w:szCs w:val="17"/>
                <w:b w:val="1"/>
                <w:bCs w:val="1"/>
                <w:color w:val="auto"/>
                <w:w w:val="89"/>
              </w:rPr>
              <w:t>As of</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11"/>
          </w:tcPr>
          <w:p>
            <w:pPr>
              <w:jc w:val="right"/>
              <w:ind w:right="308"/>
              <w:spacing w:after="0"/>
              <w:rPr>
                <w:sz w:val="20"/>
                <w:szCs w:val="20"/>
                <w:color w:val="auto"/>
              </w:rPr>
            </w:pPr>
            <w:r>
              <w:rPr>
                <w:rFonts w:ascii="Arial" w:cs="Arial" w:eastAsia="Arial" w:hAnsi="Arial"/>
                <w:sz w:val="14"/>
                <w:szCs w:val="14"/>
                <w:b w:val="1"/>
                <w:bCs w:val="1"/>
                <w:color w:val="auto"/>
                <w:w w:val="93"/>
              </w:rPr>
              <w:t>Incurred Loss and Allocated Loss Adjustment Expenses, Net of Reinsurance</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 2017</w:t>
            </w:r>
          </w:p>
        </w:tc>
      </w:tr>
      <w:tr>
        <w:trPr>
          <w:trHeight w:val="215"/>
        </w:trPr>
        <w:tc>
          <w:tcPr>
            <w:tcW w:w="5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For the Years Ended December 31,</w:t>
            </w:r>
          </w:p>
        </w:tc>
        <w:tc>
          <w:tcPr>
            <w:tcW w:w="6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Cumulative</w:t>
            </w:r>
          </w:p>
        </w:tc>
      </w:tr>
      <w:tr>
        <w:trPr>
          <w:trHeight w:val="157"/>
        </w:trPr>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4"/>
              </w:rPr>
              <w:t>Number</w:t>
            </w:r>
          </w:p>
        </w:tc>
      </w:tr>
      <w:tr>
        <w:trPr>
          <w:trHeight w:val="157"/>
        </w:trPr>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88"/>
              <w:spacing w:after="0" w:line="157" w:lineRule="exact"/>
              <w:rPr>
                <w:sz w:val="20"/>
                <w:szCs w:val="20"/>
                <w:color w:val="auto"/>
              </w:rPr>
            </w:pPr>
            <w:r>
              <w:rPr>
                <w:rFonts w:ascii="Arial" w:cs="Arial" w:eastAsia="Arial" w:hAnsi="Arial"/>
                <w:sz w:val="14"/>
                <w:szCs w:val="14"/>
                <w:b w:val="1"/>
                <w:bCs w:val="1"/>
                <w:color w:val="auto"/>
                <w:w w:val="98"/>
              </w:rPr>
              <w:t>Nine</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0"/>
              </w:rPr>
              <w:t>of</w:t>
            </w:r>
          </w:p>
        </w:tc>
      </w:tr>
      <w:tr>
        <w:trPr>
          <w:trHeight w:val="157"/>
        </w:trPr>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88"/>
              <w:spacing w:after="0" w:line="157"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4"/>
              </w:rPr>
              <w:t>Reported</w:t>
            </w:r>
          </w:p>
        </w:tc>
      </w:tr>
      <w:tr>
        <w:trPr>
          <w:trHeight w:val="157"/>
        </w:trPr>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108"/>
              <w:spacing w:after="0" w:line="157"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1"/>
              </w:rPr>
              <w:t>Claims</w:t>
            </w:r>
          </w:p>
        </w:tc>
      </w:tr>
      <w:tr>
        <w:trPr>
          <w:trHeight w:val="157"/>
        </w:trPr>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8"/>
              <w:spacing w:after="0" w:line="157" w:lineRule="exact"/>
              <w:rPr>
                <w:sz w:val="20"/>
                <w:szCs w:val="20"/>
                <w:color w:val="auto"/>
              </w:rPr>
            </w:pPr>
            <w:r>
              <w:rPr>
                <w:rFonts w:ascii="Arial" w:cs="Arial" w:eastAsia="Arial" w:hAnsi="Arial"/>
                <w:sz w:val="14"/>
                <w:szCs w:val="14"/>
                <w:b w:val="1"/>
                <w:bCs w:val="1"/>
                <w:color w:val="auto"/>
                <w:w w:val="88"/>
              </w:rPr>
              <w:t>September</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7"/>
              </w:rPr>
              <w:t>by</w:t>
            </w: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Accident</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88"/>
              <w:spacing w:after="0" w:line="157" w:lineRule="exact"/>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1"/>
              </w:rPr>
              <w:t>Accident</w:t>
            </w:r>
          </w:p>
        </w:tc>
      </w:tr>
      <w:tr>
        <w:trPr>
          <w:trHeight w:val="177"/>
        </w:trPr>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6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5"/>
                <w:szCs w:val="15"/>
                <w:color w:val="auto"/>
              </w:rPr>
            </w:pPr>
          </w:p>
        </w:tc>
        <w:tc>
          <w:tcPr>
            <w:tcW w:w="6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5"/>
                <w:szCs w:val="15"/>
                <w:color w:val="auto"/>
              </w:rPr>
            </w:pPr>
          </w:p>
        </w:tc>
        <w:tc>
          <w:tcPr>
            <w:tcW w:w="62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820" w:type="dxa"/>
            <w:vAlign w:val="bottom"/>
          </w:tcPr>
          <w:p>
            <w:pPr>
              <w:jc w:val="right"/>
              <w:ind w:right="327"/>
              <w:spacing w:after="0"/>
              <w:rPr>
                <w:sz w:val="20"/>
                <w:szCs w:val="20"/>
                <w:color w:val="auto"/>
              </w:rPr>
            </w:pPr>
            <w:r>
              <w:rPr>
                <w:rFonts w:ascii="Arial" w:cs="Arial" w:eastAsia="Arial" w:hAnsi="Arial"/>
                <w:sz w:val="14"/>
                <w:szCs w:val="14"/>
                <w:b w:val="1"/>
                <w:bCs w:val="1"/>
                <w:color w:val="auto"/>
              </w:rPr>
              <w:t>IBNR</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r>
      <w:tr>
        <w:trPr>
          <w:trHeight w:val="215"/>
        </w:trPr>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(Unaudited 2008 - 2015)</w:t>
            </w: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4,505</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4,329</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4,223</w:t>
            </w:r>
          </w:p>
        </w:tc>
        <w:tc>
          <w:tcPr>
            <w:tcW w:w="32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4,189</w:t>
            </w:r>
          </w:p>
        </w:tc>
        <w:tc>
          <w:tcPr>
            <w:tcW w:w="2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4,068</w:t>
            </w:r>
          </w:p>
        </w:tc>
        <w:tc>
          <w:tcPr>
            <w:tcW w:w="2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4,055</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4,056</w:t>
            </w:r>
          </w:p>
        </w:tc>
        <w:tc>
          <w:tcPr>
            <w:tcW w:w="2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4,040</w:t>
            </w:r>
          </w:p>
        </w:tc>
        <w:tc>
          <w:tcPr>
            <w:tcW w:w="2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4,038</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4,035</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7"/>
              <w:spacing w:after="0" w:line="157" w:lineRule="exact"/>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1,133</w:t>
            </w:r>
          </w:p>
        </w:tc>
        <w:tc>
          <w:tcPr>
            <w:tcW w:w="80" w:type="dxa"/>
            <w:vAlign w:val="bottom"/>
          </w:tcPr>
          <w:p>
            <w:pPr>
              <w:spacing w:after="0"/>
              <w:rPr>
                <w:sz w:val="13"/>
                <w:szCs w:val="13"/>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2009</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4,403</w:t>
            </w:r>
          </w:p>
        </w:tc>
        <w:tc>
          <w:tcPr>
            <w:tcW w:w="24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4,254</w:t>
            </w:r>
          </w:p>
        </w:tc>
        <w:tc>
          <w:tcPr>
            <w:tcW w:w="320" w:type="dxa"/>
            <w:vAlign w:val="bottom"/>
          </w:tcPr>
          <w:p>
            <w:pPr>
              <w:spacing w:after="0"/>
              <w:rPr>
                <w:sz w:val="13"/>
                <w:szCs w:val="13"/>
                <w:color w:val="auto"/>
              </w:rPr>
            </w:pP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4,287</w:t>
            </w:r>
          </w:p>
        </w:tc>
        <w:tc>
          <w:tcPr>
            <w:tcW w:w="240" w:type="dxa"/>
            <w:vAlign w:val="bottom"/>
          </w:tcPr>
          <w:p>
            <w:pPr>
              <w:spacing w:after="0"/>
              <w:rPr>
                <w:sz w:val="13"/>
                <w:szCs w:val="13"/>
                <w:color w:val="auto"/>
              </w:rPr>
            </w:pP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4,384</w:t>
            </w:r>
          </w:p>
        </w:tc>
        <w:tc>
          <w:tcPr>
            <w:tcW w:w="280" w:type="dxa"/>
            <w:vAlign w:val="bottom"/>
          </w:tcPr>
          <w:p>
            <w:pPr>
              <w:spacing w:after="0"/>
              <w:rPr>
                <w:sz w:val="13"/>
                <w:szCs w:val="13"/>
                <w:color w:val="auto"/>
              </w:rPr>
            </w:pP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4,511</w:t>
            </w:r>
          </w:p>
        </w:tc>
        <w:tc>
          <w:tcPr>
            <w:tcW w:w="24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4,609</w:t>
            </w:r>
          </w:p>
        </w:tc>
        <w:tc>
          <w:tcPr>
            <w:tcW w:w="22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4,616</w:t>
            </w:r>
          </w:p>
        </w:tc>
        <w:tc>
          <w:tcPr>
            <w:tcW w:w="22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4,667</w:t>
            </w:r>
          </w:p>
        </w:tc>
        <w:tc>
          <w:tcPr>
            <w:tcW w:w="160" w:type="dxa"/>
            <w:vAlign w:val="bottom"/>
          </w:tcPr>
          <w:p>
            <w:pPr>
              <w:spacing w:after="0"/>
              <w:rPr>
                <w:sz w:val="13"/>
                <w:szCs w:val="13"/>
                <w:color w:val="auto"/>
              </w:rPr>
            </w:pPr>
          </w:p>
        </w:tc>
        <w:tc>
          <w:tcPr>
            <w:tcW w:w="7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4,674</w:t>
            </w:r>
          </w:p>
        </w:tc>
        <w:tc>
          <w:tcPr>
            <w:tcW w:w="200" w:type="dxa"/>
            <w:vAlign w:val="bottom"/>
          </w:tcPr>
          <w:p>
            <w:pPr>
              <w:spacing w:after="0"/>
              <w:rPr>
                <w:sz w:val="13"/>
                <w:szCs w:val="13"/>
                <w:color w:val="auto"/>
              </w:rPr>
            </w:pPr>
          </w:p>
        </w:tc>
        <w:tc>
          <w:tcPr>
            <w:tcW w:w="820" w:type="dxa"/>
            <w:vAlign w:val="bottom"/>
          </w:tcPr>
          <w:p>
            <w:pPr>
              <w:jc w:val="right"/>
              <w:ind w:right="127"/>
              <w:spacing w:after="0" w:line="157" w:lineRule="exact"/>
              <w:rPr>
                <w:sz w:val="20"/>
                <w:szCs w:val="20"/>
                <w:color w:val="auto"/>
              </w:rPr>
            </w:pPr>
            <w:r>
              <w:rPr>
                <w:rFonts w:ascii="Arial" w:cs="Arial" w:eastAsia="Arial" w:hAnsi="Arial"/>
                <w:sz w:val="14"/>
                <w:szCs w:val="14"/>
                <w:color w:val="auto"/>
              </w:rPr>
              <w:t>11</w:t>
            </w:r>
          </w:p>
        </w:tc>
        <w:tc>
          <w:tcPr>
            <w:tcW w:w="780" w:type="dxa"/>
            <w:vAlign w:val="bottom"/>
          </w:tcPr>
          <w:p>
            <w:pPr>
              <w:ind w:left="360"/>
              <w:spacing w:after="0" w:line="157" w:lineRule="exact"/>
              <w:rPr>
                <w:sz w:val="20"/>
                <w:szCs w:val="20"/>
                <w:color w:val="auto"/>
              </w:rPr>
            </w:pPr>
            <w:r>
              <w:rPr>
                <w:rFonts w:ascii="Arial" w:cs="Arial" w:eastAsia="Arial" w:hAnsi="Arial"/>
                <w:sz w:val="14"/>
                <w:szCs w:val="14"/>
                <w:color w:val="auto"/>
              </w:rPr>
              <w:t>1,136</w:t>
            </w: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2010</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5,598</w:t>
            </w: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5,707</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6,429</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6,623</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6,912</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6,853</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6,838</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6,846</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7"/>
              <w:spacing w:after="0" w:line="157" w:lineRule="exact"/>
              <w:rPr>
                <w:sz w:val="20"/>
                <w:szCs w:val="20"/>
                <w:color w:val="auto"/>
              </w:rPr>
            </w:pPr>
            <w:r>
              <w:rPr>
                <w:rFonts w:ascii="Arial" w:cs="Arial" w:eastAsia="Arial" w:hAnsi="Arial"/>
                <w:sz w:val="14"/>
                <w:szCs w:val="14"/>
                <w:color w:val="auto"/>
              </w:rPr>
              <w:t>9</w:t>
            </w:r>
          </w:p>
        </w:tc>
        <w:tc>
          <w:tcPr>
            <w:tcW w:w="7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1,616</w:t>
            </w:r>
          </w:p>
        </w:tc>
        <w:tc>
          <w:tcPr>
            <w:tcW w:w="80" w:type="dxa"/>
            <w:vAlign w:val="bottom"/>
          </w:tcPr>
          <w:p>
            <w:pPr>
              <w:spacing w:after="0"/>
              <w:rPr>
                <w:sz w:val="13"/>
                <w:szCs w:val="13"/>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2011</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7,603</w:t>
            </w:r>
          </w:p>
        </w:tc>
        <w:tc>
          <w:tcPr>
            <w:tcW w:w="240" w:type="dxa"/>
            <w:vAlign w:val="bottom"/>
          </w:tcPr>
          <w:p>
            <w:pPr>
              <w:spacing w:after="0"/>
              <w:rPr>
                <w:sz w:val="13"/>
                <w:szCs w:val="13"/>
                <w:color w:val="auto"/>
              </w:rPr>
            </w:pP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7,678</w:t>
            </w:r>
          </w:p>
        </w:tc>
        <w:tc>
          <w:tcPr>
            <w:tcW w:w="280" w:type="dxa"/>
            <w:vAlign w:val="bottom"/>
          </w:tcPr>
          <w:p>
            <w:pPr>
              <w:spacing w:after="0"/>
              <w:rPr>
                <w:sz w:val="13"/>
                <w:szCs w:val="13"/>
                <w:color w:val="auto"/>
              </w:rPr>
            </w:pP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8,618</w:t>
            </w:r>
          </w:p>
        </w:tc>
        <w:tc>
          <w:tcPr>
            <w:tcW w:w="24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9,440</w:t>
            </w:r>
          </w:p>
        </w:tc>
        <w:tc>
          <w:tcPr>
            <w:tcW w:w="22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9,198</w:t>
            </w:r>
          </w:p>
        </w:tc>
        <w:tc>
          <w:tcPr>
            <w:tcW w:w="22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9,066</w:t>
            </w:r>
          </w:p>
        </w:tc>
        <w:tc>
          <w:tcPr>
            <w:tcW w:w="160" w:type="dxa"/>
            <w:vAlign w:val="bottom"/>
          </w:tcPr>
          <w:p>
            <w:pPr>
              <w:spacing w:after="0"/>
              <w:rPr>
                <w:sz w:val="13"/>
                <w:szCs w:val="13"/>
                <w:color w:val="auto"/>
              </w:rPr>
            </w:pPr>
          </w:p>
        </w:tc>
        <w:tc>
          <w:tcPr>
            <w:tcW w:w="7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9,155</w:t>
            </w:r>
          </w:p>
        </w:tc>
        <w:tc>
          <w:tcPr>
            <w:tcW w:w="200" w:type="dxa"/>
            <w:vAlign w:val="bottom"/>
          </w:tcPr>
          <w:p>
            <w:pPr>
              <w:spacing w:after="0"/>
              <w:rPr>
                <w:sz w:val="13"/>
                <w:szCs w:val="13"/>
                <w:color w:val="auto"/>
              </w:rPr>
            </w:pPr>
          </w:p>
        </w:tc>
        <w:tc>
          <w:tcPr>
            <w:tcW w:w="820" w:type="dxa"/>
            <w:vAlign w:val="bottom"/>
          </w:tcPr>
          <w:p>
            <w:pPr>
              <w:jc w:val="right"/>
              <w:ind w:right="127"/>
              <w:spacing w:after="0" w:line="157" w:lineRule="exact"/>
              <w:rPr>
                <w:sz w:val="20"/>
                <w:szCs w:val="20"/>
                <w:color w:val="auto"/>
              </w:rPr>
            </w:pPr>
            <w:r>
              <w:rPr>
                <w:rFonts w:ascii="Arial" w:cs="Arial" w:eastAsia="Arial" w:hAnsi="Arial"/>
                <w:sz w:val="14"/>
                <w:szCs w:val="14"/>
                <w:color w:val="auto"/>
              </w:rPr>
              <w:t>27</w:t>
            </w:r>
          </w:p>
        </w:tc>
        <w:tc>
          <w:tcPr>
            <w:tcW w:w="780" w:type="dxa"/>
            <w:vAlign w:val="bottom"/>
          </w:tcPr>
          <w:p>
            <w:pPr>
              <w:ind w:left="360"/>
              <w:spacing w:after="0" w:line="157" w:lineRule="exact"/>
              <w:rPr>
                <w:sz w:val="20"/>
                <w:szCs w:val="20"/>
                <w:color w:val="auto"/>
              </w:rPr>
            </w:pPr>
            <w:r>
              <w:rPr>
                <w:rFonts w:ascii="Arial" w:cs="Arial" w:eastAsia="Arial" w:hAnsi="Arial"/>
                <w:sz w:val="14"/>
                <w:szCs w:val="14"/>
                <w:color w:val="auto"/>
              </w:rPr>
              <w:t>1,913</w:t>
            </w: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9,539</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9,344</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10,278</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10,382</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10,582</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10,805</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7"/>
              <w:spacing w:after="0" w:line="157" w:lineRule="exact"/>
              <w:rPr>
                <w:sz w:val="20"/>
                <w:szCs w:val="20"/>
                <w:color w:val="auto"/>
              </w:rPr>
            </w:pPr>
            <w:r>
              <w:rPr>
                <w:rFonts w:ascii="Arial" w:cs="Arial" w:eastAsia="Arial" w:hAnsi="Arial"/>
                <w:sz w:val="14"/>
                <w:szCs w:val="14"/>
                <w:color w:val="auto"/>
              </w:rPr>
              <w:t>91</w:t>
            </w:r>
          </w:p>
        </w:tc>
        <w:tc>
          <w:tcPr>
            <w:tcW w:w="7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w w:val="76"/>
              </w:rPr>
              <w:t>4,702(1)</w:t>
            </w:r>
          </w:p>
        </w:tc>
        <w:tc>
          <w:tcPr>
            <w:tcW w:w="80" w:type="dxa"/>
            <w:vAlign w:val="bottom"/>
          </w:tcPr>
          <w:p>
            <w:pPr>
              <w:spacing w:after="0"/>
              <w:rPr>
                <w:sz w:val="13"/>
                <w:szCs w:val="13"/>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10,728</w:t>
            </w:r>
          </w:p>
        </w:tc>
        <w:tc>
          <w:tcPr>
            <w:tcW w:w="24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9,745</w:t>
            </w:r>
          </w:p>
        </w:tc>
        <w:tc>
          <w:tcPr>
            <w:tcW w:w="22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9,424</w:t>
            </w:r>
          </w:p>
        </w:tc>
        <w:tc>
          <w:tcPr>
            <w:tcW w:w="22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9,621</w:t>
            </w:r>
          </w:p>
        </w:tc>
        <w:tc>
          <w:tcPr>
            <w:tcW w:w="160" w:type="dxa"/>
            <w:vAlign w:val="bottom"/>
          </w:tcPr>
          <w:p>
            <w:pPr>
              <w:spacing w:after="0"/>
              <w:rPr>
                <w:sz w:val="13"/>
                <w:szCs w:val="13"/>
                <w:color w:val="auto"/>
              </w:rPr>
            </w:pPr>
          </w:p>
        </w:tc>
        <w:tc>
          <w:tcPr>
            <w:tcW w:w="7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9,936</w:t>
            </w:r>
          </w:p>
        </w:tc>
        <w:tc>
          <w:tcPr>
            <w:tcW w:w="200" w:type="dxa"/>
            <w:vAlign w:val="bottom"/>
          </w:tcPr>
          <w:p>
            <w:pPr>
              <w:spacing w:after="0"/>
              <w:rPr>
                <w:sz w:val="13"/>
                <w:szCs w:val="13"/>
                <w:color w:val="auto"/>
              </w:rPr>
            </w:pPr>
          </w:p>
        </w:tc>
        <w:tc>
          <w:tcPr>
            <w:tcW w:w="820" w:type="dxa"/>
            <w:vAlign w:val="bottom"/>
          </w:tcPr>
          <w:p>
            <w:pPr>
              <w:jc w:val="right"/>
              <w:ind w:right="127"/>
              <w:spacing w:after="0" w:line="157" w:lineRule="exact"/>
              <w:rPr>
                <w:sz w:val="20"/>
                <w:szCs w:val="20"/>
                <w:color w:val="auto"/>
              </w:rPr>
            </w:pPr>
            <w:r>
              <w:rPr>
                <w:rFonts w:ascii="Arial" w:cs="Arial" w:eastAsia="Arial" w:hAnsi="Arial"/>
                <w:sz w:val="14"/>
                <w:szCs w:val="14"/>
                <w:color w:val="auto"/>
              </w:rPr>
              <w:t>300</w:t>
            </w:r>
          </w:p>
        </w:tc>
        <w:tc>
          <w:tcPr>
            <w:tcW w:w="780" w:type="dxa"/>
            <w:vAlign w:val="bottom"/>
          </w:tcPr>
          <w:p>
            <w:pPr>
              <w:ind w:left="360"/>
              <w:spacing w:after="0" w:line="157" w:lineRule="exact"/>
              <w:rPr>
                <w:sz w:val="20"/>
                <w:szCs w:val="20"/>
                <w:color w:val="auto"/>
              </w:rPr>
            </w:pPr>
            <w:r>
              <w:rPr>
                <w:rFonts w:ascii="Arial" w:cs="Arial" w:eastAsia="Arial" w:hAnsi="Arial"/>
                <w:sz w:val="14"/>
                <w:szCs w:val="14"/>
                <w:color w:val="auto"/>
              </w:rPr>
              <w:t>1,556</w:t>
            </w: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14,193</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14,260</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14,218</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14,511</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7"/>
              <w:spacing w:after="0" w:line="157" w:lineRule="exact"/>
              <w:rPr>
                <w:sz w:val="20"/>
                <w:szCs w:val="20"/>
                <w:color w:val="auto"/>
              </w:rPr>
            </w:pPr>
            <w:r>
              <w:rPr>
                <w:rFonts w:ascii="Arial" w:cs="Arial" w:eastAsia="Arial" w:hAnsi="Arial"/>
                <w:sz w:val="14"/>
                <w:szCs w:val="14"/>
                <w:color w:val="auto"/>
              </w:rPr>
              <w:t>935</w:t>
            </w:r>
          </w:p>
        </w:tc>
        <w:tc>
          <w:tcPr>
            <w:tcW w:w="7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2,123</w:t>
            </w:r>
          </w:p>
        </w:tc>
        <w:tc>
          <w:tcPr>
            <w:tcW w:w="80" w:type="dxa"/>
            <w:vAlign w:val="bottom"/>
          </w:tcPr>
          <w:p>
            <w:pPr>
              <w:spacing w:after="0"/>
              <w:rPr>
                <w:sz w:val="13"/>
                <w:szCs w:val="13"/>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22,340</w:t>
            </w:r>
          </w:p>
        </w:tc>
        <w:tc>
          <w:tcPr>
            <w:tcW w:w="22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21,994</w:t>
            </w:r>
          </w:p>
        </w:tc>
        <w:tc>
          <w:tcPr>
            <w:tcW w:w="160" w:type="dxa"/>
            <w:vAlign w:val="bottom"/>
          </w:tcPr>
          <w:p>
            <w:pPr>
              <w:spacing w:after="0"/>
              <w:rPr>
                <w:sz w:val="13"/>
                <w:szCs w:val="13"/>
                <w:color w:val="auto"/>
              </w:rPr>
            </w:pPr>
          </w:p>
        </w:tc>
        <w:tc>
          <w:tcPr>
            <w:tcW w:w="7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21,974</w:t>
            </w:r>
          </w:p>
        </w:tc>
        <w:tc>
          <w:tcPr>
            <w:tcW w:w="200" w:type="dxa"/>
            <w:vAlign w:val="bottom"/>
          </w:tcPr>
          <w:p>
            <w:pPr>
              <w:spacing w:after="0"/>
              <w:rPr>
                <w:sz w:val="13"/>
                <w:szCs w:val="13"/>
                <w:color w:val="auto"/>
              </w:rPr>
            </w:pPr>
          </w:p>
        </w:tc>
        <w:tc>
          <w:tcPr>
            <w:tcW w:w="820" w:type="dxa"/>
            <w:vAlign w:val="bottom"/>
          </w:tcPr>
          <w:p>
            <w:pPr>
              <w:jc w:val="right"/>
              <w:ind w:right="127"/>
              <w:spacing w:after="0" w:line="157" w:lineRule="exact"/>
              <w:rPr>
                <w:sz w:val="20"/>
                <w:szCs w:val="20"/>
                <w:color w:val="auto"/>
              </w:rPr>
            </w:pPr>
            <w:r>
              <w:rPr>
                <w:rFonts w:ascii="Arial" w:cs="Arial" w:eastAsia="Arial" w:hAnsi="Arial"/>
                <w:sz w:val="14"/>
                <w:szCs w:val="14"/>
                <w:color w:val="auto"/>
              </w:rPr>
              <w:t>1,640</w:t>
            </w:r>
          </w:p>
        </w:tc>
        <w:tc>
          <w:tcPr>
            <w:tcW w:w="780" w:type="dxa"/>
            <w:vAlign w:val="bottom"/>
          </w:tcPr>
          <w:p>
            <w:pPr>
              <w:ind w:left="360"/>
              <w:spacing w:after="0" w:line="157" w:lineRule="exact"/>
              <w:rPr>
                <w:sz w:val="20"/>
                <w:szCs w:val="20"/>
                <w:color w:val="auto"/>
              </w:rPr>
            </w:pPr>
            <w:r>
              <w:rPr>
                <w:rFonts w:ascii="Arial" w:cs="Arial" w:eastAsia="Arial" w:hAnsi="Arial"/>
                <w:sz w:val="14"/>
                <w:szCs w:val="14"/>
                <w:color w:val="auto"/>
              </w:rPr>
              <w:t>2,523</w:t>
            </w: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2016</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26,062</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24,940</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7"/>
              <w:spacing w:after="0" w:line="157" w:lineRule="exact"/>
              <w:rPr>
                <w:sz w:val="20"/>
                <w:szCs w:val="20"/>
                <w:color w:val="auto"/>
              </w:rPr>
            </w:pPr>
            <w:r>
              <w:rPr>
                <w:rFonts w:ascii="Arial" w:cs="Arial" w:eastAsia="Arial" w:hAnsi="Arial"/>
                <w:sz w:val="14"/>
                <w:szCs w:val="14"/>
                <w:color w:val="auto"/>
              </w:rPr>
              <w:t>3,320</w:t>
            </w:r>
          </w:p>
        </w:tc>
        <w:tc>
          <w:tcPr>
            <w:tcW w:w="7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2,829</w:t>
            </w:r>
          </w:p>
        </w:tc>
        <w:tc>
          <w:tcPr>
            <w:tcW w:w="80" w:type="dxa"/>
            <w:vAlign w:val="bottom"/>
          </w:tcPr>
          <w:p>
            <w:pPr>
              <w:spacing w:after="0"/>
              <w:rPr>
                <w:sz w:val="13"/>
                <w:szCs w:val="13"/>
                <w:color w:val="auto"/>
              </w:rPr>
            </w:pPr>
          </w:p>
        </w:tc>
      </w:tr>
      <w:tr>
        <w:trPr>
          <w:trHeight w:val="163"/>
        </w:trPr>
        <w:tc>
          <w:tcPr>
            <w:tcW w:w="560" w:type="dxa"/>
            <w:vAlign w:val="bottom"/>
          </w:tcPr>
          <w:p>
            <w:pPr>
              <w:jc w:val="center"/>
              <w:spacing w:after="0" w:line="137" w:lineRule="exact"/>
              <w:rPr>
                <w:sz w:val="20"/>
                <w:szCs w:val="20"/>
                <w:color w:val="auto"/>
              </w:rPr>
            </w:pPr>
            <w:r>
              <w:rPr>
                <w:rFonts w:ascii="Arial" w:cs="Arial" w:eastAsia="Arial" w:hAnsi="Arial"/>
                <w:sz w:val="14"/>
                <w:szCs w:val="14"/>
                <w:color w:val="auto"/>
                <w:w w:val="89"/>
              </w:rPr>
              <w:t>2017</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line="137" w:lineRule="exact"/>
              <w:rPr>
                <w:sz w:val="20"/>
                <w:szCs w:val="20"/>
                <w:color w:val="auto"/>
              </w:rPr>
            </w:pPr>
            <w:r>
              <w:rPr>
                <w:rFonts w:ascii="Arial" w:cs="Arial" w:eastAsia="Arial" w:hAnsi="Arial"/>
                <w:sz w:val="14"/>
                <w:szCs w:val="14"/>
                <w:color w:val="auto"/>
              </w:rPr>
              <w:t>21,572</w:t>
            </w:r>
          </w:p>
        </w:tc>
        <w:tc>
          <w:tcPr>
            <w:tcW w:w="200" w:type="dxa"/>
            <w:vAlign w:val="bottom"/>
          </w:tcPr>
          <w:p>
            <w:pPr>
              <w:spacing w:after="0"/>
              <w:rPr>
                <w:sz w:val="14"/>
                <w:szCs w:val="14"/>
                <w:color w:val="auto"/>
              </w:rPr>
            </w:pPr>
          </w:p>
        </w:tc>
        <w:tc>
          <w:tcPr>
            <w:tcW w:w="820" w:type="dxa"/>
            <w:vAlign w:val="bottom"/>
          </w:tcPr>
          <w:p>
            <w:pPr>
              <w:jc w:val="right"/>
              <w:ind w:right="127"/>
              <w:spacing w:after="0" w:line="137" w:lineRule="exact"/>
              <w:rPr>
                <w:sz w:val="20"/>
                <w:szCs w:val="20"/>
                <w:color w:val="auto"/>
              </w:rPr>
            </w:pPr>
            <w:r>
              <w:rPr>
                <w:rFonts w:ascii="Arial" w:cs="Arial" w:eastAsia="Arial" w:hAnsi="Arial"/>
                <w:sz w:val="14"/>
                <w:szCs w:val="14"/>
                <w:color w:val="auto"/>
              </w:rPr>
              <w:t>5,078</w:t>
            </w:r>
          </w:p>
        </w:tc>
        <w:tc>
          <w:tcPr>
            <w:tcW w:w="780" w:type="dxa"/>
            <w:vAlign w:val="bottom"/>
          </w:tcPr>
          <w:p>
            <w:pPr>
              <w:ind w:left="360"/>
              <w:spacing w:after="0" w:line="137" w:lineRule="exact"/>
              <w:rPr>
                <w:sz w:val="20"/>
                <w:szCs w:val="20"/>
                <w:color w:val="auto"/>
              </w:rPr>
            </w:pPr>
            <w:r>
              <w:rPr>
                <w:rFonts w:ascii="Arial" w:cs="Arial" w:eastAsia="Arial" w:hAnsi="Arial"/>
                <w:sz w:val="14"/>
                <w:szCs w:val="14"/>
                <w:color w:val="auto"/>
              </w:rPr>
              <w:t>2,259</w:t>
            </w:r>
          </w:p>
        </w:tc>
        <w:tc>
          <w:tcPr>
            <w:tcW w:w="80" w:type="dxa"/>
            <w:vAlign w:val="bottom"/>
          </w:tcPr>
          <w:p>
            <w:pPr>
              <w:spacing w:after="0"/>
              <w:rPr>
                <w:sz w:val="14"/>
                <w:szCs w:val="14"/>
                <w:color w:val="auto"/>
              </w:rPr>
            </w:pPr>
          </w:p>
        </w:tc>
      </w:tr>
      <w:tr>
        <w:trPr>
          <w:trHeight w:val="163"/>
        </w:trPr>
        <w:tc>
          <w:tcPr>
            <w:tcW w:w="5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28"/>
              <w:spacing w:after="0" w:line="137"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line="137" w:lineRule="exact"/>
              <w:rPr>
                <w:sz w:val="20"/>
                <w:szCs w:val="20"/>
                <w:color w:val="auto"/>
              </w:rPr>
            </w:pPr>
            <w:r>
              <w:rPr>
                <w:rFonts w:ascii="Arial" w:cs="Arial" w:eastAsia="Arial" w:hAnsi="Arial"/>
                <w:sz w:val="14"/>
                <w:szCs w:val="14"/>
                <w:color w:val="auto"/>
              </w:rPr>
              <w:t>128,448</w:t>
            </w: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(1) Reported claims for accident year 2012 includes 3,406 claims from Superstorm Sandy.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gridSpan w:val="12"/>
          </w:tcPr>
          <w:p>
            <w:pPr>
              <w:jc w:val="right"/>
              <w:spacing w:after="0"/>
              <w:rPr>
                <w:sz w:val="20"/>
                <w:szCs w:val="20"/>
                <w:color w:val="auto"/>
              </w:rPr>
            </w:pPr>
            <w:r>
              <w:rPr>
                <w:rFonts w:ascii="Arial" w:cs="Arial" w:eastAsia="Arial" w:hAnsi="Arial"/>
                <w:sz w:val="17"/>
                <w:szCs w:val="17"/>
                <w:b w:val="1"/>
                <w:bCs w:val="1"/>
                <w:color w:val="auto"/>
                <w:w w:val="90"/>
              </w:rPr>
              <w:t>Cumulative Paid Loss and Allocated Loss Adjustment Expenses, Net of Reinsurance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Nine Months</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Ended</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5"/>
            <w:vMerge w:val="restart"/>
          </w:tcPr>
          <w:p>
            <w:pPr>
              <w:jc w:val="right"/>
              <w:ind w:right="215"/>
              <w:spacing w:after="0"/>
              <w:rPr>
                <w:sz w:val="20"/>
                <w:szCs w:val="20"/>
                <w:color w:val="auto"/>
              </w:rPr>
            </w:pPr>
            <w:r>
              <w:rPr>
                <w:rFonts w:ascii="Arial" w:cs="Arial" w:eastAsia="Arial" w:hAnsi="Arial"/>
                <w:sz w:val="17"/>
                <w:szCs w:val="17"/>
                <w:b w:val="1"/>
                <w:bCs w:val="1"/>
                <w:color w:val="auto"/>
                <w:w w:val="90"/>
              </w:rPr>
              <w:t>For the Years Ended December 31,</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55"/>
              <w:spacing w:after="0"/>
              <w:rPr>
                <w:sz w:val="20"/>
                <w:szCs w:val="20"/>
                <w:color w:val="auto"/>
              </w:rPr>
            </w:pPr>
            <w:r>
              <w:rPr>
                <w:rFonts w:ascii="Arial" w:cs="Arial" w:eastAsia="Arial" w:hAnsi="Arial"/>
                <w:sz w:val="17"/>
                <w:szCs w:val="17"/>
                <w:b w:val="1"/>
                <w:bCs w:val="1"/>
                <w:color w:val="auto"/>
                <w:w w:val="88"/>
              </w:rPr>
              <w:t>September</w:t>
            </w:r>
          </w:p>
        </w:tc>
        <w:tc>
          <w:tcPr>
            <w:tcW w:w="0" w:type="dxa"/>
            <w:vAlign w:val="bottom"/>
          </w:tcPr>
          <w:p>
            <w:pPr>
              <w:spacing w:after="0"/>
              <w:rPr>
                <w:sz w:val="1"/>
                <w:szCs w:val="1"/>
                <w:color w:val="auto"/>
              </w:rPr>
            </w:pPr>
          </w:p>
        </w:tc>
      </w:tr>
      <w:tr>
        <w:trPr>
          <w:trHeight w:val="202"/>
        </w:trPr>
        <w:tc>
          <w:tcPr>
            <w:tcW w:w="9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Accident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Arial" w:cs="Arial" w:eastAsia="Arial" w:hAnsi="Arial"/>
                <w:sz w:val="17"/>
                <w:szCs w:val="17"/>
                <w:b w:val="1"/>
                <w:bCs w:val="1"/>
                <w:color w:val="auto"/>
              </w:rPr>
              <w:t>30,</w:t>
            </w:r>
          </w:p>
        </w:tc>
        <w:tc>
          <w:tcPr>
            <w:tcW w:w="0" w:type="dxa"/>
            <w:vAlign w:val="bottom"/>
          </w:tcPr>
          <w:p>
            <w:pPr>
              <w:spacing w:after="0"/>
              <w:rPr>
                <w:sz w:val="1"/>
                <w:szCs w:val="1"/>
                <w:color w:val="auto"/>
              </w:rPr>
            </w:pPr>
          </w:p>
        </w:tc>
      </w:tr>
      <w:tr>
        <w:trPr>
          <w:trHeight w:val="197"/>
        </w:trPr>
        <w:tc>
          <w:tcPr>
            <w:tcW w:w="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Year</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2008</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2010</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2012</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2013</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2015</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2016</w:t>
            </w:r>
          </w:p>
        </w:tc>
        <w:tc>
          <w:tcPr>
            <w:tcW w:w="240" w:type="dxa"/>
            <w:vAlign w:val="bottom"/>
          </w:tcPr>
          <w:p>
            <w:pPr>
              <w:spacing w:after="0"/>
              <w:rPr>
                <w:sz w:val="19"/>
                <w:szCs w:val="19"/>
                <w:color w:val="auto"/>
              </w:rPr>
            </w:pPr>
          </w:p>
        </w:tc>
        <w:tc>
          <w:tcPr>
            <w:tcW w:w="1020" w:type="dxa"/>
            <w:vAlign w:val="bottom"/>
          </w:tcPr>
          <w:p>
            <w:pPr>
              <w:jc w:val="right"/>
              <w:ind w:right="37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gridSpan w:val="4"/>
          </w:tcPr>
          <w:p>
            <w:pPr>
              <w:jc w:val="right"/>
              <w:ind w:right="55"/>
              <w:spacing w:after="0"/>
              <w:rPr>
                <w:sz w:val="20"/>
                <w:szCs w:val="20"/>
                <w:color w:val="auto"/>
              </w:rPr>
            </w:pPr>
            <w:r>
              <w:rPr>
                <w:rFonts w:ascii="Arial" w:cs="Arial" w:eastAsia="Arial" w:hAnsi="Arial"/>
                <w:sz w:val="17"/>
                <w:szCs w:val="17"/>
                <w:b w:val="1"/>
                <w:bCs w:val="1"/>
                <w:color w:val="auto"/>
                <w:w w:val="97"/>
              </w:rPr>
              <w:t>(Unaudited 2008 - 2015)</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(Unaudited)</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2,406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3,346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3,730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3,969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4,003</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4,029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4,028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4,031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4,031</w:t>
            </w: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7"/>
                <w:szCs w:val="17"/>
                <w:color w:val="auto"/>
                <w:w w:val="89"/>
              </w:rPr>
              <w:t>2009</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2,298</w:t>
            </w:r>
          </w:p>
        </w:tc>
        <w:tc>
          <w:tcPr>
            <w:tcW w:w="22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3,068</w:t>
            </w:r>
          </w:p>
        </w:tc>
        <w:tc>
          <w:tcPr>
            <w:tcW w:w="22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3,607</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3,920</w:t>
            </w:r>
          </w:p>
        </w:tc>
        <w:tc>
          <w:tcPr>
            <w:tcW w:w="32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4,134</w:t>
            </w:r>
          </w:p>
        </w:tc>
        <w:tc>
          <w:tcPr>
            <w:tcW w:w="2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4,362</w:t>
            </w:r>
          </w:p>
        </w:tc>
        <w:tc>
          <w:tcPr>
            <w:tcW w:w="280" w:type="dxa"/>
            <w:vAlign w:val="bottom"/>
          </w:tcPr>
          <w:p>
            <w:pPr>
              <w:spacing w:after="0"/>
              <w:rPr>
                <w:sz w:val="18"/>
                <w:szCs w:val="18"/>
                <w:color w:val="auto"/>
              </w:rPr>
            </w:pP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4,424</w:t>
            </w:r>
          </w:p>
        </w:tc>
        <w:tc>
          <w:tcPr>
            <w:tcW w:w="1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4,468</w:t>
            </w:r>
          </w:p>
        </w:tc>
        <w:tc>
          <w:tcPr>
            <w:tcW w:w="2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4,475</w:t>
            </w: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2,566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3,947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5,602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6,323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6,576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6,720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6,771</w:t>
            </w: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7"/>
                <w:szCs w:val="17"/>
                <w:color w:val="auto"/>
                <w:w w:val="84"/>
              </w:rPr>
              <w:t>2011</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3,740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5,117</w:t>
            </w:r>
          </w:p>
        </w:tc>
        <w:tc>
          <w:tcPr>
            <w:tcW w:w="32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6,228</w:t>
            </w:r>
          </w:p>
        </w:tc>
        <w:tc>
          <w:tcPr>
            <w:tcW w:w="2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7,170</w:t>
            </w:r>
          </w:p>
        </w:tc>
        <w:tc>
          <w:tcPr>
            <w:tcW w:w="280" w:type="dxa"/>
            <w:vAlign w:val="bottom"/>
          </w:tcPr>
          <w:p>
            <w:pPr>
              <w:spacing w:after="0"/>
              <w:rPr>
                <w:sz w:val="18"/>
                <w:szCs w:val="18"/>
                <w:color w:val="auto"/>
              </w:rPr>
            </w:pP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8,139</w:t>
            </w:r>
          </w:p>
        </w:tc>
        <w:tc>
          <w:tcPr>
            <w:tcW w:w="1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8,540</w:t>
            </w:r>
          </w:p>
        </w:tc>
        <w:tc>
          <w:tcPr>
            <w:tcW w:w="2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8,691</w:t>
            </w: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5,770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7,127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8,196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9,187</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10,116</w:t>
            </w: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7"/>
                <w:szCs w:val="17"/>
                <w:color w:val="auto"/>
                <w:w w:val="89"/>
              </w:rPr>
              <w:t>2013</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3,405</w:t>
            </w:r>
          </w:p>
        </w:tc>
        <w:tc>
          <w:tcPr>
            <w:tcW w:w="2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5,303</w:t>
            </w:r>
          </w:p>
        </w:tc>
        <w:tc>
          <w:tcPr>
            <w:tcW w:w="280" w:type="dxa"/>
            <w:vAlign w:val="bottom"/>
          </w:tcPr>
          <w:p>
            <w:pPr>
              <w:spacing w:after="0"/>
              <w:rPr>
                <w:sz w:val="18"/>
                <w:szCs w:val="18"/>
                <w:color w:val="auto"/>
              </w:rPr>
            </w:pP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6,633</w:t>
            </w:r>
          </w:p>
        </w:tc>
        <w:tc>
          <w:tcPr>
            <w:tcW w:w="1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7,591</w:t>
            </w:r>
          </w:p>
        </w:tc>
        <w:tc>
          <w:tcPr>
            <w:tcW w:w="2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8,086</w:t>
            </w: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5,710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9,429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10,738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11,628</w:t>
            </w: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7"/>
                <w:szCs w:val="17"/>
                <w:color w:val="auto"/>
                <w:w w:val="89"/>
              </w:rPr>
              <w:t>2015</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12,295</w:t>
            </w:r>
          </w:p>
        </w:tc>
        <w:tc>
          <w:tcPr>
            <w:tcW w:w="1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16,181</w:t>
            </w:r>
          </w:p>
        </w:tc>
        <w:tc>
          <w:tcPr>
            <w:tcW w:w="2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17,473</w:t>
            </w: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15,364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18,867</w:t>
            </w:r>
          </w:p>
        </w:tc>
        <w:tc>
          <w:tcPr>
            <w:tcW w:w="0" w:type="dxa"/>
            <w:vAlign w:val="bottom"/>
          </w:tcPr>
          <w:p>
            <w:pPr>
              <w:spacing w:after="0"/>
              <w:rPr>
                <w:sz w:val="1"/>
                <w:szCs w:val="1"/>
                <w:color w:val="auto"/>
              </w:rPr>
            </w:pPr>
          </w:p>
        </w:tc>
      </w:tr>
      <w:tr>
        <w:trPr>
          <w:trHeight w:val="215"/>
        </w:trPr>
        <w:tc>
          <w:tcPr>
            <w:tcW w:w="92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12,047</w:t>
            </w:r>
          </w:p>
        </w:tc>
        <w:tc>
          <w:tcPr>
            <w:tcW w:w="0" w:type="dxa"/>
            <w:vAlign w:val="bottom"/>
          </w:tcPr>
          <w:p>
            <w:pPr>
              <w:spacing w:after="0"/>
              <w:rPr>
                <w:sz w:val="1"/>
                <w:szCs w:val="1"/>
                <w:color w:val="auto"/>
              </w:rPr>
            </w:pPr>
          </w:p>
        </w:tc>
      </w:tr>
      <w:tr>
        <w:trPr>
          <w:trHeight w:val="215"/>
        </w:trPr>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102,185</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gridSpan w:val="13"/>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960" w:type="dxa"/>
            <w:vAlign w:val="bottom"/>
            <w:gridSpan w:val="13"/>
            <w:shd w:val="clear" w:color="auto" w:fill="CCEEFF"/>
          </w:tcPr>
          <w:p>
            <w:pPr>
              <w:jc w:val="right"/>
              <w:ind w:right="75"/>
              <w:spacing w:after="0"/>
              <w:rPr>
                <w:sz w:val="20"/>
                <w:szCs w:val="20"/>
                <w:color w:val="auto"/>
              </w:rPr>
            </w:pPr>
            <w:r>
              <w:rPr>
                <w:rFonts w:ascii="Arial" w:cs="Arial" w:eastAsia="Arial" w:hAnsi="Arial"/>
                <w:sz w:val="17"/>
                <w:szCs w:val="17"/>
                <w:color w:val="auto"/>
                <w:w w:val="90"/>
              </w:rPr>
              <w:t>Net liability for unpaid loss and allocated loss adjustment expenses for the accident years presented</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26,264</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20" w:type="dxa"/>
            <w:vAlign w:val="bottom"/>
            <w:gridSpan w:val="8"/>
          </w:tcPr>
          <w:p>
            <w:pPr>
              <w:jc w:val="right"/>
              <w:ind w:right="75"/>
              <w:spacing w:after="0"/>
              <w:rPr>
                <w:sz w:val="20"/>
                <w:szCs w:val="20"/>
                <w:color w:val="auto"/>
              </w:rPr>
            </w:pPr>
            <w:r>
              <w:rPr>
                <w:rFonts w:ascii="Arial" w:cs="Arial" w:eastAsia="Arial" w:hAnsi="Arial"/>
                <w:sz w:val="17"/>
                <w:szCs w:val="17"/>
                <w:color w:val="auto"/>
                <w:w w:val="93"/>
              </w:rPr>
              <w:t>All outstanding liabilities before 2008, net of reinsurance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49"/>
        </w:trPr>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11"/>
            <w:shd w:val="clear" w:color="auto" w:fill="CCEEFF"/>
          </w:tcPr>
          <w:p>
            <w:pPr>
              <w:jc w:val="right"/>
              <w:ind w:right="75"/>
              <w:spacing w:after="0"/>
              <w:rPr>
                <w:sz w:val="20"/>
                <w:szCs w:val="20"/>
                <w:color w:val="auto"/>
              </w:rPr>
            </w:pPr>
            <w:r>
              <w:rPr>
                <w:rFonts w:ascii="Arial" w:cs="Arial" w:eastAsia="Arial" w:hAnsi="Arial"/>
                <w:sz w:val="17"/>
                <w:szCs w:val="17"/>
                <w:color w:val="auto"/>
              </w:rPr>
              <w:t>Liabilities for loss and allocted loss adjustment expenses, net of reinsurance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26,538</w:t>
            </w:r>
          </w:p>
        </w:tc>
        <w:tc>
          <w:tcPr>
            <w:tcW w:w="0" w:type="dxa"/>
            <w:vAlign w:val="bottom"/>
          </w:tcPr>
          <w:p>
            <w:pPr>
              <w:spacing w:after="0"/>
              <w:rPr>
                <w:sz w:val="1"/>
                <w:szCs w:val="1"/>
                <w:color w:val="auto"/>
              </w:rPr>
            </w:pPr>
          </w:p>
        </w:tc>
      </w:tr>
      <w:tr>
        <w:trPr>
          <w:trHeight w:val="776"/>
        </w:trPr>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21</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40" w:top="493" w:right="15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As of</w:t>
            </w:r>
          </w:p>
        </w:tc>
      </w:tr>
      <w:tr>
        <w:trPr>
          <w:trHeight w:val="157"/>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w w:val="91"/>
              </w:rPr>
              <w:t>September 30,</w:t>
            </w:r>
          </w:p>
        </w:tc>
      </w:tr>
      <w:tr>
        <w:trPr>
          <w:trHeight w:val="177"/>
        </w:trPr>
        <w:tc>
          <w:tcPr>
            <w:tcW w:w="10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2017</w:t>
            </w: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Liabilities for loss and loss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26,538</w:t>
            </w: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Total reinsurance recoverable on unpaid losses</w:t>
            </w:r>
          </w:p>
        </w:tc>
        <w:tc>
          <w:tcPr>
            <w:tcW w:w="24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Arial" w:cs="Arial" w:eastAsia="Arial" w:hAnsi="Arial"/>
                <w:sz w:val="17"/>
                <w:szCs w:val="17"/>
                <w:color w:val="auto"/>
              </w:rPr>
              <w:t>14,642</w:t>
            </w:r>
          </w:p>
        </w:tc>
      </w:tr>
      <w:tr>
        <w:trPr>
          <w:trHeight w:val="215"/>
        </w:trPr>
        <w:tc>
          <w:tcPr>
            <w:tcW w:w="20" w:type="dxa"/>
            <w:vAlign w:val="bottom"/>
          </w:tcPr>
          <w:p>
            <w:pPr>
              <w:spacing w:after="0"/>
              <w:rPr>
                <w:sz w:val="18"/>
                <w:szCs w:val="18"/>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Unallocated loss adjustment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1,111</w:t>
            </w: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42,291</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Company’s quota share reinsurance treaties are on a July 1 through June 30 fiscal year basis; therefore, for year to date fiscal periods after June 30, two separate treaties will be included in such periods.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quota share reinsurance treaties in effect for the nine months ended September 30, 2017 for its personal lines business, which primarily consists of homeowners’ policies, were covered under the July 1, 2016/June 30, 2017 treaty year (“2016/2017 Treaty”) and July 1, 2017/June 30, 2018 treaty year (“2017/2019 Treaty”) (two year treaty as described below). The Company’s quota share reinsurance treaties in effect for the nine months ended September 30, 2016 were covered under the July 1, 2015/June 30, 2016 treaty year (“2015/2016 Treaty”) and the 2016/2017 Treaty.</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March 2017, the Company bound its personal lines quota share reinsurance treaty effective July 1, 2017. The treaty provides for a reduction in the quota share ceding rate to 20%, from 40% in the 2016/2017 Treaty, and an increase in the provisional ceding commission rate to 53%, from 52% in the 2016/2017 Treaty. The 2017/2019 Treaty covers a two year period from July 1, 2017 through June 30, 2019. The Company has the option under certain circumstances to reduce the quota share ceding rate or terminate the 2017/2019 Treaty effective July 1, 2018 by giving advance notice to the two reinsurers who participate in the quota share reinsurance treaty. Such two reinsurers who participate in the treaty have the option under certain limited circumstances to reduce the quota share ceding rate or terminate the 2017/2019 Treaty effective July 1, 2018 by giving advance notice to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Company’s 2015/2016 Treaty, 2016/2017 Treaty, and 2017/2019 Treaty provide for the following material terms: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Treaty Year</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July 1, 2017</w:t>
            </w:r>
          </w:p>
        </w:tc>
        <w:tc>
          <w:tcPr>
            <w:tcW w:w="160" w:type="dxa"/>
            <w:vAlign w:val="bottom"/>
          </w:tcPr>
          <w:p>
            <w:pPr>
              <w:spacing w:after="0"/>
              <w:rPr>
                <w:sz w:val="19"/>
                <w:szCs w:val="19"/>
                <w:color w:val="auto"/>
              </w:rPr>
            </w:pPr>
          </w:p>
        </w:tc>
        <w:tc>
          <w:tcPr>
            <w:tcW w:w="122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July 1, 2016</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July 1, 2015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216"/>
              <w:spacing w:after="0"/>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5"/>
                <w:szCs w:val="15"/>
                <w:color w:val="auto"/>
              </w:rPr>
            </w:pPr>
          </w:p>
        </w:tc>
        <w:tc>
          <w:tcPr>
            <w:tcW w:w="1220" w:type="dxa"/>
            <w:vAlign w:val="bottom"/>
          </w:tcPr>
          <w:p>
            <w:pPr>
              <w:jc w:val="center"/>
              <w:ind w:right="216"/>
              <w:spacing w:after="0"/>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5580" w:type="dxa"/>
            <w:vAlign w:val="bottom"/>
            <w:gridSpan w:val="5"/>
          </w:tcPr>
          <w:p>
            <w:pPr>
              <w:spacing w:after="0"/>
              <w:rPr>
                <w:sz w:val="20"/>
                <w:szCs w:val="20"/>
                <w:color w:val="auto"/>
              </w:rPr>
            </w:pPr>
            <w:r>
              <w:rPr>
                <w:rFonts w:ascii="Arial" w:cs="Arial" w:eastAsia="Arial" w:hAnsi="Arial"/>
                <w:sz w:val="14"/>
                <w:szCs w:val="14"/>
                <w:b w:val="1"/>
                <w:bCs w:val="1"/>
                <w:color w:val="auto"/>
              </w:rPr>
              <w:t>Line of Business</w:t>
            </w: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 2018</w:t>
            </w:r>
          </w:p>
        </w:tc>
        <w:tc>
          <w:tcPr>
            <w:tcW w:w="160" w:type="dxa"/>
            <w:vAlign w:val="bottom"/>
          </w:tcPr>
          <w:p>
            <w:pPr>
              <w:spacing w:after="0"/>
              <w:rPr>
                <w:sz w:val="15"/>
                <w:szCs w:val="15"/>
                <w:color w:val="auto"/>
              </w:rPr>
            </w:pPr>
          </w:p>
        </w:tc>
        <w:tc>
          <w:tcPr>
            <w:tcW w:w="122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379"/>
        </w:trPr>
        <w:tc>
          <w:tcPr>
            <w:tcW w:w="5580" w:type="dxa"/>
            <w:vAlign w:val="bottom"/>
            <w:tcBorders>
              <w:top w:val="single" w:sz="8" w:color="auto"/>
            </w:tcBorders>
            <w:gridSpan w:val="5"/>
          </w:tcPr>
          <w:p>
            <w:pPr>
              <w:spacing w:after="0"/>
              <w:rPr>
                <w:sz w:val="20"/>
                <w:szCs w:val="20"/>
                <w:color w:val="auto"/>
              </w:rPr>
            </w:pPr>
            <w:r>
              <w:rPr>
                <w:rFonts w:ascii="Arial" w:cs="Arial" w:eastAsia="Arial" w:hAnsi="Arial"/>
                <w:sz w:val="17"/>
                <w:szCs w:val="17"/>
                <w:color w:val="auto"/>
              </w:rPr>
              <w:t>Personal Lines:</w:t>
            </w:r>
          </w:p>
        </w:tc>
        <w:tc>
          <w:tcPr>
            <w:tcW w:w="1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80" w:type="dxa"/>
            <w:vAlign w:val="bottom"/>
            <w:gridSpan w:val="5"/>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1,000,000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833,333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0"/>
              </w:rPr>
              <w:t>Excess of loss coverage and facultative facility above quota share coverage (1)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3,666,667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96"/>
              <w:spacing w:after="0"/>
              <w:rPr>
                <w:sz w:val="20"/>
                <w:szCs w:val="20"/>
                <w:color w:val="auto"/>
              </w:rPr>
            </w:pPr>
            <w:r>
              <w:rPr>
                <w:rFonts w:ascii="Arial" w:cs="Arial" w:eastAsia="Arial" w:hAnsi="Arial"/>
                <w:sz w:val="17"/>
                <w:szCs w:val="17"/>
                <w:color w:val="auto"/>
                <w:w w:val="91"/>
              </w:rPr>
              <w:t>in excess of</w:t>
            </w:r>
          </w:p>
        </w:tc>
        <w:tc>
          <w:tcPr>
            <w:tcW w:w="160" w:type="dxa"/>
            <w:vAlign w:val="bottom"/>
          </w:tcPr>
          <w:p>
            <w:pPr>
              <w:spacing w:after="0"/>
              <w:rPr>
                <w:sz w:val="18"/>
                <w:szCs w:val="18"/>
                <w:color w:val="auto"/>
              </w:rPr>
            </w:pPr>
          </w:p>
        </w:tc>
        <w:tc>
          <w:tcPr>
            <w:tcW w:w="1220" w:type="dxa"/>
            <w:vAlign w:val="bottom"/>
          </w:tcPr>
          <w:p>
            <w:pPr>
              <w:jc w:val="center"/>
              <w:ind w:right="296"/>
              <w:spacing w:after="0"/>
              <w:rPr>
                <w:sz w:val="20"/>
                <w:szCs w:val="20"/>
                <w:color w:val="auto"/>
              </w:rPr>
            </w:pPr>
            <w:r>
              <w:rPr>
                <w:rFonts w:ascii="Arial" w:cs="Arial" w:eastAsia="Arial" w:hAnsi="Arial"/>
                <w:sz w:val="17"/>
                <w:szCs w:val="17"/>
                <w:color w:val="auto"/>
                <w:w w:val="89"/>
              </w:rPr>
              <w:t>in excess of</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833,333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9,200,000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296"/>
              <w:spacing w:after="0"/>
              <w:rPr>
                <w:sz w:val="20"/>
                <w:szCs w:val="20"/>
                <w:color w:val="auto"/>
              </w:rPr>
            </w:pPr>
            <w:r>
              <w:rPr>
                <w:rFonts w:ascii="Arial" w:cs="Arial" w:eastAsia="Arial" w:hAnsi="Arial"/>
                <w:sz w:val="17"/>
                <w:szCs w:val="17"/>
                <w:color w:val="auto"/>
                <w:w w:val="85"/>
              </w:rPr>
              <w:t>June 30,</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June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Expiration date</w:t>
            </w:r>
          </w:p>
        </w:tc>
        <w:tc>
          <w:tcPr>
            <w:tcW w:w="1740" w:type="dxa"/>
            <w:vAlign w:val="bottom"/>
          </w:tcPr>
          <w:p>
            <w:pPr>
              <w:spacing w:after="0"/>
              <w:rPr>
                <w:sz w:val="18"/>
                <w:szCs w:val="18"/>
                <w:color w:val="auto"/>
              </w:rPr>
            </w:pPr>
          </w:p>
        </w:tc>
        <w:tc>
          <w:tcPr>
            <w:tcW w:w="1440" w:type="dxa"/>
            <w:vAlign w:val="bottom"/>
            <w:gridSpan w:val="2"/>
          </w:tcPr>
          <w:p>
            <w:pPr>
              <w:jc w:val="right"/>
              <w:ind w:right="216"/>
              <w:spacing w:after="0"/>
              <w:rPr>
                <w:sz w:val="20"/>
                <w:szCs w:val="20"/>
                <w:color w:val="auto"/>
              </w:rPr>
            </w:pPr>
            <w:r>
              <w:rPr>
                <w:rFonts w:ascii="Arial" w:cs="Arial" w:eastAsia="Arial" w:hAnsi="Arial"/>
                <w:sz w:val="17"/>
                <w:szCs w:val="17"/>
                <w:color w:val="auto"/>
              </w:rPr>
              <w:t>June 30, 2019</w:t>
            </w:r>
          </w:p>
        </w:tc>
        <w:tc>
          <w:tcPr>
            <w:tcW w:w="160" w:type="dxa"/>
            <w:vAlign w:val="bottom"/>
          </w:tcPr>
          <w:p>
            <w:pPr>
              <w:spacing w:after="0"/>
              <w:rPr>
                <w:sz w:val="18"/>
                <w:szCs w:val="18"/>
                <w:color w:val="auto"/>
              </w:rPr>
            </w:pPr>
          </w:p>
        </w:tc>
        <w:tc>
          <w:tcPr>
            <w:tcW w:w="1220" w:type="dxa"/>
            <w:vAlign w:val="bottom"/>
          </w:tcPr>
          <w:p>
            <w:pPr>
              <w:jc w:val="center"/>
              <w:ind w:right="276"/>
              <w:spacing w:after="0"/>
              <w:rPr>
                <w:sz w:val="20"/>
                <w:szCs w:val="20"/>
                <w:color w:val="auto"/>
              </w:rPr>
            </w:pPr>
            <w:r>
              <w:rPr>
                <w:rFonts w:ascii="Arial" w:cs="Arial" w:eastAsia="Arial" w:hAnsi="Arial"/>
                <w:sz w:val="17"/>
                <w:szCs w:val="17"/>
                <w:color w:val="auto"/>
                <w:w w:val="89"/>
              </w:rPr>
              <w:t>2017</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Personal Umbrella</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Quota share treaty:</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 excess of $1,000,000 dollars of coverage</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Risk retained</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Expiration date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76"/>
              <w:spacing w:after="0"/>
              <w:rPr>
                <w:sz w:val="20"/>
                <w:szCs w:val="20"/>
                <w:color w:val="auto"/>
              </w:rPr>
            </w:pPr>
            <w:r>
              <w:rPr>
                <w:rFonts w:ascii="Arial" w:cs="Arial" w:eastAsia="Arial" w:hAnsi="Arial"/>
                <w:sz w:val="17"/>
                <w:szCs w:val="17"/>
                <w:color w:val="auto"/>
                <w:w w:val="87"/>
              </w:rPr>
              <w:t>June 30, 2018</w:t>
            </w:r>
          </w:p>
        </w:tc>
        <w:tc>
          <w:tcPr>
            <w:tcW w:w="1380" w:type="dxa"/>
            <w:vAlign w:val="bottom"/>
            <w:gridSpan w:val="2"/>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280" w:type="dxa"/>
            <w:vAlign w:val="bottom"/>
            <w:gridSpan w:val="2"/>
          </w:tcPr>
          <w:p>
            <w:pPr>
              <w:jc w:val="center"/>
              <w:spacing w:after="0"/>
              <w:rPr>
                <w:sz w:val="20"/>
                <w:szCs w:val="20"/>
                <w:color w:val="auto"/>
              </w:rPr>
            </w:pPr>
            <w:r>
              <w:rPr>
                <w:rFonts w:ascii="Arial" w:cs="Arial" w:eastAsia="Arial" w:hAnsi="Arial"/>
                <w:sz w:val="17"/>
                <w:szCs w:val="17"/>
                <w:color w:val="auto"/>
                <w:w w:val="89"/>
              </w:rPr>
              <w:t>June 30, 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60" w:type="dxa"/>
            <w:vAlign w:val="bottom"/>
            <w:gridSpan w:val="4"/>
          </w:tcPr>
          <w:p>
            <w:pPr>
              <w:spacing w:after="0" w:line="170" w:lineRule="exact"/>
              <w:rPr>
                <w:sz w:val="20"/>
                <w:szCs w:val="20"/>
                <w:color w:val="auto"/>
              </w:rPr>
            </w:pPr>
            <w:r>
              <w:rPr>
                <w:rFonts w:ascii="Arial" w:cs="Arial" w:eastAsia="Arial" w:hAnsi="Arial"/>
                <w:sz w:val="17"/>
                <w:szCs w:val="17"/>
                <w:color w:val="auto"/>
              </w:rPr>
              <w:t>Commercial Lines:</w:t>
            </w: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General liability commercial policies, except for commercial auto</w:t>
            </w: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(terminated effective July 1, 2014)</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None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None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Risk retained</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750,000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None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None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Excess of loss coverage above quota share coverage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3,750,000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9"/>
              </w:rPr>
              <w:t>in excess of</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9"/>
              </w:rPr>
              <w:t>in excess of</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9"/>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750,000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3,750,000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4,075,000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4,500,000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4,500,000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Commercial Umbrella</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 excess of $1,000,000 of coverage</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Risk retained</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17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June 30, 2018</w:t>
            </w:r>
          </w:p>
        </w:tc>
        <w:tc>
          <w:tcPr>
            <w:tcW w:w="1380" w:type="dxa"/>
            <w:vAlign w:val="bottom"/>
            <w:gridSpan w:val="2"/>
            <w:shd w:val="clear" w:color="auto" w:fill="CCEEFF"/>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6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Commercial Auto:</w:t>
            </w:r>
          </w:p>
        </w:tc>
        <w:tc>
          <w:tcPr>
            <w:tcW w:w="1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7"/>
                <w:szCs w:val="17"/>
                <w:color w:val="auto"/>
              </w:rPr>
              <w:t>Risk retained</w:t>
            </w:r>
          </w:p>
        </w:tc>
        <w:tc>
          <w:tcPr>
            <w:tcW w:w="4320" w:type="dxa"/>
            <w:vAlign w:val="bottom"/>
            <w:tcBorders>
              <w:top w:val="single" w:sz="8" w:color="CCEEFF"/>
            </w:tcBorders>
            <w:gridSpan w:val="2"/>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CCEEFF"/>
            </w:tcBorders>
          </w:tcPr>
          <w:p>
            <w:pPr>
              <w:jc w:val="right"/>
              <w:ind w:right="56"/>
              <w:spacing w:after="0"/>
              <w:rPr>
                <w:sz w:val="20"/>
                <w:szCs w:val="20"/>
                <w:color w:val="auto"/>
              </w:rPr>
            </w:pPr>
            <w:r>
              <w:rPr>
                <w:rFonts w:ascii="Arial" w:cs="Arial" w:eastAsia="Arial" w:hAnsi="Arial"/>
                <w:sz w:val="17"/>
                <w:szCs w:val="17"/>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Excess of loss coverage in excess of risk retained</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56"/>
              <w:spacing w:after="0"/>
              <w:rPr>
                <w:sz w:val="20"/>
                <w:szCs w:val="20"/>
                <w:color w:val="auto"/>
              </w:rPr>
            </w:pPr>
            <w:r>
              <w:rPr>
                <w:rFonts w:ascii="Arial" w:cs="Arial" w:eastAsia="Arial" w:hAnsi="Arial"/>
                <w:sz w:val="17"/>
                <w:szCs w:val="17"/>
                <w:color w:val="auto"/>
                <w:w w:val="89"/>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60" w:type="dxa"/>
            <w:vAlign w:val="bottom"/>
            <w:gridSpan w:val="4"/>
          </w:tcPr>
          <w:p>
            <w:pPr>
              <w:spacing w:after="0" w:line="170" w:lineRule="exact"/>
              <w:rPr>
                <w:sz w:val="20"/>
                <w:szCs w:val="20"/>
                <w:color w:val="auto"/>
              </w:rPr>
            </w:pPr>
            <w:r>
              <w:rPr>
                <w:rFonts w:ascii="Arial" w:cs="Arial" w:eastAsia="Arial" w:hAnsi="Arial"/>
                <w:sz w:val="17"/>
                <w:szCs w:val="17"/>
                <w:color w:val="auto"/>
              </w:rPr>
              <w:t>Catastrophe Reinsurance:</w:t>
            </w: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Initial loss subject to personal lines quota share treaty</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Risk retained per catastrophe occurrence (2)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4,000,000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6"/>
              <w:spacing w:after="0"/>
              <w:rPr>
                <w:sz w:val="20"/>
                <w:szCs w:val="20"/>
                <w:color w:val="auto"/>
              </w:rPr>
            </w:pPr>
            <w:r>
              <w:rPr>
                <w:rFonts w:ascii="Arial" w:cs="Arial" w:eastAsia="Arial" w:hAnsi="Arial"/>
                <w:sz w:val="17"/>
                <w:szCs w:val="17"/>
                <w:color w:val="auto"/>
              </w:rPr>
              <w:t>3,000,000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Catastrophe loss coverage in excess of quota share coverage (3) (4)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315,000,000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247,000,000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176,000,000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Severe winter weather aggregate (4)</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216"/>
              <w:spacing w:after="0"/>
              <w:rPr>
                <w:sz w:val="20"/>
                <w:szCs w:val="20"/>
                <w:color w:val="auto"/>
              </w:rPr>
            </w:pPr>
            <w:r>
              <w:rPr>
                <w:rFonts w:ascii="Arial" w:cs="Arial" w:eastAsia="Arial" w:hAnsi="Arial"/>
                <w:sz w:val="17"/>
                <w:szCs w:val="17"/>
                <w:color w:val="auto"/>
                <w:w w:val="91"/>
              </w:rPr>
              <w:t>No</w:t>
            </w:r>
          </w:p>
        </w:tc>
        <w:tc>
          <w:tcPr>
            <w:tcW w:w="160" w:type="dxa"/>
            <w:vAlign w:val="bottom"/>
          </w:tcPr>
          <w:p>
            <w:pPr>
              <w:spacing w:after="0"/>
              <w:rPr>
                <w:sz w:val="18"/>
                <w:szCs w:val="18"/>
                <w:color w:val="auto"/>
              </w:rPr>
            </w:pPr>
          </w:p>
        </w:tc>
        <w:tc>
          <w:tcPr>
            <w:tcW w:w="1220" w:type="dxa"/>
            <w:vAlign w:val="bottom"/>
          </w:tcPr>
          <w:p>
            <w:pPr>
              <w:jc w:val="center"/>
              <w:ind w:right="216"/>
              <w:spacing w:after="0"/>
              <w:rPr>
                <w:sz w:val="20"/>
                <w:szCs w:val="20"/>
                <w:color w:val="auto"/>
              </w:rPr>
            </w:pPr>
            <w:r>
              <w:rPr>
                <w:rFonts w:ascii="Arial" w:cs="Arial" w:eastAsia="Arial" w:hAnsi="Arial"/>
                <w:sz w:val="17"/>
                <w:szCs w:val="17"/>
                <w:color w:val="auto"/>
                <w:w w:val="91"/>
              </w:rPr>
              <w:t>No</w:t>
            </w:r>
          </w:p>
        </w:tc>
        <w:tc>
          <w:tcPr>
            <w:tcW w:w="160" w:type="dxa"/>
            <w:vAlign w:val="bottom"/>
          </w:tcPr>
          <w:p>
            <w:pPr>
              <w:spacing w:after="0"/>
              <w:rPr>
                <w:sz w:val="18"/>
                <w:szCs w:val="18"/>
                <w:color w:val="auto"/>
              </w:rPr>
            </w:pPr>
          </w:p>
        </w:tc>
        <w:tc>
          <w:tcPr>
            <w:tcW w:w="1120" w:type="dxa"/>
            <w:vAlign w:val="bottom"/>
          </w:tcPr>
          <w:p>
            <w:pPr>
              <w:jc w:val="center"/>
              <w:ind w:right="156"/>
              <w:spacing w:after="0"/>
              <w:rPr>
                <w:sz w:val="20"/>
                <w:szCs w:val="20"/>
                <w:color w:val="auto"/>
              </w:rPr>
            </w:pPr>
            <w:r>
              <w:rPr>
                <w:rFonts w:ascii="Arial" w:cs="Arial" w:eastAsia="Arial" w:hAnsi="Arial"/>
                <w:sz w:val="17"/>
                <w:szCs w:val="17"/>
                <w:color w:val="auto"/>
                <w:w w:val="81"/>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Reinstatement premium protection (5)</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1"/>
              </w:rPr>
              <w:t>Yes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1"/>
              </w:rPr>
              <w:t>Yes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1"/>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435"/>
              <w:spacing w:after="0"/>
              <w:rPr>
                <w:sz w:val="20"/>
                <w:szCs w:val="20"/>
                <w:color w:val="auto"/>
              </w:rPr>
            </w:pPr>
            <w:r>
              <w:rPr>
                <w:rFonts w:ascii="Arial" w:cs="Arial" w:eastAsia="Arial" w:hAnsi="Arial"/>
                <w:sz w:val="17"/>
                <w:szCs w:val="17"/>
                <w:color w:val="auto"/>
              </w:rPr>
              <w:t>23</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4" w:right="239" w:bottom="1440" w:gutter="0" w:footer="0" w:header="0"/>
        </w:sectPr>
      </w:pPr>
    </w:p>
    <w:bookmarkStart w:id="25" w:name="page26"/>
    <w:bookmarkEnd w:id="25"/>
    <w:p>
      <w:pPr>
        <w:ind w:left="320" w:hanging="315"/>
        <w:spacing w:after="0" w:line="260"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320" w:hanging="315"/>
        <w:spacing w:after="0" w:line="256"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From July 1, 2015 through June 30, 2016, catastrophe treaty also covered losses caused by severe winter weather during any consecutive 28 day period.</w:t>
      </w:r>
    </w:p>
    <w:p>
      <w:pPr>
        <w:spacing w:after="0" w:line="25" w:lineRule="exact"/>
        <w:rPr>
          <w:rFonts w:ascii="Arial" w:cs="Arial" w:eastAsia="Arial" w:hAnsi="Arial"/>
          <w:sz w:val="16"/>
          <w:szCs w:val="16"/>
          <w:color w:val="auto"/>
        </w:rPr>
      </w:pPr>
    </w:p>
    <w:p>
      <w:pPr>
        <w:ind w:left="320" w:right="2640" w:hanging="315"/>
        <w:spacing w:after="0" w:line="316" w:lineRule="auto"/>
        <w:tabs>
          <w:tab w:leader="none" w:pos="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Effective July 1, 2015, reinstatement premium protection for $16,000,000 of catastrophe coverage in excess of $4,000,000. Effective July 1, 2016, reinstatement premium protection for $20,000,000 of catastrophe coverage in excess of $5,000,000. Effective July 1, 2017, reinstatement premium protection for $145,000,000 of catastrophe coverage in excess of $5,000,000.</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the Company is subject under the new treaties effective July 1, 2017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120" w:type="dxa"/>
            <w:vAlign w:val="bottom"/>
            <w:gridSpan w:val="4"/>
          </w:tcPr>
          <w:p>
            <w:pPr>
              <w:ind w:left="40"/>
              <w:spacing w:after="0"/>
              <w:rPr>
                <w:sz w:val="20"/>
                <w:szCs w:val="20"/>
                <w:color w:val="auto"/>
              </w:rPr>
            </w:pPr>
            <w:r>
              <w:rPr>
                <w:rFonts w:ascii="Arial" w:cs="Arial" w:eastAsia="Arial" w:hAnsi="Arial"/>
                <w:sz w:val="17"/>
                <w:szCs w:val="17"/>
                <w:b w:val="1"/>
                <w:bCs w:val="1"/>
                <w:color w:val="auto"/>
              </w:rPr>
              <w:t>July 1, 2017 - June 30, 2018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tcBorders>
              <w:bottom w:val="single" w:sz="8" w:color="auto"/>
            </w:tcBorders>
          </w:tcPr>
          <w:p>
            <w:pPr>
              <w:ind w:left="1180"/>
              <w:spacing w:after="0"/>
              <w:rPr>
                <w:sz w:val="20"/>
                <w:szCs w:val="20"/>
                <w:color w:val="auto"/>
              </w:rPr>
            </w:pPr>
            <w:r>
              <w:rPr>
                <w:rFonts w:ascii="Arial" w:cs="Arial" w:eastAsia="Arial" w:hAnsi="Arial"/>
                <w:sz w:val="17"/>
                <w:szCs w:val="17"/>
                <w:b w:val="1"/>
                <w:bCs w:val="1"/>
                <w:color w:val="auto"/>
              </w:rPr>
              <w:t>Treaty</w:t>
            </w:r>
          </w:p>
        </w:tc>
        <w:tc>
          <w:tcPr>
            <w:tcW w:w="580" w:type="dxa"/>
            <w:vAlign w:val="bottom"/>
          </w:tcPr>
          <w:p>
            <w:pPr>
              <w:spacing w:after="0"/>
              <w:rPr>
                <w:sz w:val="18"/>
                <w:szCs w:val="18"/>
                <w:color w:val="auto"/>
              </w:rPr>
            </w:pPr>
          </w:p>
        </w:tc>
        <w:tc>
          <w:tcPr>
            <w:tcW w:w="2880" w:type="dxa"/>
            <w:vAlign w:val="bottom"/>
            <w:tcBorders>
              <w:top w:val="single" w:sz="8" w:color="auto"/>
              <w:bottom w:val="single" w:sz="8" w:color="auto"/>
            </w:tcBorders>
          </w:tcPr>
          <w:p>
            <w:pPr>
              <w:ind w:left="1780"/>
              <w:spacing w:after="0"/>
              <w:rPr>
                <w:sz w:val="20"/>
                <w:szCs w:val="20"/>
                <w:color w:val="auto"/>
              </w:rPr>
            </w:pPr>
            <w:r>
              <w:rPr>
                <w:rFonts w:ascii="Arial" w:cs="Arial" w:eastAsia="Arial" w:hAnsi="Arial"/>
                <w:sz w:val="17"/>
                <w:szCs w:val="17"/>
                <w:b w:val="1"/>
                <w:bCs w:val="1"/>
                <w:color w:val="auto"/>
                <w:w w:val="92"/>
              </w:rPr>
              <w:t>Extent of Loss</w:t>
            </w:r>
          </w:p>
        </w:tc>
        <w:tc>
          <w:tcPr>
            <w:tcW w:w="16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4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Risk 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 (1)</w:t>
            </w: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ind w:left="40"/>
              <w:spacing w:after="0"/>
              <w:rPr>
                <w:sz w:val="20"/>
                <w:szCs w:val="20"/>
                <w:color w:val="auto"/>
              </w:rPr>
            </w:pPr>
            <w:r>
              <w:rPr>
                <w:rFonts w:ascii="Arial" w:cs="Arial" w:eastAsia="Arial" w:hAnsi="Arial"/>
                <w:sz w:val="17"/>
                <w:szCs w:val="17"/>
                <w:color w:val="auto"/>
              </w:rPr>
              <w:t>$1,000,000 - $10,000,000</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None(2)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$10,000,000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ind w:left="40"/>
              <w:spacing w:after="0"/>
              <w:rPr>
                <w:sz w:val="20"/>
                <w:szCs w:val="20"/>
                <w:color w:val="auto"/>
              </w:rPr>
            </w:pPr>
            <w:r>
              <w:rPr>
                <w:rFonts w:ascii="Arial" w:cs="Arial" w:eastAsia="Arial" w:hAnsi="Arial"/>
                <w:sz w:val="17"/>
                <w:szCs w:val="17"/>
                <w:color w:val="auto"/>
              </w:rPr>
              <w:t>$750,000 - $4,500,000</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(4)</w:t>
            </w: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ind w:left="40"/>
              <w:spacing w:after="0"/>
              <w:rPr>
                <w:sz w:val="20"/>
                <w:szCs w:val="20"/>
                <w:color w:val="auto"/>
              </w:rPr>
            </w:pPr>
            <w:r>
              <w:rPr>
                <w:rFonts w:ascii="Arial" w:cs="Arial" w:eastAsia="Arial" w:hAnsi="Arial"/>
                <w:sz w:val="17"/>
                <w:szCs w:val="17"/>
                <w:color w:val="auto"/>
              </w:rPr>
              <w:t>$5,000,000 - $320,000,000</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$320,000,000</w:t>
            </w:r>
          </w:p>
        </w:tc>
        <w:tc>
          <w:tcPr>
            <w:tcW w:w="5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940" w:hanging="308"/>
        <w:spacing w:after="0" w:line="281"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Two year treaty with expiration date of June 30, 2019. The Company and the reinsurers have the option to reduce quota share rate or terminate on June 30, 2018 as discussed above.</w:t>
      </w:r>
    </w:p>
    <w:p>
      <w:pPr>
        <w:spacing w:after="0" w:line="104" w:lineRule="exact"/>
        <w:rPr>
          <w:rFonts w:ascii="Arial" w:cs="Arial" w:eastAsia="Arial" w:hAnsi="Arial"/>
          <w:sz w:val="17"/>
          <w:szCs w:val="17"/>
          <w:color w:val="auto"/>
        </w:rPr>
      </w:pPr>
    </w:p>
    <w:p>
      <w:pPr>
        <w:ind w:left="940" w:hanging="308"/>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57" w:lineRule="exact"/>
        <w:rPr>
          <w:rFonts w:ascii="Arial" w:cs="Arial" w:eastAsia="Arial" w:hAnsi="Arial"/>
          <w:sz w:val="17"/>
          <w:szCs w:val="17"/>
          <w:color w:val="auto"/>
        </w:rPr>
      </w:pPr>
    </w:p>
    <w:p>
      <w:pPr>
        <w:ind w:left="940" w:hanging="308"/>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57" w:lineRule="exact"/>
        <w:rPr>
          <w:rFonts w:ascii="Arial" w:cs="Arial" w:eastAsia="Arial" w:hAnsi="Arial"/>
          <w:sz w:val="17"/>
          <w:szCs w:val="17"/>
          <w:color w:val="auto"/>
        </w:rPr>
      </w:pPr>
    </w:p>
    <w:p>
      <w:pPr>
        <w:ind w:left="940" w:hanging="308"/>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The single maximum risks per occurrence to which the Company is subject under the treaties that expired on June 30, 2017 and 2016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0" w:type="dxa"/>
            <w:vAlign w:val="bottom"/>
            <w:gridSpan w:val="3"/>
          </w:tcPr>
          <w:p>
            <w:pPr>
              <w:ind w:left="1160"/>
              <w:spacing w:after="0"/>
              <w:rPr>
                <w:sz w:val="20"/>
                <w:szCs w:val="20"/>
                <w:color w:val="auto"/>
              </w:rPr>
            </w:pPr>
            <w:r>
              <w:rPr>
                <w:rFonts w:ascii="Arial" w:cs="Arial" w:eastAsia="Arial" w:hAnsi="Arial"/>
                <w:sz w:val="17"/>
                <w:szCs w:val="17"/>
                <w:b w:val="1"/>
                <w:bCs w:val="1"/>
                <w:color w:val="auto"/>
                <w:w w:val="91"/>
              </w:rPr>
              <w:t>July 1, 2016 - June 30, 2017</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20" w:type="dxa"/>
            <w:vAlign w:val="bottom"/>
            <w:gridSpan w:val="4"/>
          </w:tcPr>
          <w:p>
            <w:pPr>
              <w:ind w:left="1180"/>
              <w:spacing w:after="0"/>
              <w:rPr>
                <w:sz w:val="20"/>
                <w:szCs w:val="20"/>
                <w:color w:val="auto"/>
              </w:rPr>
            </w:pPr>
            <w:r>
              <w:rPr>
                <w:rFonts w:ascii="Arial" w:cs="Arial" w:eastAsia="Arial" w:hAnsi="Arial"/>
                <w:sz w:val="17"/>
                <w:szCs w:val="17"/>
                <w:b w:val="1"/>
                <w:bCs w:val="1"/>
                <w:color w:val="auto"/>
              </w:rPr>
              <w:t>July 1, 2015 - June 30, 2016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Treaty</w:t>
            </w:r>
          </w:p>
        </w:tc>
        <w:tc>
          <w:tcPr>
            <w:tcW w:w="340" w:type="dxa"/>
            <w:vAlign w:val="bottom"/>
          </w:tcPr>
          <w:p>
            <w:pPr>
              <w:spacing w:after="0"/>
              <w:rPr>
                <w:sz w:val="18"/>
                <w:szCs w:val="18"/>
                <w:color w:val="auto"/>
              </w:rPr>
            </w:pPr>
          </w:p>
        </w:tc>
        <w:tc>
          <w:tcPr>
            <w:tcW w:w="23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7"/>
                <w:szCs w:val="17"/>
                <w:b w:val="1"/>
                <w:bCs w:val="1"/>
                <w:color w:val="auto"/>
              </w:rPr>
              <w:t>Extent of Loss</w:t>
            </w:r>
          </w:p>
        </w:tc>
        <w:tc>
          <w:tcPr>
            <w:tcW w:w="34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6"/>
              </w:rPr>
              <w:t>Risk Retained</w:t>
            </w:r>
          </w:p>
        </w:tc>
        <w:tc>
          <w:tcPr>
            <w:tcW w:w="340" w:type="dxa"/>
            <w:vAlign w:val="bottom"/>
            <w:tcBorders>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7"/>
                <w:szCs w:val="17"/>
                <w:b w:val="1"/>
                <w:bCs w:val="1"/>
                <w:color w:val="auto"/>
              </w:rPr>
              <w:t>Extent of Loss</w:t>
            </w:r>
          </w:p>
        </w:tc>
        <w:tc>
          <w:tcPr>
            <w:tcW w:w="340" w:type="dxa"/>
            <w:vAlign w:val="bottom"/>
            <w:tcBorders>
              <w:top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Risk 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$833,333</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$500,000</w:t>
            </w:r>
          </w:p>
        </w:tc>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Arial" w:cs="Arial" w:eastAsia="Arial" w:hAnsi="Arial"/>
                <w:sz w:val="17"/>
                <w:szCs w:val="17"/>
                <w:color w:val="auto"/>
              </w:rPr>
              <w:t>$833,333 - $4,500,000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7"/>
                <w:szCs w:val="17"/>
                <w:color w:val="auto"/>
              </w:rPr>
              <w:t>None(1)</w:t>
            </w:r>
          </w:p>
        </w:tc>
        <w:tc>
          <w:tcPr>
            <w:tcW w:w="2380" w:type="dxa"/>
            <w:vAlign w:val="bottom"/>
          </w:tcPr>
          <w:p>
            <w:pPr>
              <w:ind w:left="40"/>
              <w:spacing w:after="0"/>
              <w:rPr>
                <w:sz w:val="20"/>
                <w:szCs w:val="20"/>
                <w:color w:val="auto"/>
              </w:rPr>
            </w:pPr>
            <w:r>
              <w:rPr>
                <w:rFonts w:ascii="Arial" w:cs="Arial" w:eastAsia="Arial" w:hAnsi="Arial"/>
                <w:sz w:val="17"/>
                <w:szCs w:val="17"/>
                <w:color w:val="auto"/>
              </w:rPr>
              <w:t>$750,000 - $4,500,000</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$100,000</w:t>
            </w:r>
          </w:p>
        </w:tc>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ind w:left="900"/>
              <w:spacing w:after="0"/>
              <w:rPr>
                <w:sz w:val="20"/>
                <w:szCs w:val="20"/>
                <w:color w:val="auto"/>
              </w:rPr>
            </w:pPr>
            <w:r>
              <w:rPr>
                <w:rFonts w:ascii="Arial" w:cs="Arial" w:eastAsia="Arial" w:hAnsi="Arial"/>
                <w:sz w:val="17"/>
                <w:szCs w:val="17"/>
                <w:color w:val="auto"/>
              </w:rPr>
              <w:t>None</w:t>
            </w:r>
          </w:p>
        </w:tc>
        <w:tc>
          <w:tcPr>
            <w:tcW w:w="2380" w:type="dxa"/>
            <w:vAlign w:val="bottom"/>
          </w:tcPr>
          <w:p>
            <w:pPr>
              <w:ind w:left="40"/>
              <w:spacing w:after="0"/>
              <w:rPr>
                <w:sz w:val="20"/>
                <w:szCs w:val="20"/>
                <w:color w:val="auto"/>
              </w:rPr>
            </w:pPr>
            <w:r>
              <w:rPr>
                <w:rFonts w:ascii="Arial" w:cs="Arial" w:eastAsia="Arial" w:hAnsi="Arial"/>
                <w:sz w:val="17"/>
                <w:szCs w:val="17"/>
                <w:color w:val="auto"/>
              </w:rPr>
              <w:t>$1,000,000 - $3,000,000</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$500,000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$500,000</w:t>
            </w:r>
          </w:p>
        </w:tc>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$425,000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Arial" w:cs="Arial" w:eastAsia="Arial" w:hAnsi="Arial"/>
                <w:sz w:val="17"/>
                <w:szCs w:val="17"/>
                <w:color w:val="auto"/>
              </w:rPr>
              <w:t>$500,000 - $4,500,000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7"/>
                <w:szCs w:val="17"/>
                <w:color w:val="auto"/>
              </w:rPr>
              <w:t>None(1)</w:t>
            </w:r>
          </w:p>
        </w:tc>
        <w:tc>
          <w:tcPr>
            <w:tcW w:w="2380" w:type="dxa"/>
            <w:vAlign w:val="bottom"/>
          </w:tcPr>
          <w:p>
            <w:pPr>
              <w:ind w:left="40"/>
              <w:spacing w:after="0"/>
              <w:rPr>
                <w:sz w:val="20"/>
                <w:szCs w:val="20"/>
                <w:color w:val="auto"/>
              </w:rPr>
            </w:pPr>
            <w:r>
              <w:rPr>
                <w:rFonts w:ascii="Arial" w:cs="Arial" w:eastAsia="Arial" w:hAnsi="Arial"/>
                <w:sz w:val="17"/>
                <w:szCs w:val="17"/>
                <w:color w:val="auto"/>
              </w:rPr>
              <w:t>$425,000 - $4,500,000</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None(1)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$100,000</w:t>
            </w:r>
          </w:p>
        </w:tc>
        <w:tc>
          <w:tcPr>
            <w:tcW w:w="2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ind w:left="900"/>
              <w:spacing w:after="0"/>
              <w:rPr>
                <w:sz w:val="20"/>
                <w:szCs w:val="20"/>
                <w:color w:val="auto"/>
              </w:rPr>
            </w:pPr>
            <w:r>
              <w:rPr>
                <w:rFonts w:ascii="Arial" w:cs="Arial" w:eastAsia="Arial" w:hAnsi="Arial"/>
                <w:sz w:val="17"/>
                <w:szCs w:val="17"/>
                <w:color w:val="auto"/>
              </w:rPr>
              <w:t>None</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2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$3,000,000</w:t>
            </w:r>
          </w:p>
        </w:tc>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Arial" w:cs="Arial" w:eastAsia="Arial" w:hAnsi="Arial"/>
                <w:sz w:val="17"/>
                <w:szCs w:val="17"/>
                <w:color w:val="auto"/>
              </w:rPr>
              <w:t>$5,000,000 - $252,000,000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ind w:left="900"/>
              <w:spacing w:after="0"/>
              <w:rPr>
                <w:sz w:val="20"/>
                <w:szCs w:val="20"/>
                <w:color w:val="auto"/>
              </w:rPr>
            </w:pPr>
            <w:r>
              <w:rPr>
                <w:rFonts w:ascii="Arial" w:cs="Arial" w:eastAsia="Arial" w:hAnsi="Arial"/>
                <w:sz w:val="17"/>
                <w:szCs w:val="17"/>
                <w:color w:val="auto"/>
              </w:rPr>
              <w:t>None</w:t>
            </w:r>
          </w:p>
        </w:tc>
        <w:tc>
          <w:tcPr>
            <w:tcW w:w="2380" w:type="dxa"/>
            <w:vAlign w:val="bottom"/>
          </w:tcPr>
          <w:p>
            <w:pPr>
              <w:ind w:left="40"/>
              <w:spacing w:after="0"/>
              <w:rPr>
                <w:sz w:val="20"/>
                <w:szCs w:val="20"/>
                <w:color w:val="auto"/>
              </w:rPr>
            </w:pPr>
            <w:r>
              <w:rPr>
                <w:rFonts w:ascii="Arial" w:cs="Arial" w:eastAsia="Arial" w:hAnsi="Arial"/>
                <w:sz w:val="17"/>
                <w:szCs w:val="17"/>
                <w:color w:val="auto"/>
              </w:rPr>
              <w:t>$4,000,000 - $180,000,000</w:t>
            </w:r>
          </w:p>
        </w:tc>
        <w:tc>
          <w:tcPr>
            <w:tcW w:w="3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$252,000,000</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23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$180,000,000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940" w:hanging="308"/>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57" w:lineRule="exact"/>
        <w:rPr>
          <w:rFonts w:ascii="Arial" w:cs="Arial" w:eastAsia="Arial" w:hAnsi="Arial"/>
          <w:sz w:val="17"/>
          <w:szCs w:val="17"/>
          <w:color w:val="auto"/>
        </w:rPr>
      </w:pPr>
    </w:p>
    <w:p>
      <w:pPr>
        <w:ind w:left="940" w:hanging="308"/>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Company’s estimated ultimate treaty year loss ratios (“Loss Ratio(s)”) for treaties in effect for the three months ended September 30, 2017 are attributable to contracts for the 2017/2019 Treaty and for the nine months ended September 30, 2017 are attributable to the contracts for the 2017/2019 Treaty and 2016/2017 Treaty. The Company’s estimated ultimate treaty year Loss Ratios for treaties in effect for the three months ended September 30, 2016 are attributable to contracts for the 2016/2017 Treaty and for the nine months ended September 30, 2016 are attributable to the contracts for the 2016/2017 Treaty and 2015/2016 Treaty.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7" w:name="page28"/>
    <w:bookmarkEnd w:id="27"/>
    <w:p>
      <w:pPr>
        <w:ind w:left="640"/>
        <w:spacing w:after="0"/>
        <w:rPr>
          <w:sz w:val="20"/>
          <w:szCs w:val="20"/>
          <w:color w:val="auto"/>
        </w:rPr>
      </w:pPr>
      <w:r>
        <w:rPr>
          <w:rFonts w:ascii="Arial" w:cs="Arial" w:eastAsia="Arial" w:hAnsi="Arial"/>
          <w:sz w:val="17"/>
          <w:szCs w:val="17"/>
          <w:i w:val="1"/>
          <w:iCs w:val="1"/>
          <w:color w:val="auto"/>
        </w:rPr>
        <w:t>Treaties in effect for the three months and nine months ended September 30, 2017</w:t>
      </w:r>
    </w:p>
    <w:p>
      <w:pPr>
        <w:spacing w:after="0" w:line="223" w:lineRule="exact"/>
        <w:rPr>
          <w:sz w:val="20"/>
          <w:szCs w:val="20"/>
          <w:color w:val="auto"/>
        </w:rPr>
      </w:pPr>
    </w:p>
    <w:p>
      <w:pPr>
        <w:jc w:val="both"/>
        <w:ind w:left="640"/>
        <w:spacing w:after="0" w:line="303" w:lineRule="auto"/>
        <w:rPr>
          <w:sz w:val="20"/>
          <w:szCs w:val="20"/>
          <w:color w:val="auto"/>
        </w:rPr>
      </w:pPr>
      <w:r>
        <w:rPr>
          <w:rFonts w:ascii="Arial" w:cs="Arial" w:eastAsia="Arial" w:hAnsi="Arial"/>
          <w:sz w:val="15"/>
          <w:szCs w:val="15"/>
          <w:color w:val="auto"/>
        </w:rPr>
        <w:t>Under the 2017/2019 Treaty, the Company receives, and under the 2016/2017 Treaty, the Company received, an upfront fixed provisional rate that is subject to a sliding scale contingent adjustment based upon Loss Ratio. Under this arrangement, the Company earns and earned provisional ceding commissions that are subject to later adjustment dependent on changes to the estimated Loss Ratio for the 2017/2019 Treaty and 2016/2017 Treaty. The Company’s Loss Ratios for the period July 1, 2017 through September 30, 2017 (attributable to the 2017/2019 Treaty), and from July 1, 2016 through June 30, 2017 (attributable to the 2016/2017 Treaty), were consistent with the contractual Loss Ratio at which the provisional ceding commissions were earned and therefore no additional contingent commission was recorded for the three months and nine months ended September 30, 2017 with respect to these treaties.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Treaties in effect for the three months and nine months ended September 30, 2016</w:t>
      </w:r>
    </w:p>
    <w:p>
      <w:pPr>
        <w:spacing w:after="0" w:line="223" w:lineRule="exact"/>
        <w:rPr>
          <w:sz w:val="20"/>
          <w:szCs w:val="20"/>
          <w:color w:val="auto"/>
        </w:rPr>
      </w:pPr>
    </w:p>
    <w:p>
      <w:pPr>
        <w:jc w:val="both"/>
        <w:ind w:left="640"/>
        <w:spacing w:after="0" w:line="261" w:lineRule="auto"/>
        <w:rPr>
          <w:sz w:val="20"/>
          <w:szCs w:val="20"/>
          <w:color w:val="auto"/>
        </w:rPr>
      </w:pPr>
      <w:r>
        <w:rPr>
          <w:rFonts w:ascii="Arial" w:cs="Arial" w:eastAsia="Arial" w:hAnsi="Arial"/>
          <w:sz w:val="17"/>
          <w:szCs w:val="17"/>
          <w:color w:val="auto"/>
        </w:rPr>
        <w:t>Under the 2016/2017 Treaty and the 2015/2016 Treaty, the Company received an upfront fixed provisional rate that was subject to a sliding scale contingent rate adjustment based on Loss Ratio. Under this arrangement, the Company earned provisional ceding commissions that were subject to later adjustment dependent on changes to the estimated Loss Ratio for the 2016/2017 Treaty and 2015/2016 Treaty. The Company’s Loss Ratio for the period July 1, 2016 through September 30, 2016 (attributable to the 2016/2017 Treaty), and from July 1, 2015 through June 30, 2016 (attributable to the 2015/2016 Treaty), were higher than the contractual Loss Ratio at which provisional ceding commissions were earned. Accordingly, for the three months and nine months ended September 30, 2016, the Company’s contingent ceding commission earned was reduced as a result of the estimated Loss Ratios for the 2016/2017 Treaty and 2015/2016 Treaty.</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treaties that were in effect for the three months and nine months ended September 30, 2017 and 2016, the Loss Ratios from prior years’ treaties are subject to change as incurred losses from those periods increase or decrease, resulting in an increase or decrease in the commission rate and contingent ceding commissions earned.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Ceding commission revenue consists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3"/>
          </w:tcPr>
          <w:p>
            <w:pPr>
              <w:jc w:val="right"/>
              <w:ind w:right="69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340" w:type="dxa"/>
            <w:vAlign w:val="bottom"/>
            <w:gridSpan w:val="3"/>
          </w:tcPr>
          <w:p>
            <w:pPr>
              <w:jc w:val="right"/>
              <w:ind w:right="69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1,921,457</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w w:val="97"/>
              </w:rPr>
              <w:t>3,185,748</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8,689,803</w:t>
            </w:r>
          </w:p>
        </w:tc>
        <w:tc>
          <w:tcPr>
            <w:tcW w:w="4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97"/>
              </w:rPr>
              <w:t>9,508,213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(203,847)</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(250,820)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(481,803)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(1,233,923)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7"/>
                <w:szCs w:val="17"/>
                <w:color w:val="auto"/>
              </w:rPr>
              <w:t>1,717,610</w:t>
            </w:r>
          </w:p>
        </w:tc>
        <w:tc>
          <w:tcPr>
            <w:tcW w:w="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w w:val="97"/>
              </w:rPr>
              <w:t>2,934,928</w:t>
            </w: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rPr>
              <w:t>8,208,000</w:t>
            </w:r>
          </w:p>
        </w:tc>
        <w:tc>
          <w:tcPr>
            <w:tcW w:w="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97"/>
              </w:rPr>
              <w:t>8,274,290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Contingent ceding commissions earned in any period include the combined effect of changes recorded for all active treaties. As of September 30, 2017 and December 31, 2016, net contingent ceding commissions payable to reinsurers under all treaties was approximately $1,719,000 and $773,000, respectively, which are recorded in reinsurance balances payable in the accompanying condensed consolidated balance sheets.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Note 7 – Credit Facility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July 2017, KICO became a member of, and invested in, the Federal Home Loan Bank of New York (“FHLBNY”). The aggregate investment of dividend bearing common stock was $22,500 as of September 30, 2017.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December 31, 2016 and are due and payable within one year of borrowing. The maximum allowable advance is approximately $6,212,000 as of September 30, 2017. There were no borrowings under this facility during the three months ended September 30, 2017.</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Public Offering of Common Stock</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31, 2017, the Company closed on an underwritten public offering of 2,500,000 shares of its Common Stock. On February 14, 2017, the Company closed on the underwriters’ purchase option for an additional 192,500 shares of its Common Stock. The public offering price for the 2,692,500 shares sold was $12.00 per share. The aggregate net proceeds to the Company were approximately $30,137,000, after deducting underwriting discounts and commissions and other offering expenses in the aggregate amount of approximately $2,173,000.</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 2017, the Company used $23,000,000 of the net proceeds from the offering to contribute capital to its insurance subsidiary, KICO, to support its ratings upgrade plan and additional growth. The remainder of the net proceeds will be used for general corporate purposes. A shelf registration statement relating to the shares sold in the offering was filed with the SEC and became effective on January 19, 2017.</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Dividends declared and paid on Common Stock were $2,363,993 and $1,446,684 for the nine months ended September 30, 2017 and 2016, respectively. The Company’s Board of Directors approved a quarterly dividend on November 8, 2017 of $.08 per share payable in cash on December 15, 2017 to stockholders of record as of November 30, 2017 (see Note 12).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Pursuant to the Company’s 2014 Equity Participation Plan (the “2014 Plan”),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of the Board determines the expiration date with respect to non-statutory stock options and the vesting provisions for restricted stock granted under the 2014 Plan and 2005 Plan.</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results of operations for the three months ended September 30, 2017 and 2016 include stock-based stock option compensation expense totaling approximately $5,000 and $23,000, respectively, which is recorded in other operating expenses on the accompanying condensed consolidated statements of income and comprehensive income. The results of operations for the nine months ended September 30, 2017 and 2016 include stock-based stock option compensation expense totaling approximately $35,000 and $90,000, respectively. Stock-based compensation expense related to stock options is net of estimated forfeitures of 17% for the three months and nine months ended September 30, 2017 and 2016. Such amounts have been included in the condensed consolidated statements of income and comprehensive income within other operating expenses.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Stock-based compensation expense for the nine months ended September 30, 2017 and 2016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nine months ended September 30, 2017. The weighted average estimated fair value of stock options granted during the nine months ended September 30, 2016 was $1.87 per share. The fair value of stock options at the grant date was estimated using the Black-Scholes option-pricing model. The following weighted average assumptions were used for grants during the following periods: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gridSpan w:val="3"/>
          </w:tcPr>
          <w:p>
            <w:pPr>
              <w:ind w:left="260"/>
              <w:spacing w:after="0"/>
              <w:rPr>
                <w:sz w:val="20"/>
                <w:szCs w:val="20"/>
                <w:color w:val="auto"/>
              </w:rPr>
            </w:pPr>
            <w:r>
              <w:rPr>
                <w:rFonts w:ascii="Arial" w:cs="Arial" w:eastAsia="Arial" w:hAnsi="Arial"/>
                <w:sz w:val="17"/>
                <w:szCs w:val="17"/>
                <w:b w:val="1"/>
                <w:bCs w:val="1"/>
                <w:color w:val="auto"/>
                <w:w w:val="92"/>
              </w:rPr>
              <w:t>Nine months ended</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400"/>
              <w:spacing w:after="0"/>
              <w:rPr>
                <w:sz w:val="20"/>
                <w:szCs w:val="20"/>
                <w:color w:val="auto"/>
              </w:rPr>
            </w:pPr>
            <w:r>
              <w:rPr>
                <w:rFonts w:ascii="Arial" w:cs="Arial" w:eastAsia="Arial" w:hAnsi="Arial"/>
                <w:sz w:val="17"/>
                <w:szCs w:val="17"/>
                <w:b w:val="1"/>
                <w:bCs w:val="1"/>
                <w:color w:val="auto"/>
              </w:rPr>
              <w:t>September 30,</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gridSpan w:val="2"/>
          </w:tcPr>
          <w:p>
            <w:pPr>
              <w:spacing w:after="0"/>
              <w:rPr>
                <w:sz w:val="18"/>
                <w:szCs w:val="18"/>
                <w:color w:val="auto"/>
              </w:rPr>
            </w:pPr>
          </w:p>
        </w:tc>
        <w:tc>
          <w:tcPr>
            <w:tcW w:w="15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2017</w:t>
            </w:r>
          </w:p>
        </w:tc>
        <w:tc>
          <w:tcPr>
            <w:tcW w:w="70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85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74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n/a</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Volatility</w:t>
            </w:r>
          </w:p>
        </w:tc>
        <w:tc>
          <w:tcPr>
            <w:tcW w:w="1740" w:type="dxa"/>
            <w:vAlign w:val="bottom"/>
            <w:gridSpan w:val="3"/>
          </w:tcPr>
          <w:p>
            <w:pPr>
              <w:ind w:left="500"/>
              <w:spacing w:after="0"/>
              <w:rPr>
                <w:sz w:val="20"/>
                <w:szCs w:val="20"/>
                <w:color w:val="auto"/>
              </w:rPr>
            </w:pPr>
            <w:r>
              <w:rPr>
                <w:rFonts w:ascii="Arial" w:cs="Arial" w:eastAsia="Arial" w:hAnsi="Arial"/>
                <w:sz w:val="17"/>
                <w:szCs w:val="17"/>
                <w:color w:val="auto"/>
              </w:rPr>
              <w:t>n/a</w:t>
            </w:r>
          </w:p>
        </w:tc>
        <w:tc>
          <w:tcPr>
            <w:tcW w:w="620" w:type="dxa"/>
            <w:vAlign w:val="bottom"/>
          </w:tcPr>
          <w:p>
            <w:pPr>
              <w:jc w:val="right"/>
              <w:spacing w:after="0"/>
              <w:rPr>
                <w:sz w:val="20"/>
                <w:szCs w:val="20"/>
                <w:color w:val="auto"/>
              </w:rPr>
            </w:pPr>
            <w:r>
              <w:rPr>
                <w:rFonts w:ascii="Arial" w:cs="Arial" w:eastAsia="Arial" w:hAnsi="Arial"/>
                <w:sz w:val="17"/>
                <w:szCs w:val="17"/>
                <w:color w:val="auto"/>
              </w:rPr>
              <w:t>31.61%</w:t>
            </w:r>
          </w:p>
        </w:tc>
        <w:tc>
          <w:tcPr>
            <w:tcW w:w="1180" w:type="dxa"/>
            <w:vAlign w:val="bottom"/>
          </w:tcPr>
          <w:p>
            <w:pPr>
              <w:ind w:left="20"/>
              <w:spacing w:after="0"/>
              <w:rPr>
                <w:sz w:val="20"/>
                <w:szCs w:val="20"/>
                <w:color w:val="auto"/>
              </w:rPr>
            </w:pPr>
            <w:r>
              <w:rPr>
                <w:rFonts w:ascii="Arial" w:cs="Arial" w:eastAsia="Arial" w:hAnsi="Arial"/>
                <w:sz w:val="17"/>
                <w:szCs w:val="17"/>
                <w:color w:val="auto"/>
              </w:rPr>
              <w:t>- 31.81%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74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rPr>
              <w:t>n/a</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Expected Life</w:t>
            </w:r>
          </w:p>
        </w:tc>
        <w:tc>
          <w:tcPr>
            <w:tcW w:w="1740" w:type="dxa"/>
            <w:vAlign w:val="bottom"/>
            <w:gridSpan w:val="3"/>
          </w:tcPr>
          <w:p>
            <w:pPr>
              <w:ind w:left="500"/>
              <w:spacing w:after="0"/>
              <w:rPr>
                <w:sz w:val="20"/>
                <w:szCs w:val="20"/>
                <w:color w:val="auto"/>
              </w:rPr>
            </w:pPr>
            <w:r>
              <w:rPr>
                <w:rFonts w:ascii="Arial" w:cs="Arial" w:eastAsia="Arial" w:hAnsi="Arial"/>
                <w:sz w:val="17"/>
                <w:szCs w:val="17"/>
                <w:color w:val="auto"/>
              </w:rPr>
              <w:t>n/a</w:t>
            </w:r>
          </w:p>
        </w:tc>
        <w:tc>
          <w:tcPr>
            <w:tcW w:w="1800" w:type="dxa"/>
            <w:vAlign w:val="bottom"/>
            <w:gridSpan w:val="2"/>
          </w:tcPr>
          <w:p>
            <w:pPr>
              <w:jc w:val="center"/>
              <w:ind w:right="335"/>
              <w:spacing w:after="0"/>
              <w:rPr>
                <w:sz w:val="20"/>
                <w:szCs w:val="20"/>
                <w:color w:val="auto"/>
              </w:rPr>
            </w:pPr>
            <w:r>
              <w:rPr>
                <w:rFonts w:ascii="Arial" w:cs="Arial" w:eastAsia="Arial" w:hAnsi="Arial"/>
                <w:sz w:val="17"/>
                <w:szCs w:val="17"/>
                <w:color w:val="auto"/>
                <w:w w:val="88"/>
              </w:rPr>
              <w:t>3.25 years</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under the Company’s 2014 Plan and 2005 Plan for the nine months ended September 30, 2017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jc w:val="center"/>
              <w:ind w:right="23"/>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jc w:val="center"/>
              <w:ind w:right="23"/>
              <w:spacing w:after="0" w:line="157"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97"/>
              <w:spacing w:after="0" w:line="157"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jc w:val="center"/>
              <w:ind w:right="3"/>
              <w:spacing w:after="0" w:line="157"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Number of</w:t>
            </w:r>
          </w:p>
        </w:tc>
        <w:tc>
          <w:tcPr>
            <w:tcW w:w="146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9"/>
              </w:rPr>
              <w:t>Average Exercise</w:t>
            </w:r>
          </w:p>
        </w:tc>
        <w:tc>
          <w:tcPr>
            <w:tcW w:w="1280" w:type="dxa"/>
            <w:vAlign w:val="bottom"/>
          </w:tcPr>
          <w:p>
            <w:pPr>
              <w:jc w:val="center"/>
              <w:ind w:right="23"/>
              <w:spacing w:after="0" w:line="157"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3"/>
                <w:szCs w:val="13"/>
                <w:color w:val="auto"/>
              </w:rPr>
            </w:pPr>
          </w:p>
        </w:tc>
        <w:tc>
          <w:tcPr>
            <w:tcW w:w="114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Stock Options</w:t>
            </w:r>
          </w:p>
        </w:tc>
        <w:tc>
          <w:tcPr>
            <w:tcW w:w="13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Shares</w:t>
            </w:r>
          </w:p>
        </w:tc>
        <w:tc>
          <w:tcPr>
            <w:tcW w:w="146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4"/>
                <w:szCs w:val="14"/>
                <w:b w:val="1"/>
                <w:bCs w:val="1"/>
                <w:color w:val="auto"/>
                <w:w w:val="93"/>
              </w:rPr>
              <w:t>Price per Share</w:t>
            </w:r>
          </w:p>
        </w:tc>
        <w:tc>
          <w:tcPr>
            <w:tcW w:w="12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2017</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362,750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6.62</w:t>
            </w: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7"/>
                <w:szCs w:val="17"/>
                <w:color w:val="333333"/>
              </w:rPr>
              <w:t>2.61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333333"/>
              </w:rPr>
              <w:t>2,586,748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3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Exercised</w:t>
            </w:r>
          </w:p>
        </w:tc>
        <w:tc>
          <w:tcPr>
            <w:tcW w:w="1380" w:type="dxa"/>
            <w:vAlign w:val="bottom"/>
          </w:tcPr>
          <w:p>
            <w:pPr>
              <w:jc w:val="right"/>
              <w:spacing w:after="0"/>
              <w:rPr>
                <w:sz w:val="20"/>
                <w:szCs w:val="20"/>
                <w:color w:val="auto"/>
              </w:rPr>
            </w:pPr>
            <w:r>
              <w:rPr>
                <w:rFonts w:ascii="Arial" w:cs="Arial" w:eastAsia="Arial" w:hAnsi="Arial"/>
                <w:sz w:val="17"/>
                <w:szCs w:val="17"/>
                <w:color w:val="auto"/>
              </w:rPr>
              <w:t>(14,500)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5.55</w:t>
            </w:r>
          </w:p>
        </w:tc>
        <w:tc>
          <w:tcPr>
            <w:tcW w:w="1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Pr>
          <w:p>
            <w:pPr>
              <w:jc w:val="right"/>
              <w:ind w:right="58"/>
              <w:spacing w:after="0"/>
              <w:rPr>
                <w:sz w:val="20"/>
                <w:szCs w:val="20"/>
                <w:color w:val="auto"/>
              </w:rPr>
            </w:pPr>
            <w:r>
              <w:rPr>
                <w:rFonts w:ascii="Arial" w:cs="Arial" w:eastAsia="Arial" w:hAnsi="Arial"/>
                <w:sz w:val="17"/>
                <w:szCs w:val="17"/>
                <w:color w:val="333333"/>
              </w:rPr>
              <w:t>133,058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Forfeited</w:t>
            </w:r>
          </w:p>
        </w:tc>
        <w:tc>
          <w:tcPr>
            <w:tcW w:w="13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333333"/>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333333"/>
              </w:rPr>
              <w:t>Outstanding at September 30, 2017</w:t>
            </w:r>
          </w:p>
        </w:tc>
        <w:tc>
          <w:tcPr>
            <w:tcW w:w="13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348,250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6.66</w:t>
            </w:r>
          </w:p>
        </w:tc>
        <w:tc>
          <w:tcPr>
            <w:tcW w:w="1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7"/>
                <w:szCs w:val="17"/>
                <w:color w:val="333333"/>
              </w:rPr>
              <w:t>1.90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333333"/>
              </w:rPr>
              <w:t>3,355,953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333333"/>
              </w:rPr>
              <w:t>Vested and Exercisable at September 30, 2017</w:t>
            </w:r>
          </w:p>
        </w:tc>
        <w:tc>
          <w:tcPr>
            <w:tcW w:w="13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278,250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6.53</w:t>
            </w:r>
          </w:p>
        </w:tc>
        <w:tc>
          <w:tcPr>
            <w:tcW w:w="1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7"/>
                <w:szCs w:val="17"/>
                <w:color w:val="333333"/>
              </w:rPr>
              <w:t>1.78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333333"/>
              </w:rPr>
              <w:t>2,717,978</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intrinsic value of options outstanding and options exercisable at September 30, 2017 is calculated as the difference between the exercise price of the underlying options and the market price of the Company’s Common Stock for the options that had exercise prices that were lower than the $16.30 closing price of the Company’s Common Stock on September 30, 2017.</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The Company received cash proceeds of $66,517 from the exercise of options for the purchase of 11,750 shares of Common Stock during the nine months ended September 30, 2017. The remaining 2,750 options exercised during the nine months ended September 30, 2017 were Net Exercises, resulting in the issuance of 1,828 shares of Common Stock. The Company received cash proceeds of $12,725 from the exercise of options for the purchase of 2,500 shares of Common Stock during the nine months ended September 30, 2016.</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0" w:name="page31"/>
    <w:bookmarkEnd w:id="30"/>
    <w:p>
      <w:pPr>
        <w:jc w:val="both"/>
        <w:spacing w:after="0" w:line="314" w:lineRule="auto"/>
        <w:rPr>
          <w:sz w:val="20"/>
          <w:szCs w:val="20"/>
          <w:color w:val="auto"/>
        </w:rPr>
      </w:pPr>
      <w:r>
        <w:rPr>
          <w:rFonts w:ascii="Arial" w:cs="Arial" w:eastAsia="Arial" w:hAnsi="Arial"/>
          <w:sz w:val="16"/>
          <w:szCs w:val="16"/>
          <w:color w:val="auto"/>
        </w:rPr>
        <w:t>As of September 30, 2017, the fair value of unamortized compensation cost related to unvested stock option awards was approximately $9,000. Unamortized compensation cost as of September 30, 2017 is expected to be recognized over a remaining weighted-average vesting period of 0.87 years.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2017, there were 551,758 shares reserved for grants under the 2014 Plan.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Equity Compensation</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January 2017, the Company granted a total of 8,000 shares of restricted Common Stock under the 2014 Plan to its then four non-employee directors. In January 2016, the Company granted a total of 6,000 shares of restricted Common Stock under the 2014 Plan to its three then non-employee directors. In March 2016, the Company granted 1,500 shares of restricted Common Stock under the 2014 Plan to a newly elected non-employee director. In May 2017 and August 2017, the Company granted 1,250 shares and 795 shares, respectively, of restricted Common Stock under the 2014 Plan to two newly elected non-employee directors. One-third of the shares granted will vest on each of the three annual anniversaries following the grant date.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2017, the Company granted a total of 16,000 shares of restricted Common Stock under the 2014 Plan to two executive officers. In April 2017 the Company granted a total of 24,010 shares of restricted Common Stock under the 2014 Plan to four executive officers and thirteen employees. The shares granted to executives and employees will vest on a monthly basis over the three year period following the grant date.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August and September 2017, the Company granted a total of 4,020 shares of restricted Common Stock under the 2014 Plan to three employees. The shares granted will vest on each of the three annual anniversaries following the grant date.</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Fair value was calculated using the closing price of the Company’s Common Stock on the grant date. For the three months and nine months ended September 30, 2017, stock-based compensation of approximately $65,000 and $163,000, respectively, for these grants is included in other operating expenses on the accompanying condensed consolidated statements of income and comprehensive income. These amounts reflect the Company’s accounting expense and do not correspond to the actual value that will be recognized by the directors, executives and employees.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Income Taxes</w:t>
      </w: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condensed consolidated financial statements taken as a whole for the respective periods.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100" w:type="dxa"/>
            <w:vAlign w:val="bottom"/>
          </w:tcPr>
          <w:p>
            <w:pPr>
              <w:jc w:val="right"/>
              <w:ind w:right="17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417"/>
        </w:trPr>
        <w:tc>
          <w:tcPr>
            <w:tcW w:w="5780" w:type="dxa"/>
            <w:vAlign w:val="bottom"/>
            <w:gridSpan w:val="2"/>
          </w:tcPr>
          <w:p>
            <w:pPr>
              <w:spacing w:after="0"/>
              <w:rPr>
                <w:sz w:val="20"/>
                <w:szCs w:val="20"/>
                <w:color w:val="auto"/>
              </w:rPr>
            </w:pPr>
            <w:r>
              <w:rPr>
                <w:rFonts w:ascii="Arial" w:cs="Arial" w:eastAsia="Arial" w:hAnsi="Arial"/>
                <w:sz w:val="17"/>
                <w:szCs w:val="17"/>
                <w:color w:val="auto"/>
              </w:rPr>
              <w:t>Deferred tax asset:</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 carryovers (1)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112,760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131,626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Claims reserve discount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444,517</w:t>
            </w:r>
          </w:p>
        </w:tc>
        <w:tc>
          <w:tcPr>
            <w:tcW w:w="22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417,349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3,866,770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2,877,365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Deferred ceding commission revenue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1,344,275</w:t>
            </w:r>
          </w:p>
        </w:tc>
        <w:tc>
          <w:tcPr>
            <w:tcW w:w="22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2,329,626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504,338</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188,675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6,272,660</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5,944,641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Deferred tax liability: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KICO (2)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1,169,000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1,169,000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Deferred acquisition costs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4,889,872</w:t>
            </w:r>
          </w:p>
        </w:tc>
        <w:tc>
          <w:tcPr>
            <w:tcW w:w="22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4,161,526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372,300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459,000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287,861</w:t>
            </w:r>
          </w:p>
        </w:tc>
        <w:tc>
          <w:tcPr>
            <w:tcW w:w="22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auto"/>
              </w:rPr>
              <w:t>265,671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unrealized appreciation of securities -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681,715</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56,393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7,400,748</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6,111,590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Net deferred income tax liability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(1,128,088)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(166,949)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gridSpan w:val="3"/>
            <w:vMerge w:val="restart"/>
          </w:tcPr>
          <w:p>
            <w:pPr>
              <w:ind w:left="620"/>
              <w:spacing w:after="0"/>
              <w:rPr>
                <w:sz w:val="20"/>
                <w:szCs w:val="20"/>
                <w:color w:val="auto"/>
              </w:rPr>
            </w:pPr>
            <w:r>
              <w:rPr>
                <w:rFonts w:ascii="Arial" w:cs="Arial" w:eastAsia="Arial" w:hAnsi="Arial"/>
                <w:sz w:val="17"/>
                <w:szCs w:val="17"/>
                <w:color w:val="auto"/>
              </w:rPr>
              <w:t>(1)  The deferred tax assets from net operating loss carryovers (“NOL”) are as follows:</w:t>
            </w: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1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760" w:type="dxa"/>
            <w:vAlign w:val="bottom"/>
            <w:vMerge w:val="restart"/>
          </w:tcPr>
          <w:p>
            <w:pPr>
              <w:ind w:left="2460"/>
              <w:spacing w:after="0"/>
              <w:rPr>
                <w:sz w:val="20"/>
                <w:szCs w:val="20"/>
                <w:color w:val="auto"/>
              </w:rPr>
            </w:pPr>
            <w:r>
              <w:rPr>
                <w:rFonts w:ascii="Arial" w:cs="Arial" w:eastAsia="Arial" w:hAnsi="Arial"/>
                <w:sz w:val="14"/>
                <w:szCs w:val="14"/>
                <w:b w:val="1"/>
                <w:bCs w:val="1"/>
                <w:color w:val="333333"/>
              </w:rPr>
              <w:t>Type of NOL</w:t>
            </w:r>
          </w:p>
        </w:tc>
        <w:tc>
          <w:tcPr>
            <w:tcW w:w="220" w:type="dxa"/>
            <w:vAlign w:val="bottom"/>
          </w:tcPr>
          <w:p>
            <w:pPr>
              <w:spacing w:after="0"/>
              <w:rPr>
                <w:sz w:val="24"/>
                <w:szCs w:val="24"/>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333333"/>
                <w:w w:val="91"/>
              </w:rPr>
              <w:t>September 30,</w:t>
            </w:r>
          </w:p>
        </w:tc>
        <w:tc>
          <w:tcPr>
            <w:tcW w:w="220" w:type="dxa"/>
            <w:vAlign w:val="bottom"/>
          </w:tcPr>
          <w:p>
            <w:pPr>
              <w:spacing w:after="0"/>
              <w:rPr>
                <w:sz w:val="24"/>
                <w:szCs w:val="24"/>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333333"/>
                <w:w w:val="92"/>
              </w:rPr>
              <w:t>December 31,</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33333"/>
              </w:rPr>
              <w:t>Expiration</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333333"/>
              </w:rPr>
              <w:t>2017</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333333"/>
              </w:rPr>
              <w:t>2016</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333333"/>
              </w:rPr>
              <w:t>State only (A)</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333333"/>
              </w:rPr>
              <w:t>786,240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333333"/>
              </w:rPr>
              <w:t>655,719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697"/>
              <w:spacing w:after="0"/>
              <w:rPr>
                <w:sz w:val="20"/>
                <w:szCs w:val="20"/>
                <w:color w:val="auto"/>
              </w:rPr>
            </w:pPr>
            <w:r>
              <w:rPr>
                <w:rFonts w:ascii="Arial" w:cs="Arial" w:eastAsia="Arial" w:hAnsi="Arial"/>
                <w:sz w:val="17"/>
                <w:szCs w:val="17"/>
                <w:color w:val="333333"/>
              </w:rPr>
              <w:t>December 31, 2037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333333"/>
              </w:rPr>
              <w:t>Valuation allowance</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333333"/>
              </w:rPr>
              <w:t>(680,280)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33333"/>
              </w:rPr>
              <w:t>(534,293)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333333"/>
              </w:rPr>
              <w:t>State only, net of valuation allowance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333333"/>
              </w:rPr>
              <w:t>105,960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333333"/>
              </w:rPr>
              <w:t>121,426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333333"/>
              </w:rPr>
              <w:t>Amount subject to Annual Limitation, federal only (B)</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333333"/>
              </w:rPr>
              <w:t>6,800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333333"/>
              </w:rPr>
              <w:t>10,200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3"/>
          </w:tcPr>
          <w:p>
            <w:pPr>
              <w:jc w:val="right"/>
              <w:ind w:right="697"/>
              <w:spacing w:after="0"/>
              <w:rPr>
                <w:sz w:val="20"/>
                <w:szCs w:val="20"/>
                <w:color w:val="auto"/>
              </w:rPr>
            </w:pPr>
            <w:r>
              <w:rPr>
                <w:rFonts w:ascii="Arial" w:cs="Arial" w:eastAsia="Arial" w:hAnsi="Arial"/>
                <w:sz w:val="17"/>
                <w:szCs w:val="17"/>
                <w:color w:val="333333"/>
              </w:rPr>
              <w:t>December 31, 2019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333333"/>
              </w:rPr>
              <w:t>Total deferred tax asset from net operating loss carryovers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333333"/>
              </w:rPr>
              <w:t>112,760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333333"/>
              </w:rPr>
              <w:t>131,626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
        <w:spacing w:after="0" w:line="263" w:lineRule="auto"/>
        <w:tabs>
          <w:tab w:leader="none" w:pos="285" w:val="left"/>
        </w:tabs>
        <w:numPr>
          <w:ilvl w:val="0"/>
          <w:numId w:val="9"/>
        </w:numPr>
        <w:rPr>
          <w:rFonts w:ascii="Arial" w:cs="Arial" w:eastAsia="Arial" w:hAnsi="Arial"/>
          <w:sz w:val="17"/>
          <w:szCs w:val="17"/>
          <w:color w:val="auto"/>
        </w:rPr>
      </w:pPr>
      <w:r>
        <w:rPr>
          <w:rFonts w:ascii="Arial" w:cs="Arial" w:eastAsia="Arial" w:hAnsi="Arial"/>
          <w:sz w:val="17"/>
          <w:szCs w:val="17"/>
          <w:color w:val="auto"/>
        </w:rPr>
        <w:t>Kingstone generates operating losses for state purposes and has prior year NOLs available. The state NOL as of September 30, 2017 and December 31, 2016 was approximately $12,095,996 and $10,088,000,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2037.</w:t>
      </w:r>
    </w:p>
    <w:p>
      <w:pPr>
        <w:spacing w:after="0" w:line="119" w:lineRule="exact"/>
        <w:rPr>
          <w:rFonts w:ascii="Arial" w:cs="Arial" w:eastAsia="Arial" w:hAnsi="Arial"/>
          <w:sz w:val="17"/>
          <w:szCs w:val="17"/>
          <w:color w:val="auto"/>
        </w:rPr>
      </w:pPr>
    </w:p>
    <w:p>
      <w:pPr>
        <w:jc w:val="both"/>
        <w:ind w:firstLine="5"/>
        <w:spacing w:after="0" w:line="269" w:lineRule="auto"/>
        <w:tabs>
          <w:tab w:leader="none" w:pos="27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has an NOL of $20,000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114" w:lineRule="exact"/>
        <w:rPr>
          <w:rFonts w:ascii="Arial" w:cs="Arial" w:eastAsia="Arial" w:hAnsi="Arial"/>
          <w:sz w:val="17"/>
          <w:szCs w:val="17"/>
          <w:color w:val="auto"/>
        </w:rPr>
      </w:pPr>
    </w:p>
    <w:p>
      <w:pPr>
        <w:ind w:left="940" w:hanging="308"/>
        <w:spacing w:after="0"/>
        <w:tabs>
          <w:tab w:leader="none" w:pos="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Deferred tax liability – Investment in KICO</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2017 and 2016. If any had been recognized these would have been reported in income tax expense.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Generally, taxing authorities may examine the Company’s tax returns for the three years from the date of filing. The Company’s tax returns for the years ended December 31, 2014 through December 31, 2016 remain subject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Earnings Per Common Share</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computation of diluted earnings per common share excludes outstanding options in periods where the exercise of such options would be anti-dilutive. For the three months ended September 30, 2017 and 2016, the inclusion of -0- and 27,500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 For the nine months ended September 30, 2017 and 2016, the inclusion of -0- and 22,664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The reconciliation of the weighted average number of common shares used in the calculation of basic and diluted earnings per common share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920" w:type="dxa"/>
            <w:vAlign w:val="bottom"/>
            <w:gridSpan w:val="2"/>
          </w:tcPr>
          <w:p>
            <w:pPr>
              <w:jc w:val="right"/>
              <w:ind w:right="838"/>
              <w:spacing w:after="0"/>
              <w:rPr>
                <w:sz w:val="20"/>
                <w:szCs w:val="20"/>
                <w:color w:val="auto"/>
              </w:rPr>
            </w:pPr>
            <w:r>
              <w:rPr>
                <w:rFonts w:ascii="Arial" w:cs="Arial" w:eastAsia="Arial" w:hAnsi="Arial"/>
                <w:sz w:val="14"/>
                <w:szCs w:val="14"/>
                <w:b w:val="1"/>
                <w:bCs w:val="1"/>
                <w:color w:val="333333"/>
              </w:rPr>
              <w:t>Three months ended</w:t>
            </w:r>
          </w:p>
        </w:tc>
        <w:tc>
          <w:tcPr>
            <w:tcW w:w="2560" w:type="dxa"/>
            <w:vAlign w:val="bottom"/>
            <w:gridSpan w:val="2"/>
          </w:tcPr>
          <w:p>
            <w:pPr>
              <w:jc w:val="right"/>
              <w:ind w:right="698"/>
              <w:spacing w:after="0"/>
              <w:rPr>
                <w:sz w:val="20"/>
                <w:szCs w:val="20"/>
                <w:color w:val="auto"/>
              </w:rPr>
            </w:pPr>
            <w:r>
              <w:rPr>
                <w:rFonts w:ascii="Arial" w:cs="Arial" w:eastAsia="Arial" w:hAnsi="Arial"/>
                <w:sz w:val="14"/>
                <w:szCs w:val="14"/>
                <w:b w:val="1"/>
                <w:bCs w:val="1"/>
                <w:color w:val="333333"/>
              </w:rPr>
              <w:t>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33333"/>
              </w:rPr>
              <w:t>September 30,</w:t>
            </w: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33333"/>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860" w:type="dxa"/>
            <w:vAlign w:val="bottom"/>
            <w:tcBorders>
              <w:bottom w:val="single" w:sz="8" w:color="auto"/>
            </w:tcBorders>
          </w:tcPr>
          <w:p>
            <w:pPr>
              <w:jc w:val="right"/>
              <w:ind w:right="941"/>
              <w:spacing w:after="0"/>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2016</w:t>
            </w:r>
          </w:p>
        </w:tc>
        <w:tc>
          <w:tcPr>
            <w:tcW w:w="1680" w:type="dxa"/>
            <w:vAlign w:val="bottom"/>
            <w:tcBorders>
              <w:bottom w:val="single" w:sz="8" w:color="auto"/>
            </w:tcBorders>
          </w:tcPr>
          <w:p>
            <w:pPr>
              <w:jc w:val="right"/>
              <w:ind w:right="941"/>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333333"/>
              </w:rPr>
              <w:t>Weighted average number of shares outstanding</w:t>
            </w:r>
          </w:p>
        </w:tc>
        <w:tc>
          <w:tcPr>
            <w:tcW w:w="1860" w:type="dxa"/>
            <w:vAlign w:val="bottom"/>
            <w:shd w:val="clear" w:color="auto" w:fill="CCEEFF"/>
          </w:tcPr>
          <w:p>
            <w:pPr>
              <w:jc w:val="right"/>
              <w:ind w:right="541"/>
              <w:spacing w:after="0"/>
              <w:rPr>
                <w:sz w:val="20"/>
                <w:szCs w:val="20"/>
                <w:color w:val="auto"/>
              </w:rPr>
            </w:pPr>
            <w:r>
              <w:rPr>
                <w:rFonts w:ascii="Arial" w:cs="Arial" w:eastAsia="Arial" w:hAnsi="Arial"/>
                <w:sz w:val="17"/>
                <w:szCs w:val="17"/>
                <w:color w:val="333333"/>
              </w:rPr>
              <w:t>10,626,242</w:t>
            </w: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333333"/>
                <w:w w:val="97"/>
              </w:rPr>
              <w:t>7,911,353</w:t>
            </w:r>
          </w:p>
        </w:tc>
        <w:tc>
          <w:tcPr>
            <w:tcW w:w="1680" w:type="dxa"/>
            <w:vAlign w:val="bottom"/>
            <w:shd w:val="clear" w:color="auto" w:fill="CCEEFF"/>
          </w:tcPr>
          <w:p>
            <w:pPr>
              <w:jc w:val="right"/>
              <w:ind w:right="541"/>
              <w:spacing w:after="0"/>
              <w:rPr>
                <w:sz w:val="20"/>
                <w:szCs w:val="20"/>
                <w:color w:val="auto"/>
              </w:rPr>
            </w:pPr>
            <w:r>
              <w:rPr>
                <w:rFonts w:ascii="Arial" w:cs="Arial" w:eastAsia="Arial" w:hAnsi="Arial"/>
                <w:sz w:val="17"/>
                <w:szCs w:val="17"/>
                <w:color w:val="333333"/>
              </w:rPr>
              <w:t>10,307,689</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333333"/>
                <w:w w:val="95"/>
              </w:rPr>
              <w:t>7,676,887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Effect of dilutive securities, common share equivalents:</w:t>
            </w: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333333"/>
              </w:rPr>
              <w:t>Stock options</w:t>
            </w:r>
          </w:p>
        </w:tc>
        <w:tc>
          <w:tcPr>
            <w:tcW w:w="1860" w:type="dxa"/>
            <w:vAlign w:val="bottom"/>
            <w:shd w:val="clear" w:color="auto" w:fill="CCEEFF"/>
          </w:tcPr>
          <w:p>
            <w:pPr>
              <w:jc w:val="right"/>
              <w:ind w:right="541"/>
              <w:spacing w:after="0"/>
              <w:rPr>
                <w:sz w:val="20"/>
                <w:szCs w:val="20"/>
                <w:color w:val="auto"/>
              </w:rPr>
            </w:pPr>
            <w:r>
              <w:rPr>
                <w:rFonts w:ascii="Arial" w:cs="Arial" w:eastAsia="Arial" w:hAnsi="Arial"/>
                <w:sz w:val="17"/>
                <w:szCs w:val="17"/>
                <w:color w:val="333333"/>
              </w:rPr>
              <w:t>197,133</w:t>
            </w:r>
          </w:p>
        </w:tc>
        <w:tc>
          <w:tcPr>
            <w:tcW w:w="106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333333"/>
              </w:rPr>
              <w:t>-</w:t>
            </w:r>
          </w:p>
        </w:tc>
        <w:tc>
          <w:tcPr>
            <w:tcW w:w="1680" w:type="dxa"/>
            <w:vAlign w:val="bottom"/>
            <w:shd w:val="clear" w:color="auto" w:fill="CCEEFF"/>
          </w:tcPr>
          <w:p>
            <w:pPr>
              <w:jc w:val="right"/>
              <w:ind w:right="541"/>
              <w:spacing w:after="0"/>
              <w:rPr>
                <w:sz w:val="20"/>
                <w:szCs w:val="20"/>
                <w:color w:val="auto"/>
              </w:rPr>
            </w:pPr>
            <w:r>
              <w:rPr>
                <w:rFonts w:ascii="Arial" w:cs="Arial" w:eastAsia="Arial" w:hAnsi="Arial"/>
                <w:sz w:val="17"/>
                <w:szCs w:val="17"/>
                <w:color w:val="333333"/>
              </w:rPr>
              <w:t>189,211</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333333"/>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333333"/>
              </w:rPr>
              <w:t>Restricted stock awards</w:t>
            </w:r>
          </w:p>
        </w:tc>
        <w:tc>
          <w:tcPr>
            <w:tcW w:w="1860" w:type="dxa"/>
            <w:vAlign w:val="bottom"/>
            <w:tcBorders>
              <w:bottom w:val="single" w:sz="8" w:color="auto"/>
            </w:tcBorders>
          </w:tcPr>
          <w:p>
            <w:pPr>
              <w:jc w:val="right"/>
              <w:ind w:right="541"/>
              <w:spacing w:after="0"/>
              <w:rPr>
                <w:sz w:val="20"/>
                <w:szCs w:val="20"/>
                <w:color w:val="auto"/>
              </w:rPr>
            </w:pPr>
            <w:r>
              <w:rPr>
                <w:rFonts w:ascii="Arial" w:cs="Arial" w:eastAsia="Arial" w:hAnsi="Arial"/>
                <w:sz w:val="17"/>
                <w:szCs w:val="17"/>
                <w:color w:val="333333"/>
              </w:rPr>
              <w:t>9,364</w:t>
            </w: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7"/>
                <w:szCs w:val="17"/>
                <w:color w:val="333333"/>
              </w:rPr>
              <w:t>61,572</w:t>
            </w:r>
          </w:p>
        </w:tc>
        <w:tc>
          <w:tcPr>
            <w:tcW w:w="1680" w:type="dxa"/>
            <w:vAlign w:val="bottom"/>
            <w:tcBorders>
              <w:bottom w:val="single" w:sz="8" w:color="auto"/>
            </w:tcBorders>
          </w:tcPr>
          <w:p>
            <w:pPr>
              <w:jc w:val="right"/>
              <w:ind w:right="541"/>
              <w:spacing w:after="0"/>
              <w:rPr>
                <w:sz w:val="20"/>
                <w:szCs w:val="20"/>
                <w:color w:val="auto"/>
              </w:rPr>
            </w:pPr>
            <w:r>
              <w:rPr>
                <w:rFonts w:ascii="Arial" w:cs="Arial" w:eastAsia="Arial" w:hAnsi="Arial"/>
                <w:sz w:val="17"/>
                <w:szCs w:val="17"/>
                <w:color w:val="333333"/>
              </w:rPr>
              <w:t>3,373</w:t>
            </w: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333333"/>
              </w:rPr>
              <w:t>52,825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Weighted average number of shares outstanding,</w:t>
            </w: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333333"/>
              </w:rPr>
              <w:t>used for computing diluted earnings per share</w:t>
            </w:r>
          </w:p>
        </w:tc>
        <w:tc>
          <w:tcPr>
            <w:tcW w:w="186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7"/>
                <w:szCs w:val="17"/>
                <w:color w:val="333333"/>
              </w:rPr>
              <w:t>10,832,739</w:t>
            </w:r>
          </w:p>
        </w:tc>
        <w:tc>
          <w:tcPr>
            <w:tcW w:w="10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333333"/>
                <w:w w:val="97"/>
              </w:rPr>
              <w:t>7,972,925</w:t>
            </w:r>
          </w:p>
        </w:tc>
        <w:tc>
          <w:tcPr>
            <w:tcW w:w="168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7"/>
                <w:szCs w:val="17"/>
                <w:color w:val="333333"/>
              </w:rPr>
              <w:t>10,500,272</w:t>
            </w: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333333"/>
                <w:w w:val="95"/>
              </w:rPr>
              <w:t>7,729,712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the base rental costs, occupancy lease agreements generally provide for rent escalations resulting from increased assessments from real estate taxes and other charges. Rent expense under the lease is recognized on a straight-line basis over the lease term. At September 30, 2017, cumulative rent expense exceeded cumulative rent payments by $89,219. This difference is recorded as deferred rent and is included in accounts payable, accrued expenses and other liabilities in the accompanying condensed consolidated balance sheets.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As of September 30, 2017, aggregate future minimum rental commitments under the Company’s modified lease agreement are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For the Year</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7"/>
        </w:trPr>
        <w:tc>
          <w:tcPr>
            <w:tcW w:w="100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Ending</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7"/>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98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2017 (three months)</w:t>
            </w:r>
          </w:p>
        </w:tc>
        <w:tc>
          <w:tcPr>
            <w:tcW w:w="3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39,980</w:t>
            </w: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2018</w:t>
            </w:r>
          </w:p>
        </w:tc>
        <w:tc>
          <w:tcPr>
            <w:tcW w:w="3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164,117</w:t>
            </w: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169,861</w:t>
            </w: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2020</w:t>
            </w:r>
          </w:p>
        </w:tc>
        <w:tc>
          <w:tcPr>
            <w:tcW w:w="3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175,806</w:t>
            </w: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181,959</w:t>
            </w:r>
          </w:p>
        </w:tc>
      </w:tr>
      <w:tr>
        <w:trPr>
          <w:trHeight w:val="215"/>
        </w:trPr>
        <w:tc>
          <w:tcPr>
            <w:tcW w:w="20" w:type="dxa"/>
            <w:vAlign w:val="bottom"/>
          </w:tcPr>
          <w:p>
            <w:pPr>
              <w:spacing w:after="0"/>
              <w:rPr>
                <w:sz w:val="18"/>
                <w:szCs w:val="18"/>
                <w:color w:val="auto"/>
              </w:rPr>
            </w:pPr>
          </w:p>
        </w:tc>
        <w:tc>
          <w:tcPr>
            <w:tcW w:w="10040" w:type="dxa"/>
            <w:vAlign w:val="bottom"/>
          </w:tcPr>
          <w:p>
            <w:pPr>
              <w:ind w:left="14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432,392</w:t>
            </w:r>
          </w:p>
        </w:tc>
      </w:tr>
      <w:tr>
        <w:trPr>
          <w:trHeight w:val="249"/>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1,164,115</w:t>
            </w:r>
          </w:p>
        </w:tc>
      </w:tr>
    </w:tbl>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Rent expense for the three months ended September 30, 2017 and 2016 amounted to $41,342 and $26,126, respectively. Rent expense for the nine months ended September 30, 2017 and 2016 amounted to $124,026 and $78,377 respectively. Rent expense is included in the condensed consolidated statements of income and comprehensive income within other underwriting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Subsequent Events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evaluated events that occurred subsequent to September 30, 2017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November 8, 2017, the Company’s Board of Directors approved a quarterly dividend of $.08 per share payable in cash on December 15, 2017 to stockholders of record as of the close of business on November 30, 2017.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5" w:name="page36"/>
    <w:bookmarkEnd w:id="35"/>
    <w:p>
      <w:pPr>
        <w:ind w:right="1920"/>
        <w:spacing w:after="0" w:line="436" w:lineRule="auto"/>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b w:val="1"/>
          <w:bCs w:val="1"/>
          <w:color w:val="auto"/>
        </w:rPr>
        <w:t xml:space="preserve"> Overview</w:t>
      </w:r>
    </w:p>
    <w:p>
      <w:pPr>
        <w:jc w:val="both"/>
        <w:ind w:firstLine="628"/>
        <w:spacing w:after="0" w:line="279" w:lineRule="auto"/>
        <w:rPr>
          <w:sz w:val="20"/>
          <w:szCs w:val="20"/>
          <w:color w:val="auto"/>
        </w:rPr>
      </w:pPr>
      <w:r>
        <w:rPr>
          <w:rFonts w:ascii="Arial" w:cs="Arial" w:eastAsia="Arial" w:hAnsi="Arial"/>
          <w:sz w:val="16"/>
          <w:szCs w:val="16"/>
          <w:color w:val="auto"/>
        </w:rPr>
        <w:t>We offer property and casualty insurance products to individuals and small businesses in New York State and other markets through our wholly owned subsidiary, Kingstone Insurance Company (“KICO”). KICO’s insureds are located primarily in downstate New York, consisting of New York City, Long Island and Westchester County. We are also licensed in the States of New Jersey, Connecticut, Pennsylvania, Rhode Island and Texas. We began writing homeowners business in New Jersey on May 4, 2017. Although New Jersey is now a growing expansion market for us, the majority of KICO’s business is written in the State of New York. In October 2017, a homeowners rate, rule, and form filing was approved for use by the State of Rhode Island. We anticipate writing business there in the fourth quarter of 2017. In October 2017, KICO received tentative approval for a Massachusetts insurance license. KICO expects to have final approval and file a Massachusetts homeowners rate, rule, and form filing in the fourth quarter of 2017.</w:t>
      </w:r>
    </w:p>
    <w:p>
      <w:pPr>
        <w:spacing w:after="0" w:line="112"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In November 2016, we commenced a plan of action to upgrade KICO’s A. M. Best rating. In April 2017, A.M. Best upgraded the Financial Strength Rating (FSR) of KICO to A- (Excellent) from B++ (Good). We believe that the A.M. Best rating of A- has opened new growth opportunities for KICO. The plan required us to raise capital and to contribute a portion of the proceeds to KICO while also reducing KICO’s reliance on quota share reinsurance. 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from the offering to contribute capital to KICO. This capital was required for its ratings upgrade plan and to support additional growth. The remainder of the net proceeds will be used for general corporate purposes. In March 2017, KICO bound its personal lines quota share treaty effective July 1, 2017, reducing the quota share ceding rate to 20% from the previous 40%.</w:t>
      </w:r>
    </w:p>
    <w:p>
      <w:pPr>
        <w:spacing w:after="0" w:line="99" w:lineRule="exact"/>
        <w:rPr>
          <w:sz w:val="20"/>
          <w:szCs w:val="20"/>
          <w:color w:val="auto"/>
        </w:rPr>
      </w:pPr>
    </w:p>
    <w:p>
      <w:pPr>
        <w:jc w:val="both"/>
        <w:ind w:firstLine="628"/>
        <w:spacing w:after="0" w:line="306"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w:t>
      </w:r>
    </w:p>
    <w:p>
      <w:pPr>
        <w:spacing w:after="0" w:line="91"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87"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operating expenses include our corporate expenses as a holding company. These expenses include legal and auditing fees, executive employment costs, and other costs directly associated with being a public company.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Product Lines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active product lines include the following:</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cooperative/condominium, renters, and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umbrella policies.</w:t>
      </w:r>
    </w:p>
    <w:p>
      <w:pPr>
        <w:spacing w:after="0" w:line="105" w:lineRule="exact"/>
        <w:rPr>
          <w:sz w:val="20"/>
          <w:szCs w:val="20"/>
          <w:color w:val="auto"/>
        </w:rPr>
      </w:pPr>
    </w:p>
    <w:p>
      <w:pPr>
        <w:jc w:val="both"/>
        <w:ind w:firstLine="683"/>
        <w:spacing w:after="0" w:line="265"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We offer businessowners policies, which consist primarily of small business retail, service, and office risks without a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We also write artisan’s liability policies for small independent contractors with seven or fewer employees. In addition, we write special multi-peril policies for larger and more specialized businessowners risks, including those with limited residential exposures. We also offer commercial umbrella policies written above our supporting commercial lines policies.</w:t>
      </w:r>
    </w:p>
    <w:p>
      <w:pPr>
        <w:spacing w:after="0" w:line="11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physical damage portion of insurance for such vehicles, with no liability coverage included.</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also have a small participation in mandatory state joint underwriting associations.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 ratio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net losses and loss adjustment expenses (“LAE”) incurred to net premiums earned.</w:t>
      </w:r>
    </w:p>
    <w:p>
      <w:pPr>
        <w:spacing w:after="0" w:line="105"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14"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114"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 excludes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investment income, net realized gains from investments, and depreciation and amortization (net premiums earned less expenses included in the combined ratio). Underwriting income is a measure of an insurance company’s overall operating profitability before items such as investment income, depreciation and amortization, interest expense and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2"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consolidated financial statements, giving due consideration to materiality. It is possible that the ultimate outcome as anticipated by our management in formulating its estimates in these financial statements may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9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believe that the most critical accounting policies relate to the reporting of reserves for loss and LAE, including losses that have occurred but have not yet been reported prior to the reporting date, amounts recoverable from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2017 Compared to Nine Months Ended September 30, 2016</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b w:val="1"/>
                <w:bCs w:val="1"/>
                <w:color w:val="auto"/>
                <w:w w:val="93"/>
              </w:rPr>
              <w:t>Nine months ended September 30,</w:t>
            </w:r>
          </w:p>
        </w:tc>
        <w:tc>
          <w:tcPr>
            <w:tcW w:w="1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Change</w:t>
            </w: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Percent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Direct written premiums</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89,424</w:t>
            </w:r>
          </w:p>
        </w:tc>
        <w:tc>
          <w:tcPr>
            <w:tcW w:w="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76,375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13,049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Assumed written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w:t>
            </w:r>
          </w:p>
        </w:tc>
        <w:tc>
          <w:tcPr>
            <w:tcW w:w="1360" w:type="dxa"/>
            <w:vAlign w:val="bottom"/>
          </w:tcPr>
          <w:p>
            <w:pPr>
              <w:jc w:val="right"/>
              <w:spacing w:after="0"/>
              <w:rPr>
                <w:sz w:val="20"/>
                <w:szCs w:val="20"/>
                <w:color w:val="auto"/>
              </w:rPr>
            </w:pPr>
            <w:r>
              <w:rPr>
                <w:rFonts w:ascii="Arial" w:cs="Arial" w:eastAsia="Arial" w:hAnsi="Arial"/>
                <w:sz w:val="17"/>
                <w:szCs w:val="17"/>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89,442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76,390</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13,052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Ceded written premiums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Ceded to quota share treaties in force during the period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18,943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19,463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320"/>
              <w:spacing w:after="0"/>
              <w:rPr>
                <w:sz w:val="20"/>
                <w:szCs w:val="20"/>
                <w:color w:val="auto"/>
              </w:rPr>
            </w:pPr>
            <w:r>
              <w:rPr>
                <w:rFonts w:ascii="Arial" w:cs="Arial" w:eastAsia="Arial" w:hAnsi="Arial"/>
                <w:sz w:val="17"/>
                <w:szCs w:val="17"/>
                <w:color w:val="auto"/>
              </w:rPr>
              <w:t>Return of premiums previously ceded to prior quota share treaties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(7,140)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(7,140)</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Ceded to quota share treaties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11,803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19,463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480"/>
              <w:spacing w:after="0"/>
              <w:rPr>
                <w:sz w:val="20"/>
                <w:szCs w:val="20"/>
                <w:color w:val="auto"/>
              </w:rPr>
            </w:pPr>
            <w:r>
              <w:rPr>
                <w:rFonts w:ascii="Arial" w:cs="Arial" w:eastAsia="Arial" w:hAnsi="Arial"/>
                <w:sz w:val="17"/>
                <w:szCs w:val="17"/>
                <w:color w:val="auto"/>
              </w:rPr>
              <w:t>Ceded to excess of loss treaties</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903</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1,078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(175)</w:t>
            </w:r>
          </w:p>
        </w:tc>
        <w:tc>
          <w:tcPr>
            <w:tcW w:w="1360" w:type="dxa"/>
            <w:vAlign w:val="bottom"/>
          </w:tcPr>
          <w:p>
            <w:pPr>
              <w:jc w:val="right"/>
              <w:spacing w:after="0"/>
              <w:rPr>
                <w:sz w:val="20"/>
                <w:szCs w:val="20"/>
                <w:color w:val="auto"/>
              </w:rPr>
            </w:pPr>
            <w:r>
              <w:rPr>
                <w:rFonts w:ascii="Arial" w:cs="Arial" w:eastAsia="Arial" w:hAnsi="Arial"/>
                <w:sz w:val="17"/>
                <w:szCs w:val="17"/>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Ceded to catastrophe treaties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8,013</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7,002</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1,011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Total ceded written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20,719</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27,543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(6,824)</w:t>
            </w:r>
          </w:p>
        </w:tc>
        <w:tc>
          <w:tcPr>
            <w:tcW w:w="1360" w:type="dxa"/>
            <w:vAlign w:val="bottom"/>
          </w:tcPr>
          <w:p>
            <w:pPr>
              <w:jc w:val="right"/>
              <w:spacing w:after="0"/>
              <w:rPr>
                <w:sz w:val="20"/>
                <w:szCs w:val="20"/>
                <w:color w:val="auto"/>
              </w:rPr>
            </w:pPr>
            <w:r>
              <w:rPr>
                <w:rFonts w:ascii="Arial" w:cs="Arial" w:eastAsia="Arial" w:hAnsi="Arial"/>
                <w:sz w:val="17"/>
                <w:szCs w:val="17"/>
                <w:color w:val="auto"/>
              </w:rPr>
              <w:t>(24.8)%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Net written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68,723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48,847</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19,876</w:t>
            </w:r>
          </w:p>
        </w:tc>
        <w:tc>
          <w:tcPr>
            <w:tcW w:w="1360" w:type="dxa"/>
            <w:vAlign w:val="bottom"/>
          </w:tcPr>
          <w:p>
            <w:pPr>
              <w:jc w:val="right"/>
              <w:spacing w:after="0"/>
              <w:rPr>
                <w:sz w:val="20"/>
                <w:szCs w:val="20"/>
                <w:color w:val="auto"/>
              </w:rPr>
            </w:pPr>
            <w:r>
              <w:rPr>
                <w:rFonts w:ascii="Arial" w:cs="Arial" w:eastAsia="Arial" w:hAnsi="Arial"/>
                <w:sz w:val="17"/>
                <w:szCs w:val="17"/>
                <w:color w:val="auto"/>
              </w:rPr>
              <w:t>40.7%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Change in unearned premiums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Direct and assumed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(8,448)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(4,874)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(3,574)</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320"/>
              <w:spacing w:after="0"/>
              <w:rPr>
                <w:sz w:val="20"/>
                <w:szCs w:val="20"/>
                <w:color w:val="auto"/>
              </w:rPr>
            </w:pPr>
            <w:r>
              <w:rPr>
                <w:rFonts w:ascii="Arial" w:cs="Arial" w:eastAsia="Arial" w:hAnsi="Arial"/>
                <w:sz w:val="17"/>
                <w:szCs w:val="17"/>
                <w:color w:val="auto"/>
              </w:rPr>
              <w:t>Ceded to quota share treaties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(5,437)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1,216</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(6,653)</w:t>
            </w:r>
          </w:p>
        </w:tc>
        <w:tc>
          <w:tcPr>
            <w:tcW w:w="1360" w:type="dxa"/>
            <w:vAlign w:val="bottom"/>
          </w:tcPr>
          <w:p>
            <w:pPr>
              <w:jc w:val="right"/>
              <w:spacing w:after="0"/>
              <w:rPr>
                <w:sz w:val="20"/>
                <w:szCs w:val="20"/>
                <w:color w:val="auto"/>
              </w:rPr>
            </w:pPr>
            <w:r>
              <w:rPr>
                <w:rFonts w:ascii="Arial" w:cs="Arial" w:eastAsia="Arial" w:hAnsi="Arial"/>
                <w:sz w:val="17"/>
                <w:szCs w:val="17"/>
                <w:color w:val="auto"/>
              </w:rPr>
              <w:t>(547.1)%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Change in net unearned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(13,885)</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(3,658)</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Premiums earned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20"/>
              <w:spacing w:after="0"/>
              <w:rPr>
                <w:sz w:val="20"/>
                <w:szCs w:val="20"/>
                <w:color w:val="auto"/>
              </w:rPr>
            </w:pPr>
            <w:r>
              <w:rPr>
                <w:rFonts w:ascii="Arial" w:cs="Arial" w:eastAsia="Arial" w:hAnsi="Arial"/>
                <w:sz w:val="17"/>
                <w:szCs w:val="17"/>
                <w:color w:val="auto"/>
              </w:rPr>
              <w:t>Direct and assumed</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80,994</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71,516</w:t>
            </w:r>
          </w:p>
        </w:tc>
        <w:tc>
          <w:tcPr>
            <w:tcW w:w="28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9,478</w:t>
            </w:r>
          </w:p>
        </w:tc>
        <w:tc>
          <w:tcPr>
            <w:tcW w:w="1360" w:type="dxa"/>
            <w:vAlign w:val="bottom"/>
          </w:tcPr>
          <w:p>
            <w:pPr>
              <w:jc w:val="right"/>
              <w:spacing w:after="0"/>
              <w:rPr>
                <w:sz w:val="20"/>
                <w:szCs w:val="20"/>
                <w:color w:val="auto"/>
              </w:rPr>
            </w:pPr>
            <w:r>
              <w:rPr>
                <w:rFonts w:ascii="Arial" w:cs="Arial" w:eastAsia="Arial" w:hAnsi="Arial"/>
                <w:sz w:val="17"/>
                <w:szCs w:val="17"/>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Ceded to quota share treaties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(26,156)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(26,327)</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premiums earned</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54,838</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45,189</w:t>
            </w:r>
          </w:p>
        </w:tc>
        <w:tc>
          <w:tcPr>
            <w:tcW w:w="28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9,649</w:t>
            </w:r>
          </w:p>
        </w:tc>
        <w:tc>
          <w:tcPr>
            <w:tcW w:w="1360" w:type="dxa"/>
            <w:vAlign w:val="bottom"/>
          </w:tcPr>
          <w:p>
            <w:pPr>
              <w:jc w:val="right"/>
              <w:spacing w:after="0"/>
              <w:rPr>
                <w:sz w:val="20"/>
                <w:szCs w:val="20"/>
                <w:color w:val="auto"/>
              </w:rPr>
            </w:pPr>
            <w:r>
              <w:rPr>
                <w:rFonts w:ascii="Arial" w:cs="Arial" w:eastAsia="Arial" w:hAnsi="Arial"/>
                <w:sz w:val="17"/>
                <w:szCs w:val="17"/>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Ceding commission revenue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8,208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8,274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investment income</w:t>
            </w:r>
          </w:p>
        </w:tc>
        <w:tc>
          <w:tcPr>
            <w:tcW w:w="3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2,917</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2,286</w:t>
            </w:r>
          </w:p>
        </w:tc>
        <w:tc>
          <w:tcPr>
            <w:tcW w:w="28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631</w:t>
            </w:r>
          </w:p>
        </w:tc>
        <w:tc>
          <w:tcPr>
            <w:tcW w:w="1360" w:type="dxa"/>
            <w:vAlign w:val="bottom"/>
          </w:tcPr>
          <w:p>
            <w:pPr>
              <w:jc w:val="right"/>
              <w:spacing w:after="0"/>
              <w:rPr>
                <w:sz w:val="20"/>
                <w:szCs w:val="20"/>
                <w:color w:val="auto"/>
              </w:rPr>
            </w:pPr>
            <w:r>
              <w:rPr>
                <w:rFonts w:ascii="Arial" w:cs="Arial" w:eastAsia="Arial" w:hAnsi="Arial"/>
                <w:sz w:val="17"/>
                <w:szCs w:val="17"/>
                <w:color w:val="auto"/>
              </w:rPr>
              <w:t>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realized gain on investments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605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Other income</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926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831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95</w:t>
            </w:r>
          </w:p>
        </w:tc>
        <w:tc>
          <w:tcPr>
            <w:tcW w:w="1360" w:type="dxa"/>
            <w:vAlign w:val="bottom"/>
          </w:tcPr>
          <w:p>
            <w:pPr>
              <w:jc w:val="right"/>
              <w:spacing w:after="0"/>
              <w:rPr>
                <w:sz w:val="20"/>
                <w:szCs w:val="20"/>
                <w:color w:val="auto"/>
              </w:rPr>
            </w:pPr>
            <w:r>
              <w:rPr>
                <w:rFonts w:ascii="Arial" w:cs="Arial" w:eastAsia="Arial" w:hAnsi="Arial"/>
                <w:sz w:val="17"/>
                <w:szCs w:val="17"/>
                <w:color w:val="auto"/>
              </w:rPr>
              <w:t>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66,986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57,185</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9,801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
        <w:spacing w:after="0" w:line="351" w:lineRule="auto"/>
        <w:tabs>
          <w:tab w:leader="none" w:pos="241" w:val="left"/>
        </w:tabs>
        <w:numPr>
          <w:ilvl w:val="0"/>
          <w:numId w:val="10"/>
        </w:numPr>
        <w:rPr>
          <w:rFonts w:ascii="Arial" w:cs="Arial" w:eastAsia="Arial" w:hAnsi="Arial"/>
          <w:sz w:val="15"/>
          <w:szCs w:val="15"/>
          <w:color w:val="auto"/>
        </w:rPr>
      </w:pPr>
      <w:r>
        <w:rPr>
          <w:rFonts w:ascii="Arial" w:cs="Arial" w:eastAsia="Arial" w:hAnsi="Arial"/>
          <w:sz w:val="15"/>
          <w:szCs w:val="15"/>
          <w:color w:val="auto"/>
        </w:rPr>
        <w:t>Effective July 1, 2017, we decreased the quota share ceding rate in our personal lines quota share treaty from 40% to 20%. The Cut-off of this treaty on July 1, 2017 resulted in a $7,140,000 return of unearned premiums from our reinsurers that were previously ceded under the expiring personal lines quota share treaty.</w:t>
      </w: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428" w:right="1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3"/>
              </w:rPr>
              <w:t>Nine months ended September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456"/>
              <w:spacing w:after="0" w:line="157"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100" w:type="dxa"/>
            <w:vAlign w:val="bottom"/>
          </w:tcPr>
          <w:p>
            <w:pPr>
              <w:jc w:val="right"/>
              <w:ind w:right="456"/>
              <w:spacing w:after="0" w:line="157"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040" w:type="dxa"/>
            <w:vAlign w:val="bottom"/>
          </w:tcPr>
          <w:p>
            <w:pPr>
              <w:jc w:val="right"/>
              <w:ind w:right="356"/>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356"/>
              <w:spacing w:after="0" w:line="157"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revenues (continued)</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66,986</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57,185</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9,801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Direct and assumed: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31,324</w:t>
            </w:r>
          </w:p>
        </w:tc>
        <w:tc>
          <w:tcPr>
            <w:tcW w:w="26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26,746</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4,578</w:t>
            </w:r>
          </w:p>
        </w:tc>
        <w:tc>
          <w:tcPr>
            <w:tcW w:w="1360" w:type="dxa"/>
            <w:vAlign w:val="bottom"/>
          </w:tcPr>
          <w:p>
            <w:pPr>
              <w:jc w:val="right"/>
              <w:spacing w:after="0"/>
              <w:rPr>
                <w:sz w:val="20"/>
                <w:szCs w:val="20"/>
                <w:color w:val="auto"/>
              </w:rPr>
            </w:pPr>
            <w:r>
              <w:rPr>
                <w:rFonts w:ascii="Arial" w:cs="Arial" w:eastAsia="Arial" w:hAnsi="Arial"/>
                <w:sz w:val="17"/>
                <w:szCs w:val="17"/>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2,337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direct and assumed loss and loss adjustment expenses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31,324</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29,083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2,241</w:t>
            </w:r>
          </w:p>
        </w:tc>
        <w:tc>
          <w:tcPr>
            <w:tcW w:w="1360" w:type="dxa"/>
            <w:vAlign w:val="bottom"/>
          </w:tcPr>
          <w:p>
            <w:pPr>
              <w:jc w:val="right"/>
              <w:spacing w:after="0"/>
              <w:rPr>
                <w:sz w:val="20"/>
                <w:szCs w:val="20"/>
                <w:color w:val="auto"/>
              </w:rPr>
            </w:pPr>
            <w:r>
              <w:rPr>
                <w:rFonts w:ascii="Arial" w:cs="Arial" w:eastAsia="Arial" w:hAnsi="Arial"/>
                <w:sz w:val="17"/>
                <w:szCs w:val="17"/>
                <w:color w:val="auto"/>
              </w:rPr>
              <w:t>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 loss and loss adjustment expenses: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8,503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7,742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761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935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(935)</w:t>
            </w:r>
          </w:p>
        </w:tc>
        <w:tc>
          <w:tcPr>
            <w:tcW w:w="1360" w:type="dxa"/>
            <w:vAlign w:val="bottom"/>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ceded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8,503</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8,677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22,821</w:t>
            </w:r>
          </w:p>
        </w:tc>
        <w:tc>
          <w:tcPr>
            <w:tcW w:w="26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19,004</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3,817</w:t>
            </w:r>
          </w:p>
        </w:tc>
        <w:tc>
          <w:tcPr>
            <w:tcW w:w="1360" w:type="dxa"/>
            <w:vAlign w:val="bottom"/>
          </w:tcPr>
          <w:p>
            <w:pPr>
              <w:jc w:val="right"/>
              <w:spacing w:after="0"/>
              <w:rPr>
                <w:sz w:val="20"/>
                <w:szCs w:val="20"/>
                <w:color w:val="auto"/>
              </w:rPr>
            </w:pPr>
            <w:r>
              <w:rPr>
                <w:rFonts w:ascii="Arial" w:cs="Arial" w:eastAsia="Arial" w:hAnsi="Arial"/>
                <w:sz w:val="17"/>
                <w:szCs w:val="17"/>
                <w:color w:val="auto"/>
              </w:rPr>
              <w:t>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1,402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22,821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20,406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2,415</w:t>
            </w:r>
          </w:p>
        </w:tc>
        <w:tc>
          <w:tcPr>
            <w:tcW w:w="1360" w:type="dxa"/>
            <w:vAlign w:val="bottom"/>
          </w:tcPr>
          <w:p>
            <w:pPr>
              <w:jc w:val="right"/>
              <w:spacing w:after="0"/>
              <w:rPr>
                <w:sz w:val="20"/>
                <w:szCs w:val="20"/>
                <w:color w:val="auto"/>
              </w:rPr>
            </w:pPr>
            <w:r>
              <w:rPr>
                <w:rFonts w:ascii="Arial" w:cs="Arial" w:eastAsia="Arial" w:hAnsi="Arial"/>
                <w:sz w:val="17"/>
                <w:szCs w:val="17"/>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15,491</w:t>
            </w:r>
          </w:p>
        </w:tc>
        <w:tc>
          <w:tcPr>
            <w:tcW w:w="26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13,400</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2,091</w:t>
            </w:r>
          </w:p>
        </w:tc>
        <w:tc>
          <w:tcPr>
            <w:tcW w:w="1360" w:type="dxa"/>
            <w:vAlign w:val="bottom"/>
          </w:tcPr>
          <w:p>
            <w:pPr>
              <w:jc w:val="right"/>
              <w:spacing w:after="0"/>
              <w:rPr>
                <w:sz w:val="20"/>
                <w:szCs w:val="20"/>
                <w:color w:val="auto"/>
              </w:rPr>
            </w:pPr>
            <w:r>
              <w:rPr>
                <w:rFonts w:ascii="Arial" w:cs="Arial" w:eastAsia="Arial" w:hAnsi="Arial"/>
                <w:sz w:val="17"/>
                <w:szCs w:val="17"/>
                <w:color w:val="auto"/>
              </w:rPr>
              <w:t>15.6%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12,887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10,982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1,905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2,731</w:t>
            </w:r>
          </w:p>
        </w:tc>
        <w:tc>
          <w:tcPr>
            <w:tcW w:w="26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1,292</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1,439</w:t>
            </w:r>
          </w:p>
        </w:tc>
        <w:tc>
          <w:tcPr>
            <w:tcW w:w="1360" w:type="dxa"/>
            <w:vAlign w:val="bottom"/>
          </w:tcPr>
          <w:p>
            <w:pPr>
              <w:jc w:val="right"/>
              <w:spacing w:after="0"/>
              <w:rPr>
                <w:sz w:val="20"/>
                <w:szCs w:val="20"/>
                <w:color w:val="auto"/>
              </w:rPr>
            </w:pPr>
            <w:r>
              <w:rPr>
                <w:rFonts w:ascii="Arial" w:cs="Arial" w:eastAsia="Arial" w:hAnsi="Arial"/>
                <w:sz w:val="17"/>
                <w:szCs w:val="17"/>
                <w:color w:val="auto"/>
              </w:rPr>
              <w:t>111.4%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1,023</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835</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188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expenses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54,954</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46,915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8,038</w:t>
            </w:r>
          </w:p>
        </w:tc>
        <w:tc>
          <w:tcPr>
            <w:tcW w:w="1360" w:type="dxa"/>
            <w:vAlign w:val="bottom"/>
          </w:tcPr>
          <w:p>
            <w:pPr>
              <w:jc w:val="right"/>
              <w:spacing w:after="0"/>
              <w:rPr>
                <w:sz w:val="20"/>
                <w:szCs w:val="20"/>
                <w:color w:val="auto"/>
              </w:rPr>
            </w:pPr>
            <w:r>
              <w:rPr>
                <w:rFonts w:ascii="Arial" w:cs="Arial" w:eastAsia="Arial" w:hAnsi="Arial"/>
                <w:sz w:val="17"/>
                <w:szCs w:val="17"/>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Income from operations before taxes</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12,031</w:t>
            </w:r>
          </w:p>
        </w:tc>
        <w:tc>
          <w:tcPr>
            <w:tcW w:w="26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10,270</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1,761</w:t>
            </w:r>
          </w:p>
        </w:tc>
        <w:tc>
          <w:tcPr>
            <w:tcW w:w="1360" w:type="dxa"/>
            <w:vAlign w:val="bottom"/>
          </w:tcPr>
          <w:p>
            <w:pPr>
              <w:jc w:val="right"/>
              <w:spacing w:after="0"/>
              <w:rPr>
                <w:sz w:val="20"/>
                <w:szCs w:val="20"/>
                <w:color w:val="auto"/>
              </w:rPr>
            </w:pPr>
            <w:r>
              <w:rPr>
                <w:rFonts w:ascii="Arial" w:cs="Arial" w:eastAsia="Arial" w:hAnsi="Arial"/>
                <w:sz w:val="17"/>
                <w:szCs w:val="17"/>
                <w:color w:val="auto"/>
              </w:rPr>
              <w:t>17.1%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Provision for income tax</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3,976</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3,426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550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8,055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6,844</w:t>
            </w:r>
          </w:p>
        </w:tc>
        <w:tc>
          <w:tcPr>
            <w:tcW w:w="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1,211</w:t>
            </w:r>
          </w:p>
        </w:tc>
        <w:tc>
          <w:tcPr>
            <w:tcW w:w="1360" w:type="dxa"/>
            <w:vAlign w:val="bottom"/>
          </w:tcPr>
          <w:p>
            <w:pPr>
              <w:jc w:val="right"/>
              <w:spacing w:after="0"/>
              <w:rPr>
                <w:sz w:val="20"/>
                <w:szCs w:val="20"/>
                <w:color w:val="auto"/>
              </w:rPr>
            </w:pPr>
            <w:r>
              <w:rPr>
                <w:rFonts w:ascii="Arial" w:cs="Arial" w:eastAsia="Arial" w:hAnsi="Arial"/>
                <w:sz w:val="17"/>
                <w:szCs w:val="17"/>
                <w:color w:val="auto"/>
              </w:rPr>
              <w:t>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60" w:firstLine="5"/>
        <w:spacing w:after="0" w:line="311" w:lineRule="auto"/>
        <w:tabs>
          <w:tab w:leader="none" w:pos="248"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the nine months ended September 30, 2016,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7"/>
              </w:rPr>
              <w:t>Nine months ended September 30,</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Pr>
          <w:p>
            <w:pPr>
              <w:jc w:val="right"/>
              <w:ind w:right="80"/>
              <w:spacing w:after="0" w:line="144" w:lineRule="exact"/>
              <w:rPr>
                <w:sz w:val="20"/>
                <w:szCs w:val="20"/>
                <w:color w:val="auto"/>
              </w:rPr>
            </w:pPr>
            <w:r>
              <w:rPr>
                <w:rFonts w:ascii="Arial" w:cs="Arial" w:eastAsia="Arial" w:hAnsi="Arial"/>
                <w:sz w:val="14"/>
                <w:szCs w:val="14"/>
                <w:b w:val="1"/>
                <w:bCs w:val="1"/>
                <w:color w:val="auto"/>
                <w:w w:val="96"/>
              </w:rPr>
              <w:t>Percentage Point</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7"/>
        </w:trPr>
        <w:tc>
          <w:tcPr>
            <w:tcW w:w="59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Percent Change</w:t>
            </w:r>
          </w:p>
        </w:tc>
        <w:tc>
          <w:tcPr>
            <w:tcW w:w="20" w:type="dxa"/>
            <w:vAlign w:val="bottom"/>
          </w:tcPr>
          <w:p>
            <w:pPr>
              <w:spacing w:after="0"/>
              <w:rPr>
                <w:sz w:val="15"/>
                <w:szCs w:val="15"/>
                <w:color w:val="auto"/>
              </w:rPr>
            </w:pPr>
          </w:p>
        </w:tc>
      </w:tr>
      <w:tr>
        <w:trPr>
          <w:trHeight w:val="416"/>
        </w:trPr>
        <w:tc>
          <w:tcPr>
            <w:tcW w:w="6820" w:type="dxa"/>
            <w:vAlign w:val="bottom"/>
            <w:gridSpan w:val="2"/>
          </w:tcPr>
          <w:p>
            <w:pPr>
              <w:spacing w:after="0"/>
              <w:rPr>
                <w:sz w:val="20"/>
                <w:szCs w:val="20"/>
                <w:color w:val="auto"/>
              </w:rPr>
            </w:pPr>
            <w:r>
              <w:rPr>
                <w:rFonts w:ascii="Arial" w:cs="Arial" w:eastAsia="Arial" w:hAnsi="Arial"/>
                <w:sz w:val="17"/>
                <w:szCs w:val="17"/>
                <w:b w:val="1"/>
                <w:bCs w:val="1"/>
                <w:color w:val="auto"/>
              </w:rPr>
              <w:t>Key ratios:</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6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loss ratio</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41.6%</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8"/>
                <w:szCs w:val="18"/>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Net underwriting expense ratio</w:t>
            </w: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9"/>
              </w:rPr>
              <w:t>35.2%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1.4</w:t>
            </w:r>
          </w:p>
        </w:tc>
        <w:tc>
          <w:tcPr>
            <w:tcW w:w="1360" w:type="dxa"/>
            <w:vAlign w:val="bottom"/>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8"/>
                <w:szCs w:val="18"/>
                <w:color w:val="auto"/>
              </w:rPr>
            </w:pPr>
          </w:p>
        </w:tc>
      </w:tr>
      <w:tr>
        <w:trPr>
          <w:trHeight w:val="249"/>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combined ratio</w:t>
            </w:r>
          </w:p>
        </w:tc>
        <w:tc>
          <w:tcPr>
            <w:tcW w:w="8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99"/>
              </w:rPr>
              <w:t>76.8%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21"/>
                <w:szCs w:val="2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58" w:lineRule="exact"/>
        <w:rPr>
          <w:sz w:val="20"/>
          <w:szCs w:val="20"/>
          <w:color w:val="auto"/>
        </w:rPr>
      </w:pPr>
    </w:p>
    <w:p>
      <w:pPr>
        <w:jc w:val="both"/>
        <w:ind w:right="60" w:firstLine="628"/>
        <w:spacing w:after="0" w:line="283" w:lineRule="auto"/>
        <w:rPr>
          <w:sz w:val="20"/>
          <w:szCs w:val="20"/>
          <w:color w:val="auto"/>
        </w:rPr>
      </w:pPr>
      <w:r>
        <w:rPr>
          <w:rFonts w:ascii="Arial" w:cs="Arial" w:eastAsia="Arial" w:hAnsi="Arial"/>
          <w:sz w:val="16"/>
          <w:szCs w:val="16"/>
          <w:color w:val="auto"/>
        </w:rPr>
        <w:t>Direct written premiums during the nine months ended September 30, 2017 (“2017”) were $89,424,000 compared to $76,375,000 during the nine months ended September 30, 2016 (“2016”). The increase of $13,049,000, or 17.1%, was primarily due to an increase in policies in-force during 2017 as compared to 2016 driven by continued growth in new business. We wrote more new policies as a result of continued demand for our products in the markets that we serve. We believe that a portion of our growth in new policies is attributable to our upgraded A.M. Best rating of A- that we received in April 2017. In May 2017, we started writing Homeowners’ policies in New Jersey. Policies in-force increased by 14.6% as of September 30, 2017 compared to September 30, 2016.</w:t>
      </w: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427" w:right="17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The following table describes the quota share reinsurance ceding rates in effect during 2017 and 2016. For purposes of the discussion herein, the change in quota share ceding rates on July 1, 2017 will be referred to as “the Cut-off”. This table should be referred to in conjunction with the discussions for net written premiums, net premiums earned, ceding commission revenue and net loss and loss adjustment expenses that follow.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tcPr>
          <w:p>
            <w:pPr>
              <w:spacing w:after="0"/>
              <w:rPr>
                <w:sz w:val="15"/>
                <w:szCs w:val="15"/>
                <w:color w:val="auto"/>
              </w:rPr>
            </w:pPr>
          </w:p>
        </w:tc>
        <w:tc>
          <w:tcPr>
            <w:tcW w:w="27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6"/>
              </w:rPr>
              <w:t>Nine months ended September 30, 2017</w:t>
            </w:r>
          </w:p>
        </w:tc>
        <w:tc>
          <w:tcPr>
            <w:tcW w:w="2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Nine months ended September 30, 2016</w:t>
            </w:r>
          </w:p>
        </w:tc>
      </w:tr>
      <w:tr>
        <w:trPr>
          <w:trHeight w:val="225"/>
        </w:trPr>
        <w:tc>
          <w:tcPr>
            <w:tcW w:w="59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1,</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July 1,</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July 1,</w:t>
            </w:r>
          </w:p>
        </w:tc>
      </w:tr>
      <w:tr>
        <w:trPr>
          <w:trHeight w:val="209"/>
        </w:trPr>
        <w:tc>
          <w:tcPr>
            <w:tcW w:w="59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r>
      <w:tr>
        <w:trPr>
          <w:trHeight w:val="200"/>
        </w:trPr>
        <w:tc>
          <w:tcPr>
            <w:tcW w:w="59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44"/>
        </w:trPr>
        <w:tc>
          <w:tcPr>
            <w:tcW w:w="5940" w:type="dxa"/>
            <w:vAlign w:val="bottom"/>
          </w:tcPr>
          <w:p>
            <w:pPr>
              <w:spacing w:after="0"/>
              <w:rPr>
                <w:sz w:val="12"/>
                <w:szCs w:val="12"/>
                <w:color w:val="auto"/>
              </w:rPr>
            </w:pPr>
          </w:p>
        </w:tc>
        <w:tc>
          <w:tcPr>
            <w:tcW w:w="1340" w:type="dxa"/>
            <w:vAlign w:val="bottom"/>
          </w:tcPr>
          <w:p>
            <w:pPr>
              <w:jc w:val="right"/>
              <w:ind w:right="206"/>
              <w:spacing w:after="0" w:line="144" w:lineRule="exact"/>
              <w:rPr>
                <w:sz w:val="20"/>
                <w:szCs w:val="20"/>
                <w:color w:val="auto"/>
              </w:rPr>
            </w:pPr>
            <w:r>
              <w:rPr>
                <w:rFonts w:ascii="Arial" w:cs="Arial" w:eastAsia="Arial" w:hAnsi="Arial"/>
                <w:sz w:val="14"/>
                <w:szCs w:val="14"/>
                <w:b w:val="1"/>
                <w:bCs w:val="1"/>
                <w:color w:val="auto"/>
              </w:rPr>
              <w:t>("2016/2017</w:t>
            </w:r>
          </w:p>
        </w:tc>
        <w:tc>
          <w:tcPr>
            <w:tcW w:w="1420" w:type="dxa"/>
            <w:vAlign w:val="bottom"/>
          </w:tcPr>
          <w:p>
            <w:pPr>
              <w:jc w:val="right"/>
              <w:ind w:right="246"/>
              <w:spacing w:after="0" w:line="144" w:lineRule="exact"/>
              <w:rPr>
                <w:sz w:val="20"/>
                <w:szCs w:val="20"/>
                <w:color w:val="auto"/>
              </w:rPr>
            </w:pPr>
            <w:r>
              <w:rPr>
                <w:rFonts w:ascii="Arial" w:cs="Arial" w:eastAsia="Arial" w:hAnsi="Arial"/>
                <w:sz w:val="14"/>
                <w:szCs w:val="14"/>
                <w:b w:val="1"/>
                <w:bCs w:val="1"/>
                <w:color w:val="auto"/>
              </w:rPr>
              <w:t>("2017/2019</w:t>
            </w:r>
          </w:p>
        </w:tc>
        <w:tc>
          <w:tcPr>
            <w:tcW w:w="1320" w:type="dxa"/>
            <w:vAlign w:val="bottom"/>
          </w:tcPr>
          <w:p>
            <w:pPr>
              <w:jc w:val="right"/>
              <w:ind w:right="206"/>
              <w:spacing w:after="0" w:line="144" w:lineRule="exact"/>
              <w:rPr>
                <w:sz w:val="20"/>
                <w:szCs w:val="20"/>
                <w:color w:val="auto"/>
              </w:rPr>
            </w:pPr>
            <w:r>
              <w:rPr>
                <w:rFonts w:ascii="Arial" w:cs="Arial" w:eastAsia="Arial" w:hAnsi="Arial"/>
                <w:sz w:val="14"/>
                <w:szCs w:val="14"/>
                <w:b w:val="1"/>
                <w:bCs w:val="1"/>
                <w:color w:val="auto"/>
              </w:rPr>
              <w:t>("2015/2016</w:t>
            </w:r>
          </w:p>
        </w:tc>
        <w:tc>
          <w:tcPr>
            <w:tcW w:w="1400" w:type="dxa"/>
            <w:vAlign w:val="bottom"/>
          </w:tcPr>
          <w:p>
            <w:pPr>
              <w:jc w:val="right"/>
              <w:ind w:right="226"/>
              <w:spacing w:after="0" w:line="144" w:lineRule="exact"/>
              <w:rPr>
                <w:sz w:val="20"/>
                <w:szCs w:val="20"/>
                <w:color w:val="auto"/>
              </w:rPr>
            </w:pPr>
            <w:r>
              <w:rPr>
                <w:rFonts w:ascii="Arial" w:cs="Arial" w:eastAsia="Arial" w:hAnsi="Arial"/>
                <w:sz w:val="14"/>
                <w:szCs w:val="14"/>
                <w:b w:val="1"/>
                <w:bCs w:val="1"/>
                <w:color w:val="auto"/>
              </w:rPr>
              <w:t>("2016/2017</w:t>
            </w:r>
          </w:p>
        </w:tc>
      </w:tr>
      <w:tr>
        <w:trPr>
          <w:trHeight w:val="170"/>
        </w:trPr>
        <w:tc>
          <w:tcPr>
            <w:tcW w:w="5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Treaty")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Treaty")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Treaty")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Treaty")</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Quota share reinsurance rates</w:t>
            </w:r>
          </w:p>
        </w:tc>
        <w:tc>
          <w:tcPr>
            <w:tcW w:w="1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7"/>
                <w:szCs w:val="17"/>
                <w:color w:val="auto"/>
              </w:rPr>
              <w:t>Personal lines</w:t>
            </w:r>
          </w:p>
        </w:tc>
        <w:tc>
          <w:tcPr>
            <w:tcW w:w="1340" w:type="dxa"/>
            <w:vAlign w:val="bottom"/>
          </w:tcPr>
          <w:p>
            <w:pPr>
              <w:jc w:val="right"/>
              <w:ind w:right="426"/>
              <w:spacing w:after="0"/>
              <w:rPr>
                <w:sz w:val="20"/>
                <w:szCs w:val="20"/>
                <w:color w:val="auto"/>
              </w:rPr>
            </w:pPr>
            <w:r>
              <w:rPr>
                <w:rFonts w:ascii="Arial" w:cs="Arial" w:eastAsia="Arial" w:hAnsi="Arial"/>
                <w:sz w:val="17"/>
                <w:szCs w:val="17"/>
                <w:color w:val="auto"/>
              </w:rPr>
              <w:t>40%</w:t>
            </w:r>
          </w:p>
        </w:tc>
        <w:tc>
          <w:tcPr>
            <w:tcW w:w="1420" w:type="dxa"/>
            <w:vAlign w:val="bottom"/>
          </w:tcPr>
          <w:p>
            <w:pPr>
              <w:jc w:val="right"/>
              <w:ind w:right="466"/>
              <w:spacing w:after="0"/>
              <w:rPr>
                <w:sz w:val="20"/>
                <w:szCs w:val="20"/>
                <w:color w:val="auto"/>
              </w:rPr>
            </w:pPr>
            <w:r>
              <w:rPr>
                <w:rFonts w:ascii="Arial" w:cs="Arial" w:eastAsia="Arial" w:hAnsi="Arial"/>
                <w:sz w:val="17"/>
                <w:szCs w:val="17"/>
                <w:color w:val="auto"/>
              </w:rPr>
              <w:t>20%</w:t>
            </w:r>
          </w:p>
        </w:tc>
        <w:tc>
          <w:tcPr>
            <w:tcW w:w="1320" w:type="dxa"/>
            <w:vAlign w:val="bottom"/>
          </w:tcPr>
          <w:p>
            <w:pPr>
              <w:jc w:val="right"/>
              <w:ind w:right="406"/>
              <w:spacing w:after="0"/>
              <w:rPr>
                <w:sz w:val="20"/>
                <w:szCs w:val="20"/>
                <w:color w:val="auto"/>
              </w:rPr>
            </w:pPr>
            <w:r>
              <w:rPr>
                <w:rFonts w:ascii="Arial" w:cs="Arial" w:eastAsia="Arial" w:hAnsi="Arial"/>
                <w:sz w:val="17"/>
                <w:szCs w:val="17"/>
                <w:color w:val="auto"/>
              </w:rPr>
              <w:t>40%</w:t>
            </w:r>
          </w:p>
        </w:tc>
        <w:tc>
          <w:tcPr>
            <w:tcW w:w="1400" w:type="dxa"/>
            <w:vAlign w:val="bottom"/>
          </w:tcPr>
          <w:p>
            <w:pPr>
              <w:jc w:val="right"/>
              <w:ind w:right="446"/>
              <w:spacing w:after="0"/>
              <w:rPr>
                <w:sz w:val="20"/>
                <w:szCs w:val="20"/>
                <w:color w:val="auto"/>
              </w:rPr>
            </w:pPr>
            <w:r>
              <w:rPr>
                <w:rFonts w:ascii="Arial" w:cs="Arial" w:eastAsia="Arial" w:hAnsi="Arial"/>
                <w:sz w:val="17"/>
                <w:szCs w:val="17"/>
                <w:color w:val="auto"/>
              </w:rPr>
              <w:t>40%</w:t>
            </w:r>
          </w:p>
        </w:tc>
      </w:tr>
    </w:tbl>
    <w:p>
      <w:pPr>
        <w:spacing w:after="0" w:line="19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“Reinsurance” below for changes to our personal lines quota share treaty effective July 1, 2017.</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written premiums increased $19,876,000, or 40.7%, to $68,723,000 in 2017 from $48,847,000 in 2016.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Change in quota share ceding rate</w:t>
      </w:r>
    </w:p>
    <w:p>
      <w:pPr>
        <w:spacing w:after="0" w:line="223"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Effective July 1, 2017, we decreased the quota share ceding rate in our personal lines quota share treaty from 40% to 20%. The Cut-off of this treaty on July 1, 2017 resulted in a $7,140,000 return of unearned premiums from our reinsurers that were previously ceded under the expiring personal lines quota share treaty. We did not change our quota share ceding rate on July 1, 2016, and accordingly, there was no return of unearned premiums from our reinsurers (in contrast with what occurred on July 1, 2017), thus magnifying the percentage increase in net written premiums in 2017. The table below shows the effect of the $7,140,000 return of ceded premiums on net written premiums for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4"/>
                <w:szCs w:val="14"/>
                <w:b w:val="1"/>
                <w:bCs w:val="1"/>
                <w:color w:val="auto"/>
                <w:w w:val="93"/>
              </w:rPr>
              <w:t>Nine months ended September 30,</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8"/>
              <w:spacing w:after="0" w:line="157"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0"/>
              <w:spacing w:after="0" w:line="15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ind w:left="440"/>
              <w:spacing w:after="0" w:line="157" w:lineRule="exact"/>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written premiums</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68,723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48,847</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19,876</w:t>
            </w:r>
          </w:p>
        </w:tc>
        <w:tc>
          <w:tcPr>
            <w:tcW w:w="1360" w:type="dxa"/>
            <w:vAlign w:val="bottom"/>
            <w:shd w:val="clear" w:color="auto" w:fill="CCEEFF"/>
          </w:tcPr>
          <w:p>
            <w:pPr>
              <w:jc w:val="center"/>
              <w:ind w:left="838"/>
              <w:spacing w:after="0"/>
              <w:rPr>
                <w:sz w:val="20"/>
                <w:szCs w:val="20"/>
                <w:color w:val="auto"/>
              </w:rPr>
            </w:pPr>
            <w:r>
              <w:rPr>
                <w:rFonts w:ascii="Arial" w:cs="Arial" w:eastAsia="Arial" w:hAnsi="Arial"/>
                <w:sz w:val="17"/>
                <w:szCs w:val="17"/>
                <w:color w:val="auto"/>
                <w:w w:val="91"/>
              </w:rPr>
              <w:t>40.7%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7,140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7,140</w:t>
            </w:r>
          </w:p>
        </w:tc>
        <w:tc>
          <w:tcPr>
            <w:tcW w:w="1360" w:type="dxa"/>
            <w:vAlign w:val="bottom"/>
          </w:tcPr>
          <w:p>
            <w:pPr>
              <w:jc w:val="center"/>
              <w:ind w:left="838"/>
              <w:spacing w:after="0"/>
              <w:rPr>
                <w:sz w:val="20"/>
                <w:szCs w:val="20"/>
                <w:color w:val="auto"/>
              </w:rPr>
            </w:pPr>
            <w:r>
              <w:rPr>
                <w:rFonts w:ascii="Arial" w:cs="Arial" w:eastAsia="Arial" w:hAnsi="Arial"/>
                <w:sz w:val="17"/>
                <w:szCs w:val="17"/>
                <w:color w:val="auto"/>
                <w:w w:val="84"/>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written premiums without the effect of the July 1, 2017 Cut-off</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61,583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48,847</w:t>
            </w:r>
          </w:p>
        </w:tc>
        <w:tc>
          <w:tcPr>
            <w:tcW w:w="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12,736</w:t>
            </w:r>
          </w:p>
        </w:tc>
        <w:tc>
          <w:tcPr>
            <w:tcW w:w="1360" w:type="dxa"/>
            <w:vAlign w:val="bottom"/>
            <w:tcBorders>
              <w:bottom w:val="single" w:sz="8" w:color="CCEEFF"/>
            </w:tcBorders>
            <w:shd w:val="clear" w:color="auto" w:fill="CCEEFF"/>
          </w:tcPr>
          <w:p>
            <w:pPr>
              <w:jc w:val="center"/>
              <w:ind w:left="838"/>
              <w:spacing w:after="0"/>
              <w:rPr>
                <w:sz w:val="20"/>
                <w:szCs w:val="20"/>
                <w:color w:val="auto"/>
              </w:rPr>
            </w:pPr>
            <w:r>
              <w:rPr>
                <w:rFonts w:ascii="Arial" w:cs="Arial" w:eastAsia="Arial" w:hAnsi="Arial"/>
                <w:sz w:val="17"/>
                <w:szCs w:val="17"/>
                <w:color w:val="auto"/>
                <w:w w:val="91"/>
              </w:rPr>
              <w:t>26.1%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Without the $7,140,000 effect of the Cut-off in 2017, net written premiums increased by $12,736,000, or 26.1%, in 2017 compared to 2016.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0" w:name="page41"/>
    <w:bookmarkEnd w:id="40"/>
    <w:p>
      <w:pPr>
        <w:ind w:left="640"/>
        <w:spacing w:after="0"/>
        <w:rPr>
          <w:sz w:val="20"/>
          <w:szCs w:val="20"/>
          <w:color w:val="auto"/>
        </w:rPr>
      </w:pPr>
      <w:r>
        <w:rPr>
          <w:rFonts w:ascii="Arial" w:cs="Arial" w:eastAsia="Arial" w:hAnsi="Arial"/>
          <w:sz w:val="17"/>
          <w:szCs w:val="17"/>
          <w:i w:val="1"/>
          <w:iCs w:val="1"/>
          <w:color w:val="auto"/>
        </w:rPr>
        <w:t>Excess of loss reinsurance treaties</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An increase in written premiums will also increase the premiums ceded under our excess of loss treaties, which incrementally reduces our net written premiums. In 2017, our ceded excess of loss reinsurance premiums decreased by $175,000 over the comparable ceded premiums for 2016. The decrease was due to more favorable reinsurance rates in 2017, partially offset by an increase in premiums subject to excess of loss reinsurance.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treaty</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In 2017, our catastrophe reinsurance premiums increased by $1,011,000 over the comparable ceded premiums for 2016. The increase was due to an increase in our catastrophe coverage and an increase in premiums subject to catastrophe reinsurance, partially offset by more favorable reinsurance rates in 2017</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ceded catastrophe premiums are paid based on the total direct written premiums subject to the catastrophe reinsurance treaty.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premiums earned increased $9,649,000, or 21.4%, to $54,838,000 in 2017 from $45,189,000 in 2016. The increase was due to the increase in written premiums discussed above and our retaining more earned premiums effective July 1, 2017, as a result of the reduction of the quota share percentage in our personal lines quota share treaty. The decrease in our quota share ceding percentage from the July 1, 2017 Cut-off gave us a $7,140,000 return of premiums previously ceded, which led to an increase in our net premiums earned during the period after the Cut-off.</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2017 and 2016. This table should be referred to in conjunction with the discussion for ceding commission revenue that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84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Nine months ended September 30, 2017</w:t>
            </w:r>
          </w:p>
        </w:tc>
        <w:tc>
          <w:tcPr>
            <w:tcW w:w="100" w:type="dxa"/>
            <w:vAlign w:val="bottom"/>
          </w:tcPr>
          <w:p>
            <w:pPr>
              <w:spacing w:after="0"/>
              <w:rPr>
                <w:sz w:val="17"/>
                <w:szCs w:val="17"/>
                <w:color w:val="auto"/>
              </w:rPr>
            </w:pPr>
          </w:p>
        </w:tc>
        <w:tc>
          <w:tcPr>
            <w:tcW w:w="38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Nine months ended September 30, 2016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1,</w:t>
            </w:r>
          </w:p>
        </w:tc>
        <w:tc>
          <w:tcPr>
            <w:tcW w:w="2040" w:type="dxa"/>
            <w:vAlign w:val="bottom"/>
          </w:tcPr>
          <w:p>
            <w:pPr>
              <w:jc w:val="center"/>
              <w:ind w:left="84"/>
              <w:spacing w:after="0"/>
              <w:rPr>
                <w:sz w:val="20"/>
                <w:szCs w:val="20"/>
                <w:color w:val="auto"/>
              </w:rPr>
            </w:pPr>
            <w:r>
              <w:rPr>
                <w:rFonts w:ascii="Arial" w:cs="Arial" w:eastAsia="Arial" w:hAnsi="Arial"/>
                <w:sz w:val="14"/>
                <w:szCs w:val="14"/>
                <w:b w:val="1"/>
                <w:bCs w:val="1"/>
                <w:color w:val="auto"/>
                <w:w w:val="91"/>
              </w:rPr>
              <w:t>July 1,</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January 1,</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0" w:type="dxa"/>
            <w:vAlign w:val="bottom"/>
          </w:tcPr>
          <w:p>
            <w:pPr>
              <w:jc w:val="center"/>
              <w:ind w:left="6"/>
              <w:spacing w:after="0"/>
              <w:rPr>
                <w:sz w:val="20"/>
                <w:szCs w:val="20"/>
                <w:color w:val="auto"/>
              </w:rPr>
            </w:pPr>
            <w:r>
              <w:rPr>
                <w:rFonts w:ascii="Arial" w:cs="Arial" w:eastAsia="Arial" w:hAnsi="Arial"/>
                <w:sz w:val="14"/>
                <w:szCs w:val="14"/>
                <w:b w:val="1"/>
                <w:bCs w:val="1"/>
                <w:color w:val="auto"/>
                <w:w w:val="90"/>
              </w:rPr>
              <w:t>to</w:t>
            </w:r>
          </w:p>
        </w:tc>
        <w:tc>
          <w:tcPr>
            <w:tcW w:w="2040" w:type="dxa"/>
            <w:vAlign w:val="bottom"/>
          </w:tcPr>
          <w:p>
            <w:pPr>
              <w:jc w:val="center"/>
              <w:ind w:left="84"/>
              <w:spacing w:after="0"/>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June 30,</w:t>
            </w:r>
          </w:p>
        </w:tc>
        <w:tc>
          <w:tcPr>
            <w:tcW w:w="204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0" w:type="dxa"/>
            <w:vAlign w:val="bottom"/>
          </w:tcPr>
          <w:p>
            <w:pPr>
              <w:jc w:val="center"/>
              <w:ind w:left="6"/>
              <w:spacing w:after="0"/>
              <w:rPr>
                <w:sz w:val="20"/>
                <w:szCs w:val="20"/>
                <w:color w:val="auto"/>
              </w:rPr>
            </w:pPr>
            <w:r>
              <w:rPr>
                <w:rFonts w:ascii="Arial" w:cs="Arial" w:eastAsia="Arial" w:hAnsi="Arial"/>
                <w:sz w:val="14"/>
                <w:szCs w:val="14"/>
                <w:b w:val="1"/>
                <w:bCs w:val="1"/>
                <w:color w:val="auto"/>
                <w:w w:val="97"/>
              </w:rPr>
              <w:t>("2016/2017 Treaty")</w:t>
            </w:r>
          </w:p>
        </w:tc>
        <w:tc>
          <w:tcPr>
            <w:tcW w:w="2040" w:type="dxa"/>
            <w:vAlign w:val="bottom"/>
          </w:tcPr>
          <w:p>
            <w:pPr>
              <w:jc w:val="center"/>
              <w:ind w:left="104"/>
              <w:spacing w:after="0"/>
              <w:rPr>
                <w:sz w:val="20"/>
                <w:szCs w:val="20"/>
                <w:color w:val="auto"/>
              </w:rPr>
            </w:pPr>
            <w:r>
              <w:rPr>
                <w:rFonts w:ascii="Arial" w:cs="Arial" w:eastAsia="Arial" w:hAnsi="Arial"/>
                <w:sz w:val="14"/>
                <w:szCs w:val="14"/>
                <w:b w:val="1"/>
                <w:bCs w:val="1"/>
                <w:color w:val="auto"/>
                <w:w w:val="96"/>
              </w:rPr>
              <w:t>("2017/2019 Treaty")</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7"/>
              </w:rPr>
              <w:t>("2015/2016 Treaty")</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7"/>
              </w:rPr>
              <w:t>("2016/2017 Treaty")</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7"/>
              </w:rPr>
              <w:t>Provisional ceding commission rate on quota</w:t>
            </w:r>
          </w:p>
        </w:tc>
        <w:tc>
          <w:tcPr>
            <w:tcW w:w="18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 treaty</w:t>
            </w:r>
          </w:p>
        </w:tc>
        <w:tc>
          <w:tcPr>
            <w:tcW w:w="18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7"/>
                <w:szCs w:val="17"/>
                <w:color w:val="auto"/>
              </w:rPr>
              <w:t>Personal lines</w:t>
            </w:r>
          </w:p>
        </w:tc>
        <w:tc>
          <w:tcPr>
            <w:tcW w:w="1800" w:type="dxa"/>
            <w:vAlign w:val="bottom"/>
          </w:tcPr>
          <w:p>
            <w:pPr>
              <w:jc w:val="center"/>
              <w:ind w:left="6"/>
              <w:spacing w:after="0"/>
              <w:rPr>
                <w:sz w:val="20"/>
                <w:szCs w:val="20"/>
                <w:color w:val="auto"/>
              </w:rPr>
            </w:pPr>
            <w:r>
              <w:rPr>
                <w:rFonts w:ascii="Arial" w:cs="Arial" w:eastAsia="Arial" w:hAnsi="Arial"/>
                <w:sz w:val="17"/>
                <w:szCs w:val="17"/>
                <w:color w:val="auto"/>
                <w:w w:val="93"/>
              </w:rPr>
              <w:t>52%</w:t>
            </w:r>
          </w:p>
        </w:tc>
        <w:tc>
          <w:tcPr>
            <w:tcW w:w="2040" w:type="dxa"/>
            <w:vAlign w:val="bottom"/>
          </w:tcPr>
          <w:p>
            <w:pPr>
              <w:jc w:val="center"/>
              <w:ind w:left="84"/>
              <w:spacing w:after="0"/>
              <w:rPr>
                <w:sz w:val="20"/>
                <w:szCs w:val="20"/>
                <w:color w:val="auto"/>
              </w:rPr>
            </w:pPr>
            <w:r>
              <w:rPr>
                <w:rFonts w:ascii="Arial" w:cs="Arial" w:eastAsia="Arial" w:hAnsi="Arial"/>
                <w:sz w:val="17"/>
                <w:szCs w:val="17"/>
                <w:color w:val="auto"/>
                <w:w w:val="93"/>
              </w:rPr>
              <w:t>53%</w:t>
            </w:r>
          </w:p>
        </w:tc>
        <w:tc>
          <w:tcPr>
            <w:tcW w:w="2040" w:type="dxa"/>
            <w:vAlign w:val="bottom"/>
            <w:gridSpan w:val="2"/>
          </w:tcPr>
          <w:p>
            <w:pPr>
              <w:jc w:val="center"/>
              <w:spacing w:after="0"/>
              <w:rPr>
                <w:sz w:val="20"/>
                <w:szCs w:val="20"/>
                <w:color w:val="auto"/>
              </w:rPr>
            </w:pPr>
            <w:r>
              <w:rPr>
                <w:rFonts w:ascii="Arial" w:cs="Arial" w:eastAsia="Arial" w:hAnsi="Arial"/>
                <w:sz w:val="17"/>
                <w:szCs w:val="17"/>
                <w:color w:val="auto"/>
                <w:w w:val="93"/>
              </w:rPr>
              <w:t>55%</w:t>
            </w:r>
          </w:p>
        </w:tc>
        <w:tc>
          <w:tcPr>
            <w:tcW w:w="1920" w:type="dxa"/>
            <w:vAlign w:val="bottom"/>
          </w:tcPr>
          <w:p>
            <w:pPr>
              <w:jc w:val="center"/>
              <w:spacing w:after="0"/>
              <w:rPr>
                <w:sz w:val="20"/>
                <w:szCs w:val="20"/>
                <w:color w:val="auto"/>
              </w:rPr>
            </w:pPr>
            <w:r>
              <w:rPr>
                <w:rFonts w:ascii="Arial" w:cs="Arial" w:eastAsia="Arial" w:hAnsi="Arial"/>
                <w:sz w:val="17"/>
                <w:szCs w:val="17"/>
                <w:color w:val="auto"/>
                <w:w w:val="93"/>
              </w:rPr>
              <w:t>52%</w:t>
            </w: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584"/>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41" w:name="page42"/>
    <w:bookmarkEnd w:id="41"/>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4"/>
                <w:szCs w:val="14"/>
                <w:b w:val="1"/>
                <w:bCs w:val="1"/>
                <w:color w:val="auto"/>
                <w:w w:val="93"/>
              </w:rPr>
              <w:t>Nine months ended September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8"/>
              <w:spacing w:after="0" w:line="157"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0"/>
              <w:spacing w:after="0" w:line="157"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jc w:val="right"/>
              <w:ind w:right="358"/>
              <w:spacing w:after="0" w:line="157"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8,690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9,508</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(482)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(1,234)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752</w:t>
            </w:r>
          </w:p>
        </w:tc>
        <w:tc>
          <w:tcPr>
            <w:tcW w:w="1360" w:type="dxa"/>
            <w:vAlign w:val="bottom"/>
          </w:tcPr>
          <w:p>
            <w:pPr>
              <w:jc w:val="right"/>
              <w:spacing w:after="0"/>
              <w:rPr>
                <w:sz w:val="20"/>
                <w:szCs w:val="20"/>
                <w:color w:val="auto"/>
              </w:rPr>
            </w:pPr>
            <w:r>
              <w:rPr>
                <w:rFonts w:ascii="Arial" w:cs="Arial" w:eastAsia="Arial" w:hAnsi="Arial"/>
                <w:sz w:val="17"/>
                <w:szCs w:val="17"/>
                <w:color w:val="auto"/>
              </w:rPr>
              <w:t>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8,208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rPr>
              <w:t>8,274</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360" w:type="dxa"/>
            <w:vAlign w:val="bottom"/>
          </w:tcPr>
          <w:p>
            <w:pPr>
              <w:jc w:val="right"/>
              <w:spacing w:after="0"/>
              <w:rPr>
                <w:sz w:val="20"/>
                <w:szCs w:val="20"/>
                <w:color w:val="auto"/>
              </w:rPr>
            </w:pPr>
            <w:r>
              <w:rPr>
                <w:rFonts w:ascii="Arial" w:cs="Arial" w:eastAsia="Arial" w:hAnsi="Arial"/>
                <w:sz w:val="17"/>
                <w:szCs w:val="17"/>
                <w:color w:val="auto"/>
              </w:rPr>
              <w:t>(0.8)%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60" w:firstLine="628"/>
        <w:spacing w:after="0" w:line="281" w:lineRule="auto"/>
        <w:rPr>
          <w:sz w:val="20"/>
          <w:szCs w:val="20"/>
          <w:color w:val="auto"/>
        </w:rPr>
      </w:pPr>
      <w:r>
        <w:rPr>
          <w:rFonts w:ascii="Arial" w:cs="Arial" w:eastAsia="Arial" w:hAnsi="Arial"/>
          <w:sz w:val="17"/>
          <w:szCs w:val="17"/>
          <w:color w:val="auto"/>
        </w:rPr>
        <w:t>Ceding commission revenue was $8,208,000 in 2017 compared to $8,274,000 in 2016. The decrease of $66,000, or 0.8%, was due to a decrease in provisional ceding commissions earned, partially offset by a reduction in negative contingent ceding commissions earned.</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8" w:lineRule="exact"/>
        <w:rPr>
          <w:sz w:val="20"/>
          <w:szCs w:val="20"/>
          <w:color w:val="auto"/>
        </w:rPr>
      </w:pPr>
    </w:p>
    <w:p>
      <w:pPr>
        <w:jc w:val="both"/>
        <w:ind w:right="60" w:firstLine="628"/>
        <w:spacing w:after="0" w:line="261" w:lineRule="auto"/>
        <w:rPr>
          <w:sz w:val="20"/>
          <w:szCs w:val="20"/>
          <w:color w:val="auto"/>
        </w:rPr>
      </w:pPr>
      <w:r>
        <w:rPr>
          <w:rFonts w:ascii="Arial" w:cs="Arial" w:eastAsia="Arial" w:hAnsi="Arial"/>
          <w:sz w:val="17"/>
          <w:szCs w:val="17"/>
          <w:color w:val="auto"/>
        </w:rPr>
        <w:t>We receive a provisional ceding commission based on ceded written premiums. In 2017 our provisional ceding rate was 52% from January 1, 2017 through June 30, 2017 under the 2016/2017 Treaty and was increased to 53% effective July 1, 2017 under the 2017/2019 Treaty. In 2016 our provisional ceding rate was 55% from January 1, 2016 through June 30, 2016 under the 2015/2016 Treaty and was decreased to 52% effective July 1, 2016 under the 2016/2017 Treaty. The $818,000 decrease in provisional ceding commissions earned is primarily due to the decrease in quota share ceding rate effective July 1, 2017 to 20%, from the 40% rate in effect from January 1, 2016 through June 30, 2017; thus there was less ceded premiums beginning July 1, 2017 available to earn ceding commissions than there was in 2016. The decrease was partially offset by an increase in personal lines direct written premiums subject to the quota share and by the increase in our provisional ceding commission rate as discussed above.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8"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treaties detailed in the table above that were in effect during 2017 are subject to change based on losses incurred from claims with accident dates beginning July 1, 2016. The amount of contingent ceding commissions we are eligible to receive under our prior years’ quota share treaties is subject to change based on losses incurred related to claims with accident dates before July 1, 2016.</w:t>
      </w:r>
    </w:p>
    <w:p>
      <w:pPr>
        <w:spacing w:after="0" w:line="119"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The 2017/2019 Treaty, 2016/2017 Treaty and 2015/2016 Treaty structure limits the amount of contingent ceding commissions that we can receive by setting the provisional commission rate higher than the rates we received in prior years. As a result of the higher upfront provisional ceding commissions that we receive, there is only a limited opportunity to earn contingent ceding commissions under these treaties. Under our current “net” treaty structure, catastrophe losses in excess of the $5,000,000 retention will fall outside of the quota share treaty and such losses will not have an impact on contingent ceding commissions. See “Reinsurance” below for changes to our personal lines quota share treaty effective July 1, 2017.</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432" w:right="17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auto"/>
        </w:rPr>
        <w:t>Net Investment Income</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investment income was $2,917,000 in 2017 compared to $2,286,000 in 2016. The increase of $631,000, or 27.6%, was due to an increase in average invested assets in 2017. The average yield on invested assets was 3.63% as of September 30, 2017 compared to 3.90% as of September 30, 2016. The pre-tax equivalent yield on invested assets was 3.84% and 4.17% as of September 30, 2017 and 2016, respectively.</w:t>
      </w:r>
    </w:p>
    <w:p>
      <w:pPr>
        <w:spacing w:after="0" w:line="114"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Cash and invested assets were $155,738,000 as of September 30, 2017, compared to $108,968,000 as of September 30, 2016. The $46,770,000 increase in cash and invested assets resulted primarily from the net proceeds of approximately $30,137,000 that we received in January and February 2017 from our public offering and increased operating cash flows for the period after September 30,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income was $926,000 in 2017 compared to $831,000 in 2016. The increase of $95,000, or 11.4%, was primarily due to an increase in installment and finance fees earned in our insurance underwriting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$22,821,000 in 2017 compared to $20,406,000 in 2016. The net loss ratio was 41.6% in 2017 compared to 45.2% in 2016, a decrease of 3.6 percentage points.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graph summarizes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147320</wp:posOffset>
            </wp:positionV>
            <wp:extent cx="3994785" cy="3721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94785" cy="372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3" w:name="page44"/>
    <w:bookmarkEnd w:id="43"/>
    <w:p>
      <w:pPr>
        <w:jc w:val="both"/>
        <w:ind w:firstLine="628"/>
        <w:spacing w:after="0" w:line="260" w:lineRule="auto"/>
        <w:rPr>
          <w:sz w:val="20"/>
          <w:szCs w:val="20"/>
          <w:color w:val="auto"/>
        </w:rPr>
      </w:pPr>
      <w:r>
        <w:rPr>
          <w:rFonts w:ascii="Arial" w:cs="Arial" w:eastAsia="Arial" w:hAnsi="Arial"/>
          <w:sz w:val="17"/>
          <w:szCs w:val="17"/>
          <w:color w:val="auto"/>
        </w:rPr>
        <w:t>During 2017, the net loss ratio decreased compared to 2016 due primarily to the reduced impact from severe winter weather. We record a catastrophe impact for this component if losses incurred from winter weather claims exceed those expected in an average winter. The 2017 winter season was milder than average, and we did not record a catastrophe impact. In 2016 through three quarters, we recorded a 3.1 point catastrophe impact, resulting in a reduction in the overall loss ratio from 2016 to 2017 of 3.1 points. In addition, we have recorded 0.5 points of favorable prior year loss development in 2017 compared to 0.4 points of favorable prior year development in 2016, or an increase in the favorable impact of 0.1 points year to date. Finally, the core loss ratio excluding the impact of severe winter weather and prior year development was 42.1% in 2017, compared to 42.4% in 2016, a decrease of 0.3 points. Overall claim frequency excluding the impact of severe winter weather has declined during 2017, contributing to the reduction in the core loss ratio. See table below under “Additional Financial Information” summarizing net loss ratios by line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Commission expense was $15,491,000 in 2017 or 19.1% of direct earned premiums. Commission expense was $13,400,000 in 2016 or 18.7% of direct earned premiums. The increase of $2,091,000 is due to the increase in direct earned premiums in 2017 as compared to 2016.</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Other underwriting expenses were $12,887,000 in 2017 compared to $10,982,000 in 2016. The increase of $1,905,000, or 17.3%, was primarily due to expenses related to growth in direct written premiums. We are also incurring expenses related to expansion into the states where we are newly licensed to write business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were $710,000 in 2017 compared to $272,000 in 2016. The increase of $438,000 includes the costs of salaries and employment costs, professional fees, IT and data services specifically attributable to the expansion into new states.</w:t>
      </w:r>
    </w:p>
    <w:p>
      <w:pPr>
        <w:spacing w:after="0" w:line="107" w:lineRule="exact"/>
        <w:rPr>
          <w:sz w:val="20"/>
          <w:szCs w:val="20"/>
          <w:color w:val="auto"/>
        </w:rPr>
      </w:pPr>
    </w:p>
    <w:p>
      <w:pPr>
        <w:jc w:val="both"/>
        <w:ind w:firstLine="628"/>
        <w:spacing w:after="0" w:line="279" w:lineRule="auto"/>
        <w:rPr>
          <w:sz w:val="20"/>
          <w:szCs w:val="20"/>
          <w:color w:val="auto"/>
        </w:rPr>
      </w:pPr>
      <w:r>
        <w:rPr>
          <w:rFonts w:ascii="Arial" w:cs="Arial" w:eastAsia="Arial" w:hAnsi="Arial"/>
          <w:sz w:val="16"/>
          <w:szCs w:val="16"/>
          <w:color w:val="auto"/>
        </w:rPr>
        <w:t>Salaries and employment costs, excluding Expansion Expenses costs discussed above, were $5,451,000 in 2017 compared to $4,985,000 in 2016. The increase of $466,000, or 9.3%, was less than the 17.1% increase in direct written premiums, which is not yet materially affected by our expansion business. Our employee bonus plan is aligned with our combined ratio. The lower the combined ratio, the greater the bonus percentage that our employees receive relative to their annual salaries. The combined ratio has decreased by 2.2 percentage points in 2017, resulting in a $211,000 increase in the 2017 accrued bonus. The remaining increase in employment costs was due to hiring of additional staff to service our current level of business and anticipated growth in volume as well as annual rate increases in salaries. Other underwriting expenses as a percentage of direct written premiums remained constant at 14.4 in both 2017 and 2016. Other underwriting expenses as a percentage of direct premiums earned increased to 15.9% in 2017 compared to 15.4% in 2016.</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4" w:name="page45"/>
    <w:bookmarkEnd w:id="44"/>
    <w:p>
      <w:pPr>
        <w:jc w:val="both"/>
        <w:ind w:firstLine="628"/>
        <w:spacing w:after="0" w:line="321" w:lineRule="auto"/>
        <w:rPr>
          <w:sz w:val="20"/>
          <w:szCs w:val="20"/>
          <w:color w:val="auto"/>
        </w:rPr>
      </w:pPr>
      <w:r>
        <w:rPr>
          <w:rFonts w:ascii="Arial" w:cs="Arial" w:eastAsia="Arial" w:hAnsi="Arial"/>
          <w:sz w:val="15"/>
          <w:szCs w:val="15"/>
          <w:color w:val="auto"/>
        </w:rPr>
        <w:t>Other underwriting expenses as a percentage of net premiums earned was 23.5% in 2017 compared to 24.2% in 2016. The table below provides an analysis of the significant components of the 0.7 percentage point decrease. Our net underwriting expense ratio in 2017, including the impact of ceding commissions, was 35.2% compared with 33.8% in 2016. The following table shows the individual components of our net underwriting expense ratio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880" w:type="dxa"/>
            <w:vAlign w:val="bottom"/>
            <w:gridSpan w:val="3"/>
          </w:tcPr>
          <w:p>
            <w:pPr>
              <w:jc w:val="right"/>
              <w:ind w:right="780"/>
              <w:spacing w:after="0"/>
              <w:rPr>
                <w:sz w:val="20"/>
                <w:szCs w:val="20"/>
                <w:color w:val="auto"/>
              </w:rPr>
            </w:pPr>
            <w:r>
              <w:rPr>
                <w:rFonts w:ascii="Arial" w:cs="Arial" w:eastAsia="Arial" w:hAnsi="Arial"/>
                <w:sz w:val="17"/>
                <w:szCs w:val="17"/>
                <w:b w:val="1"/>
                <w:bCs w:val="1"/>
                <w:color w:val="auto"/>
              </w:rPr>
              <w:t>Nine months ended</w:t>
            </w:r>
          </w:p>
        </w:tc>
        <w:tc>
          <w:tcPr>
            <w:tcW w:w="1220" w:type="dxa"/>
            <w:vAlign w:val="bottom"/>
          </w:tcPr>
          <w:p>
            <w:pPr>
              <w:spacing w:after="0"/>
              <w:rPr>
                <w:sz w:val="18"/>
                <w:szCs w:val="18"/>
                <w:color w:val="auto"/>
              </w:rPr>
            </w:pPr>
          </w:p>
        </w:tc>
      </w:tr>
      <w:tr>
        <w:trPr>
          <w:trHeight w:val="228"/>
        </w:trPr>
        <w:tc>
          <w:tcPr>
            <w:tcW w:w="7320" w:type="dxa"/>
            <w:vAlign w:val="bottom"/>
          </w:tcPr>
          <w:p>
            <w:pPr>
              <w:spacing w:after="0"/>
              <w:rPr>
                <w:sz w:val="19"/>
                <w:szCs w:val="19"/>
                <w:color w:val="auto"/>
              </w:rPr>
            </w:pPr>
          </w:p>
        </w:tc>
        <w:tc>
          <w:tcPr>
            <w:tcW w:w="2880" w:type="dxa"/>
            <w:vAlign w:val="bottom"/>
            <w:gridSpan w:val="3"/>
          </w:tcPr>
          <w:p>
            <w:pPr>
              <w:jc w:val="right"/>
              <w:ind w:right="960"/>
              <w:spacing w:after="0"/>
              <w:rPr>
                <w:sz w:val="20"/>
                <w:szCs w:val="20"/>
                <w:color w:val="auto"/>
              </w:rPr>
            </w:pPr>
            <w:r>
              <w:rPr>
                <w:rFonts w:ascii="Arial" w:cs="Arial" w:eastAsia="Arial" w:hAnsi="Arial"/>
                <w:sz w:val="17"/>
                <w:szCs w:val="17"/>
                <w:b w:val="1"/>
                <w:bCs w:val="1"/>
                <w:color w:val="auto"/>
              </w:rPr>
              <w:t>September 30,</w:t>
            </w:r>
          </w:p>
        </w:tc>
        <w:tc>
          <w:tcPr>
            <w:tcW w:w="1220" w:type="dxa"/>
            <w:vAlign w:val="bottom"/>
          </w:tcPr>
          <w:p>
            <w:pPr>
              <w:jc w:val="right"/>
              <w:ind w:right="195"/>
              <w:spacing w:after="0"/>
              <w:rPr>
                <w:sz w:val="20"/>
                <w:szCs w:val="20"/>
                <w:color w:val="auto"/>
              </w:rPr>
            </w:pPr>
            <w:r>
              <w:rPr>
                <w:rFonts w:ascii="Arial" w:cs="Arial" w:eastAsia="Arial" w:hAnsi="Arial"/>
                <w:sz w:val="17"/>
                <w:szCs w:val="17"/>
                <w:b w:val="1"/>
                <w:bCs w:val="1"/>
                <w:color w:val="auto"/>
              </w:rPr>
              <w:t>Percentage</w:t>
            </w:r>
          </w:p>
        </w:tc>
      </w:tr>
      <w:tr>
        <w:trPr>
          <w:trHeight w:val="215"/>
        </w:trPr>
        <w:tc>
          <w:tcPr>
            <w:tcW w:w="732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2017</w:t>
            </w: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4"/>
              </w:rPr>
              <w:t>Point Change</w:t>
            </w:r>
          </w:p>
        </w:tc>
      </w:tr>
      <w:tr>
        <w:trPr>
          <w:trHeight w:val="209"/>
        </w:trPr>
        <w:tc>
          <w:tcPr>
            <w:tcW w:w="7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Ceding commission revenue - provisional</w:t>
            </w: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(15.8)%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5.2</w:t>
            </w:r>
          </w:p>
        </w:tc>
      </w:tr>
      <w:tr>
        <w:trPr>
          <w:trHeight w:val="209"/>
        </w:trPr>
        <w:tc>
          <w:tcPr>
            <w:tcW w:w="7320" w:type="dxa"/>
            <w:vAlign w:val="bottom"/>
          </w:tcPr>
          <w:p>
            <w:pPr>
              <w:ind w:left="40"/>
              <w:spacing w:after="0"/>
              <w:rPr>
                <w:sz w:val="20"/>
                <w:szCs w:val="20"/>
                <w:color w:val="auto"/>
              </w:rPr>
            </w:pPr>
            <w:r>
              <w:rPr>
                <w:rFonts w:ascii="Arial" w:cs="Arial" w:eastAsia="Arial" w:hAnsi="Arial"/>
                <w:sz w:val="17"/>
                <w:szCs w:val="17"/>
                <w:color w:val="auto"/>
              </w:rPr>
              <w:t>Ceding commission revenue - contingent</w:t>
            </w:r>
          </w:p>
        </w:tc>
        <w:tc>
          <w:tcPr>
            <w:tcW w:w="1660" w:type="dxa"/>
            <w:vAlign w:val="bottom"/>
          </w:tcPr>
          <w:p>
            <w:pPr>
              <w:jc w:val="right"/>
              <w:ind w:right="335"/>
              <w:spacing w:after="0"/>
              <w:rPr>
                <w:sz w:val="20"/>
                <w:szCs w:val="20"/>
                <w:color w:val="auto"/>
              </w:rPr>
            </w:pPr>
            <w:r>
              <w:rPr>
                <w:rFonts w:ascii="Arial" w:cs="Arial" w:eastAsia="Arial" w:hAnsi="Arial"/>
                <w:sz w:val="17"/>
                <w:szCs w:val="17"/>
                <w:color w:val="auto"/>
              </w:rPr>
              <w:t>0.9</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166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(1.6)</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0.2</w:t>
            </w:r>
          </w:p>
        </w:tc>
      </w:tr>
      <w:tr>
        <w:trPr>
          <w:trHeight w:val="209"/>
        </w:trPr>
        <w:tc>
          <w:tcPr>
            <w:tcW w:w="7320" w:type="dxa"/>
            <w:vAlign w:val="bottom"/>
          </w:tcPr>
          <w:p>
            <w:pPr>
              <w:ind w:left="80"/>
              <w:spacing w:after="0"/>
              <w:rPr>
                <w:sz w:val="20"/>
                <w:szCs w:val="20"/>
                <w:color w:val="auto"/>
              </w:rPr>
            </w:pPr>
            <w:r>
              <w:rPr>
                <w:rFonts w:ascii="Arial" w:cs="Arial" w:eastAsia="Arial" w:hAnsi="Arial"/>
                <w:sz w:val="17"/>
                <w:szCs w:val="17"/>
                <w:color w:val="auto"/>
              </w:rPr>
              <w:t>Acquisition costs and other underwriting expenses:</w:t>
            </w: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166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28.2</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29.7</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5"/>
        </w:trPr>
        <w:tc>
          <w:tcPr>
            <w:tcW w:w="7320" w:type="dxa"/>
            <w:vAlign w:val="bottom"/>
          </w:tcPr>
          <w:p>
            <w:pPr>
              <w:spacing w:after="0"/>
              <w:rPr>
                <w:sz w:val="18"/>
                <w:szCs w:val="18"/>
                <w:color w:val="auto"/>
              </w:rPr>
            </w:pPr>
          </w:p>
        </w:tc>
        <w:tc>
          <w:tcPr>
            <w:tcW w:w="16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11.7</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2.1</w:t>
            </w:r>
          </w:p>
        </w:tc>
      </w:tr>
      <w:tr>
        <w:trPr>
          <w:trHeight w:val="209"/>
        </w:trPr>
        <w:tc>
          <w:tcPr>
            <w:tcW w:w="7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underwriting expenses</w:t>
            </w: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9"/>
        </w:trPr>
        <w:tc>
          <w:tcPr>
            <w:tcW w:w="7320" w:type="dxa"/>
            <w:vAlign w:val="bottom"/>
          </w:tcPr>
          <w:p>
            <w:pPr>
              <w:ind w:left="360"/>
              <w:spacing w:after="0"/>
              <w:rPr>
                <w:sz w:val="20"/>
                <w:szCs w:val="20"/>
                <w:color w:val="auto"/>
              </w:rPr>
            </w:pPr>
            <w:r>
              <w:rPr>
                <w:rFonts w:ascii="Arial" w:cs="Arial" w:eastAsia="Arial" w:hAnsi="Arial"/>
                <w:sz w:val="17"/>
                <w:szCs w:val="17"/>
                <w:color w:val="auto"/>
              </w:rPr>
              <w:t>Employment costs attributable to core NY business</w:t>
            </w:r>
          </w:p>
        </w:tc>
        <w:tc>
          <w:tcPr>
            <w:tcW w:w="1660" w:type="dxa"/>
            <w:vAlign w:val="bottom"/>
          </w:tcPr>
          <w:p>
            <w:pPr>
              <w:jc w:val="right"/>
              <w:ind w:right="335"/>
              <w:spacing w:after="0"/>
              <w:rPr>
                <w:sz w:val="20"/>
                <w:szCs w:val="20"/>
                <w:color w:val="auto"/>
              </w:rPr>
            </w:pPr>
            <w:r>
              <w:rPr>
                <w:rFonts w:ascii="Arial" w:cs="Arial" w:eastAsia="Arial" w:hAnsi="Arial"/>
                <w:sz w:val="17"/>
                <w:szCs w:val="17"/>
                <w:color w:val="auto"/>
              </w:rPr>
              <w:t>9.9</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11.0</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9"/>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Expansion Expenses</w:t>
            </w:r>
          </w:p>
        </w:tc>
        <w:tc>
          <w:tcPr>
            <w:tcW w:w="16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1.3</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0.7</w:t>
            </w:r>
          </w:p>
        </w:tc>
      </w:tr>
      <w:tr>
        <w:trPr>
          <w:trHeight w:val="209"/>
        </w:trPr>
        <w:tc>
          <w:tcPr>
            <w:tcW w:w="7320" w:type="dxa"/>
            <w:vAlign w:val="bottom"/>
          </w:tcPr>
          <w:p>
            <w:pPr>
              <w:ind w:left="360"/>
              <w:spacing w:after="0"/>
              <w:rPr>
                <w:sz w:val="20"/>
                <w:szCs w:val="20"/>
                <w:color w:val="auto"/>
              </w:rPr>
            </w:pPr>
            <w:r>
              <w:rPr>
                <w:rFonts w:ascii="Arial" w:cs="Arial" w:eastAsia="Arial" w:hAnsi="Arial"/>
                <w:sz w:val="17"/>
                <w:szCs w:val="17"/>
                <w:color w:val="auto"/>
              </w:rPr>
              <w:t>IT expenses</w:t>
            </w:r>
          </w:p>
        </w:tc>
        <w:tc>
          <w:tcPr>
            <w:tcW w:w="1660" w:type="dxa"/>
            <w:vAlign w:val="bottom"/>
          </w:tcPr>
          <w:p>
            <w:pPr>
              <w:jc w:val="right"/>
              <w:ind w:right="335"/>
              <w:spacing w:after="0"/>
              <w:rPr>
                <w:sz w:val="20"/>
                <w:szCs w:val="20"/>
                <w:color w:val="auto"/>
              </w:rPr>
            </w:pPr>
            <w:r>
              <w:rPr>
                <w:rFonts w:ascii="Arial" w:cs="Arial" w:eastAsia="Arial" w:hAnsi="Arial"/>
                <w:sz w:val="17"/>
                <w:szCs w:val="17"/>
                <w:color w:val="auto"/>
              </w:rPr>
              <w:t>2.0</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0.3</w:t>
            </w:r>
          </w:p>
        </w:tc>
      </w:tr>
      <w:tr>
        <w:trPr>
          <w:trHeight w:val="215"/>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expenses</w:t>
            </w:r>
          </w:p>
        </w:tc>
        <w:tc>
          <w:tcPr>
            <w:tcW w:w="166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10.3</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10.9</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5"/>
        </w:trPr>
        <w:tc>
          <w:tcPr>
            <w:tcW w:w="7320" w:type="dxa"/>
            <w:vAlign w:val="bottom"/>
          </w:tcPr>
          <w:p>
            <w:pPr>
              <w:ind w:left="360"/>
              <w:spacing w:after="0"/>
              <w:rPr>
                <w:sz w:val="20"/>
                <w:szCs w:val="20"/>
                <w:color w:val="auto"/>
              </w:rPr>
            </w:pPr>
            <w:r>
              <w:rPr>
                <w:rFonts w:ascii="Arial" w:cs="Arial" w:eastAsia="Arial" w:hAnsi="Arial"/>
                <w:sz w:val="17"/>
                <w:szCs w:val="17"/>
                <w:color w:val="auto"/>
              </w:rPr>
              <w:t>Total other underwriting expenses</w:t>
            </w:r>
          </w:p>
        </w:tc>
        <w:tc>
          <w:tcPr>
            <w:tcW w:w="16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23.5</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24.2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09"/>
        </w:trPr>
        <w:tc>
          <w:tcPr>
            <w:tcW w:w="7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9"/>
        </w:trPr>
        <w:tc>
          <w:tcPr>
            <w:tcW w:w="732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16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35.2%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14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1.4</w:t>
            </w:r>
          </w:p>
        </w:tc>
      </w:tr>
      <w:tr>
        <w:trPr>
          <w:trHeight w:val="20"/>
        </w:trPr>
        <w:tc>
          <w:tcPr>
            <w:tcW w:w="7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45"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The other underwriting expenses ratio, excluding the impact of ceding commission revenue and commission expense, declined 0.7 points, from 24.2% in 2016 to 23.5% in 2017. This decrease is driven by a decline in the impact from employment costs attributable to our growing core New York business and other expenses, partially offset by the impact from increased costs related to expansion and IT expenses.</w:t>
      </w:r>
    </w:p>
    <w:p>
      <w:pPr>
        <w:spacing w:after="0" w:line="114" w:lineRule="exact"/>
        <w:rPr>
          <w:sz w:val="20"/>
          <w:szCs w:val="20"/>
          <w:color w:val="auto"/>
        </w:rPr>
      </w:pPr>
    </w:p>
    <w:p>
      <w:pPr>
        <w:jc w:val="both"/>
        <w:ind w:firstLine="628"/>
        <w:spacing w:after="0" w:line="286" w:lineRule="auto"/>
        <w:rPr>
          <w:sz w:val="20"/>
          <w:szCs w:val="20"/>
          <w:color w:val="auto"/>
        </w:rPr>
      </w:pPr>
      <w:r>
        <w:rPr>
          <w:rFonts w:ascii="Arial" w:cs="Arial" w:eastAsia="Arial" w:hAnsi="Arial"/>
          <w:sz w:val="16"/>
          <w:szCs w:val="16"/>
          <w:color w:val="auto"/>
        </w:rPr>
        <w:t>The overall increase of 1.4 percentage points in the net underwriting expense ratio was impacted by the change in our quota share ceding rates and its impact on provisional ceding commission revenue as a result of the additional retention resulting from the Cut-off to our quota share treaties on July 1, 2017.The increase to the net underwriting expense ratio was impacted more by reductions in the reinsurance ceding commission revenue components than it was to changes in the commission expense and other underwriting expense components, each of which declined as a ratio to net premiums earned.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8"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Other operating expenses, related to the expenses of our holding company, were $2,731,000 in 2017 compared to $1,292,000 in 2016. The increase in 2017 of $1,439,000, or 111.4%, was primarily due to increases in executive bonus compensation, executive compensation due to annual rate increases and hiring of additional staff, equity compensation, and professional fees. The increase in executive bonus compensation includes $709,000 of accrued long-term bonus compensation pursuant to the three year employment agreement effective January 1, 2017 with our Chief Executive Officer. In 2016 there was no long-term bonus compensation plan in place.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8"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Depreciation and amortization was $1,023,000 in 2017 compared to $835,000 in 2016. The increase of $188,000, or 22.5%, in depreciation and amortization was primarily due to depreciation of our new system platform for handling business being written in expansion states. The increase was also impacted by newly purchased assets used to upgrade our systems infrastructure and improvements to the Kingston, New York home office building from which we operate.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Income tax expense in 2017 was $3,976,000, which resulted in an effective tax rate of 33.1%. Income tax expense in 2016 was $3,426,000, which resulted in an effective tax rate of 33.4%. Income before taxes was $12,031,000 in 2017 compared to $10,270,000 in 2016.</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income was $8,055,000 in 2017 compared to $6,844,000 in 2016. The increase in net income of $1,211,000, or 17.7%, was due to the circumstances described above that caused the increase in our net premiums earned, net investment income and other income and a decrease in our net loss ratio, partially offset by a decrease in ceding commission revenue and net realized gains on investments, and increases in other underwriting expenses related to premium growth, other operating expenses, and depreciation and amortization.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5" w:name="page46"/>
    <w:bookmarkEnd w:id="45"/>
    <w:p>
      <w:pPr>
        <w:ind w:left="640"/>
        <w:spacing w:after="0"/>
        <w:rPr>
          <w:sz w:val="20"/>
          <w:szCs w:val="20"/>
          <w:color w:val="auto"/>
        </w:rPr>
      </w:pPr>
      <w:r>
        <w:rPr>
          <w:rFonts w:ascii="Arial" w:cs="Arial" w:eastAsia="Arial" w:hAnsi="Arial"/>
          <w:sz w:val="17"/>
          <w:szCs w:val="17"/>
          <w:b w:val="1"/>
          <w:bCs w:val="1"/>
          <w:i w:val="1"/>
          <w:iCs w:val="1"/>
          <w:color w:val="auto"/>
        </w:rPr>
        <w:t xml:space="preserve">Three Months Ended September </w:t>
      </w:r>
      <w:r>
        <w:rPr>
          <w:rFonts w:ascii="Arial" w:cs="Arial" w:eastAsia="Arial" w:hAnsi="Arial"/>
          <w:sz w:val="20"/>
          <w:szCs w:val="20"/>
          <w:b w:val="1"/>
          <w:bCs w:val="1"/>
          <w:i w:val="1"/>
          <w:iCs w:val="1"/>
          <w:color w:val="auto"/>
        </w:rPr>
        <w:t>30, 2017 Compared to Three Months Ended September 30, 2016</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2"/>
              </w:rPr>
              <w:t>Three months ended September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76"/>
              <w:spacing w:after="0" w:line="157"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160" w:type="dxa"/>
            <w:vAlign w:val="bottom"/>
          </w:tcPr>
          <w:p>
            <w:pPr>
              <w:jc w:val="right"/>
              <w:ind w:right="496"/>
              <w:spacing w:after="0" w:line="157"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040" w:type="dxa"/>
            <w:vAlign w:val="bottom"/>
          </w:tcPr>
          <w:p>
            <w:pPr>
              <w:jc w:val="right"/>
              <w:ind w:right="356"/>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356"/>
              <w:spacing w:after="0" w:line="157"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Revenues</w:t>
            </w: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 written premiums</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32,840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27,171</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5,669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Assumed written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w:t>
            </w:r>
          </w:p>
        </w:tc>
        <w:tc>
          <w:tcPr>
            <w:tcW w:w="1360" w:type="dxa"/>
            <w:vAlign w:val="bottom"/>
          </w:tcPr>
          <w:p>
            <w:pPr>
              <w:jc w:val="right"/>
              <w:spacing w:after="0"/>
              <w:rPr>
                <w:sz w:val="20"/>
                <w:szCs w:val="20"/>
                <w:color w:val="auto"/>
              </w:rPr>
            </w:pPr>
            <w:r>
              <w:rPr>
                <w:rFonts w:ascii="Arial" w:cs="Arial" w:eastAsia="Arial" w:hAnsi="Arial"/>
                <w:sz w:val="17"/>
                <w:szCs w:val="17"/>
                <w:color w:val="auto"/>
              </w:rPr>
              <w:t>(1,300.0)%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32,852</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27,170</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5,682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Ceded written premiums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Ceded to quota share treaties in force during the period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4,635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7,082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Return of premiums previously ceded to prior quota share treaties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(7,140)</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(7,140)</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Ceded to quota share treaties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(2,505)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7,082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460"/>
              <w:spacing w:after="0"/>
              <w:rPr>
                <w:sz w:val="20"/>
                <w:szCs w:val="20"/>
                <w:color w:val="auto"/>
              </w:rPr>
            </w:pPr>
            <w:r>
              <w:rPr>
                <w:rFonts w:ascii="Arial" w:cs="Arial" w:eastAsia="Arial" w:hAnsi="Arial"/>
                <w:sz w:val="17"/>
                <w:szCs w:val="17"/>
                <w:color w:val="auto"/>
              </w:rPr>
              <w:t>Ceded to excess of loss treaties</w:t>
            </w: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267</w:t>
            </w:r>
          </w:p>
        </w:tc>
        <w:tc>
          <w:tcPr>
            <w:tcW w:w="220" w:type="dxa"/>
            <w:vAlign w:val="bottom"/>
          </w:tcPr>
          <w:p>
            <w:pPr>
              <w:spacing w:after="0"/>
              <w:rPr>
                <w:sz w:val="18"/>
                <w:szCs w:val="18"/>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429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(162)</w:t>
            </w:r>
          </w:p>
        </w:tc>
        <w:tc>
          <w:tcPr>
            <w:tcW w:w="1360" w:type="dxa"/>
            <w:vAlign w:val="bottom"/>
          </w:tcPr>
          <w:p>
            <w:pPr>
              <w:jc w:val="right"/>
              <w:spacing w:after="0"/>
              <w:rPr>
                <w:sz w:val="20"/>
                <w:szCs w:val="20"/>
                <w:color w:val="auto"/>
              </w:rPr>
            </w:pPr>
            <w:r>
              <w:rPr>
                <w:rFonts w:ascii="Arial" w:cs="Arial" w:eastAsia="Arial" w:hAnsi="Arial"/>
                <w:sz w:val="17"/>
                <w:szCs w:val="17"/>
                <w:color w:val="auto"/>
              </w:rPr>
              <w:t>(37.8)%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Ceded to catastrophe treaties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2,829</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2,427</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 ceded written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591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9,938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(9,347)</w:t>
            </w:r>
          </w:p>
        </w:tc>
        <w:tc>
          <w:tcPr>
            <w:tcW w:w="1360" w:type="dxa"/>
            <w:vAlign w:val="bottom"/>
          </w:tcPr>
          <w:p>
            <w:pPr>
              <w:jc w:val="right"/>
              <w:spacing w:after="0"/>
              <w:rPr>
                <w:sz w:val="20"/>
                <w:szCs w:val="20"/>
                <w:color w:val="auto"/>
              </w:rPr>
            </w:pPr>
            <w:r>
              <w:rPr>
                <w:rFonts w:ascii="Arial" w:cs="Arial" w:eastAsia="Arial" w:hAnsi="Arial"/>
                <w:sz w:val="17"/>
                <w:szCs w:val="17"/>
                <w:color w:val="auto"/>
              </w:rPr>
              <w:t>(94.1)%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written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32,261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17,232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15,029</w:t>
            </w:r>
          </w:p>
        </w:tc>
        <w:tc>
          <w:tcPr>
            <w:tcW w:w="1360" w:type="dxa"/>
            <w:vAlign w:val="bottom"/>
          </w:tcPr>
          <w:p>
            <w:pPr>
              <w:jc w:val="right"/>
              <w:spacing w:after="0"/>
              <w:rPr>
                <w:sz w:val="20"/>
                <w:szCs w:val="20"/>
                <w:color w:val="auto"/>
              </w:rPr>
            </w:pPr>
            <w:r>
              <w:rPr>
                <w:rFonts w:ascii="Arial" w:cs="Arial" w:eastAsia="Arial" w:hAnsi="Arial"/>
                <w:sz w:val="17"/>
                <w:szCs w:val="17"/>
                <w:color w:val="auto"/>
              </w:rPr>
              <w:t>87.2%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Direct and assumed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(4,409)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(2,304)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 to quota share treaties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(6,339)</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718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(7,057)</w:t>
            </w:r>
          </w:p>
        </w:tc>
        <w:tc>
          <w:tcPr>
            <w:tcW w:w="1360" w:type="dxa"/>
            <w:vAlign w:val="bottom"/>
          </w:tcPr>
          <w:p>
            <w:pPr>
              <w:jc w:val="right"/>
              <w:spacing w:after="0"/>
              <w:rPr>
                <w:sz w:val="20"/>
                <w:szCs w:val="20"/>
                <w:color w:val="auto"/>
              </w:rPr>
            </w:pPr>
            <w:r>
              <w:rPr>
                <w:rFonts w:ascii="Arial" w:cs="Arial" w:eastAsia="Arial" w:hAnsi="Arial"/>
                <w:sz w:val="17"/>
                <w:szCs w:val="17"/>
                <w:color w:val="auto"/>
              </w:rPr>
              <w:t>(982.9)%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net unearned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(10,748)</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(1,586)</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Premiums earned</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Direct and assumed</w:t>
            </w:r>
          </w:p>
        </w:tc>
        <w:tc>
          <w:tcPr>
            <w:tcW w:w="380" w:type="dxa"/>
            <w:vAlign w:val="bottom"/>
          </w:tcPr>
          <w:p>
            <w:pPr>
              <w:spacing w:after="0"/>
              <w:rPr>
                <w:sz w:val="20"/>
                <w:szCs w:val="20"/>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28,445</w:t>
            </w:r>
          </w:p>
        </w:tc>
        <w:tc>
          <w:tcPr>
            <w:tcW w:w="220" w:type="dxa"/>
            <w:vAlign w:val="bottom"/>
          </w:tcPr>
          <w:p>
            <w:pPr>
              <w:spacing w:after="0"/>
              <w:rPr>
                <w:sz w:val="20"/>
                <w:szCs w:val="20"/>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24,866</w:t>
            </w:r>
          </w:p>
        </w:tc>
        <w:tc>
          <w:tcPr>
            <w:tcW w:w="30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3,579</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Ceded to quota share treaties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(6,931)</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(9,220)</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2,289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premiums earned</w:t>
            </w: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21,514</w:t>
            </w:r>
          </w:p>
        </w:tc>
        <w:tc>
          <w:tcPr>
            <w:tcW w:w="220" w:type="dxa"/>
            <w:vAlign w:val="bottom"/>
          </w:tcPr>
          <w:p>
            <w:pPr>
              <w:spacing w:after="0"/>
              <w:rPr>
                <w:sz w:val="18"/>
                <w:szCs w:val="18"/>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15,646</w:t>
            </w:r>
          </w:p>
        </w:tc>
        <w:tc>
          <w:tcPr>
            <w:tcW w:w="3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5,868</w:t>
            </w:r>
          </w:p>
        </w:tc>
        <w:tc>
          <w:tcPr>
            <w:tcW w:w="1360" w:type="dxa"/>
            <w:vAlign w:val="bottom"/>
          </w:tcPr>
          <w:p>
            <w:pPr>
              <w:jc w:val="right"/>
              <w:spacing w:after="0"/>
              <w:rPr>
                <w:sz w:val="20"/>
                <w:szCs w:val="20"/>
                <w:color w:val="auto"/>
              </w:rPr>
            </w:pPr>
            <w:r>
              <w:rPr>
                <w:rFonts w:ascii="Arial" w:cs="Arial" w:eastAsia="Arial" w:hAnsi="Arial"/>
                <w:sz w:val="17"/>
                <w:szCs w:val="17"/>
                <w:color w:val="auto"/>
              </w:rPr>
              <w:t>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Ceding commission revenue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1,718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2,935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investment income</w:t>
            </w: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1,033</w:t>
            </w:r>
          </w:p>
        </w:tc>
        <w:tc>
          <w:tcPr>
            <w:tcW w:w="220" w:type="dxa"/>
            <w:vAlign w:val="bottom"/>
          </w:tcPr>
          <w:p>
            <w:pPr>
              <w:spacing w:after="0"/>
              <w:rPr>
                <w:sz w:val="18"/>
                <w:szCs w:val="18"/>
                <w:color w:val="auto"/>
              </w:rPr>
            </w:pP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709</w:t>
            </w:r>
          </w:p>
        </w:tc>
        <w:tc>
          <w:tcPr>
            <w:tcW w:w="3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324</w:t>
            </w:r>
          </w:p>
        </w:tc>
        <w:tc>
          <w:tcPr>
            <w:tcW w:w="1360" w:type="dxa"/>
            <w:vAlign w:val="bottom"/>
          </w:tcPr>
          <w:p>
            <w:pPr>
              <w:jc w:val="right"/>
              <w:spacing w:after="0"/>
              <w:rPr>
                <w:sz w:val="20"/>
                <w:szCs w:val="20"/>
                <w:color w:val="auto"/>
              </w:rPr>
            </w:pPr>
            <w:r>
              <w:rPr>
                <w:rFonts w:ascii="Arial" w:cs="Arial" w:eastAsia="Arial" w:hAnsi="Arial"/>
                <w:sz w:val="17"/>
                <w:szCs w:val="17"/>
                <w:color w:val="auto"/>
              </w:rPr>
              <w:t>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realized gain on investments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241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Other income</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328</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297</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31</w:t>
            </w:r>
          </w:p>
        </w:tc>
        <w:tc>
          <w:tcPr>
            <w:tcW w:w="1360" w:type="dxa"/>
            <w:vAlign w:val="bottom"/>
          </w:tcPr>
          <w:p>
            <w:pPr>
              <w:jc w:val="right"/>
              <w:spacing w:after="0"/>
              <w:rPr>
                <w:sz w:val="20"/>
                <w:szCs w:val="20"/>
                <w:color w:val="auto"/>
              </w:rPr>
            </w:pPr>
            <w:r>
              <w:rPr>
                <w:rFonts w:ascii="Arial" w:cs="Arial" w:eastAsia="Arial" w:hAnsi="Arial"/>
                <w:sz w:val="17"/>
                <w:szCs w:val="17"/>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24,614</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19,828</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4,786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
        <w:spacing w:after="0" w:line="351" w:lineRule="auto"/>
        <w:tabs>
          <w:tab w:leader="none" w:pos="241" w:val="left"/>
        </w:tabs>
        <w:numPr>
          <w:ilvl w:val="0"/>
          <w:numId w:val="12"/>
        </w:numPr>
        <w:rPr>
          <w:rFonts w:ascii="Arial" w:cs="Arial" w:eastAsia="Arial" w:hAnsi="Arial"/>
          <w:sz w:val="15"/>
          <w:szCs w:val="15"/>
          <w:color w:val="auto"/>
        </w:rPr>
      </w:pPr>
      <w:r>
        <w:rPr>
          <w:rFonts w:ascii="Arial" w:cs="Arial" w:eastAsia="Arial" w:hAnsi="Arial"/>
          <w:sz w:val="15"/>
          <w:szCs w:val="15"/>
          <w:color w:val="auto"/>
        </w:rPr>
        <w:t>Effective July 1, 2017, we decreased the quota share ceding rate in our personal lines quota share treaty from 40% to 20%. The Cut-off of this treaty on July 1, 2017 resulted in a $7,140,000 return of unearned premiums from our reinsurers that were previously ceded under the expiring personal lines quota share treaty.</w:t>
      </w: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419" w:right="1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b w:val="1"/>
                <w:bCs w:val="1"/>
                <w:color w:val="auto"/>
                <w:w w:val="92"/>
              </w:rPr>
              <w:t>Three months ended September 30,</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517"/>
              <w:spacing w:after="0" w:line="157"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0" w:type="dxa"/>
            <w:vAlign w:val="bottom"/>
          </w:tcPr>
          <w:p>
            <w:pPr>
              <w:jc w:val="right"/>
              <w:ind w:right="538"/>
              <w:spacing w:after="0" w:line="157"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040" w:type="dxa"/>
            <w:vAlign w:val="bottom"/>
          </w:tcPr>
          <w:p>
            <w:pPr>
              <w:jc w:val="right"/>
              <w:ind w:right="357"/>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revenues (continued)</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24,614</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19,828</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4,786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Direct and assumed</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8,150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6,708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1,442</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1,077</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1,573</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w:t>
            </w:r>
          </w:p>
        </w:tc>
        <w:tc>
          <w:tcPr>
            <w:tcW w:w="1360" w:type="dxa"/>
            <w:vAlign w:val="bottom"/>
          </w:tcPr>
          <w:p>
            <w:pPr>
              <w:jc w:val="right"/>
              <w:spacing w:after="0"/>
              <w:rPr>
                <w:sz w:val="20"/>
                <w:szCs w:val="20"/>
                <w:color w:val="auto"/>
              </w:rPr>
            </w:pPr>
            <w:r>
              <w:rPr>
                <w:rFonts w:ascii="Arial" w:cs="Arial" w:eastAsia="Arial" w:hAnsi="Arial"/>
                <w:sz w:val="17"/>
                <w:szCs w:val="17"/>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7,073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5,135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1,938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8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color w:val="auto"/>
              </w:rPr>
              <w:t>5,500</w:t>
            </w:r>
          </w:p>
        </w:tc>
        <w:tc>
          <w:tcPr>
            <w:tcW w:w="180" w:type="dxa"/>
            <w:vAlign w:val="bottom"/>
          </w:tcPr>
          <w:p>
            <w:pPr>
              <w:spacing w:after="0"/>
              <w:rPr>
                <w:sz w:val="18"/>
                <w:szCs w:val="18"/>
                <w:color w:val="auto"/>
              </w:rPr>
            </w:pPr>
          </w:p>
        </w:tc>
        <w:tc>
          <w:tcPr>
            <w:tcW w:w="1200" w:type="dxa"/>
            <w:vAlign w:val="bottom"/>
          </w:tcPr>
          <w:p>
            <w:pPr>
              <w:jc w:val="right"/>
              <w:ind w:right="118"/>
              <w:spacing w:after="0"/>
              <w:rPr>
                <w:sz w:val="20"/>
                <w:szCs w:val="20"/>
                <w:color w:val="auto"/>
              </w:rPr>
            </w:pPr>
            <w:r>
              <w:rPr>
                <w:rFonts w:ascii="Arial" w:cs="Arial" w:eastAsia="Arial" w:hAnsi="Arial"/>
                <w:sz w:val="17"/>
                <w:szCs w:val="17"/>
                <w:color w:val="auto"/>
              </w:rPr>
              <w:t>4,604</w:t>
            </w:r>
          </w:p>
        </w:tc>
        <w:tc>
          <w:tcPr>
            <w:tcW w:w="26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896</w:t>
            </w:r>
          </w:p>
        </w:tc>
        <w:tc>
          <w:tcPr>
            <w:tcW w:w="1360" w:type="dxa"/>
            <w:vAlign w:val="bottom"/>
          </w:tcPr>
          <w:p>
            <w:pPr>
              <w:jc w:val="right"/>
              <w:spacing w:after="0"/>
              <w:rPr>
                <w:sz w:val="20"/>
                <w:szCs w:val="20"/>
                <w:color w:val="auto"/>
              </w:rPr>
            </w:pPr>
            <w:r>
              <w:rPr>
                <w:rFonts w:ascii="Arial" w:cs="Arial" w:eastAsia="Arial" w:hAnsi="Arial"/>
                <w:sz w:val="17"/>
                <w:szCs w:val="17"/>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4,475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4,039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436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38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color w:val="auto"/>
              </w:rPr>
              <w:t>1,069</w:t>
            </w:r>
          </w:p>
        </w:tc>
        <w:tc>
          <w:tcPr>
            <w:tcW w:w="180" w:type="dxa"/>
            <w:vAlign w:val="bottom"/>
          </w:tcPr>
          <w:p>
            <w:pPr>
              <w:spacing w:after="0"/>
              <w:rPr>
                <w:sz w:val="18"/>
                <w:szCs w:val="18"/>
                <w:color w:val="auto"/>
              </w:rPr>
            </w:pPr>
          </w:p>
        </w:tc>
        <w:tc>
          <w:tcPr>
            <w:tcW w:w="1200" w:type="dxa"/>
            <w:vAlign w:val="bottom"/>
          </w:tcPr>
          <w:p>
            <w:pPr>
              <w:jc w:val="right"/>
              <w:ind w:right="118"/>
              <w:spacing w:after="0"/>
              <w:rPr>
                <w:sz w:val="20"/>
                <w:szCs w:val="20"/>
                <w:color w:val="auto"/>
              </w:rPr>
            </w:pPr>
            <w:r>
              <w:rPr>
                <w:rFonts w:ascii="Arial" w:cs="Arial" w:eastAsia="Arial" w:hAnsi="Arial"/>
                <w:sz w:val="17"/>
                <w:szCs w:val="17"/>
                <w:color w:val="auto"/>
              </w:rPr>
              <w:t>530</w:t>
            </w:r>
          </w:p>
        </w:tc>
        <w:tc>
          <w:tcPr>
            <w:tcW w:w="26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539</w:t>
            </w:r>
          </w:p>
        </w:tc>
        <w:tc>
          <w:tcPr>
            <w:tcW w:w="1360" w:type="dxa"/>
            <w:vAlign w:val="bottom"/>
          </w:tcPr>
          <w:p>
            <w:pPr>
              <w:jc w:val="right"/>
              <w:spacing w:after="0"/>
              <w:rPr>
                <w:sz w:val="20"/>
                <w:szCs w:val="20"/>
                <w:color w:val="auto"/>
              </w:rPr>
            </w:pPr>
            <w:r>
              <w:rPr>
                <w:rFonts w:ascii="Arial" w:cs="Arial" w:eastAsia="Arial" w:hAnsi="Arial"/>
                <w:sz w:val="17"/>
                <w:szCs w:val="17"/>
                <w:color w:val="auto"/>
              </w:rPr>
              <w:t>101.7%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379</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262</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117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expenses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18,496</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14,570</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3,926</w:t>
            </w:r>
          </w:p>
        </w:tc>
        <w:tc>
          <w:tcPr>
            <w:tcW w:w="1360" w:type="dxa"/>
            <w:vAlign w:val="bottom"/>
          </w:tcPr>
          <w:p>
            <w:pPr>
              <w:jc w:val="right"/>
              <w:spacing w:after="0"/>
              <w:rPr>
                <w:sz w:val="20"/>
                <w:szCs w:val="20"/>
                <w:color w:val="auto"/>
              </w:rPr>
            </w:pPr>
            <w:r>
              <w:rPr>
                <w:rFonts w:ascii="Arial" w:cs="Arial" w:eastAsia="Arial" w:hAnsi="Arial"/>
                <w:sz w:val="17"/>
                <w:szCs w:val="17"/>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Income from operations before taxes</w:t>
            </w:r>
          </w:p>
        </w:tc>
        <w:tc>
          <w:tcPr>
            <w:tcW w:w="38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color w:val="auto"/>
              </w:rPr>
              <w:t>6,118</w:t>
            </w:r>
          </w:p>
        </w:tc>
        <w:tc>
          <w:tcPr>
            <w:tcW w:w="180" w:type="dxa"/>
            <w:vAlign w:val="bottom"/>
          </w:tcPr>
          <w:p>
            <w:pPr>
              <w:spacing w:after="0"/>
              <w:rPr>
                <w:sz w:val="18"/>
                <w:szCs w:val="18"/>
                <w:color w:val="auto"/>
              </w:rPr>
            </w:pPr>
          </w:p>
        </w:tc>
        <w:tc>
          <w:tcPr>
            <w:tcW w:w="1200" w:type="dxa"/>
            <w:vAlign w:val="bottom"/>
          </w:tcPr>
          <w:p>
            <w:pPr>
              <w:jc w:val="right"/>
              <w:ind w:right="118"/>
              <w:spacing w:after="0"/>
              <w:rPr>
                <w:sz w:val="20"/>
                <w:szCs w:val="20"/>
                <w:color w:val="auto"/>
              </w:rPr>
            </w:pPr>
            <w:r>
              <w:rPr>
                <w:rFonts w:ascii="Arial" w:cs="Arial" w:eastAsia="Arial" w:hAnsi="Arial"/>
                <w:sz w:val="17"/>
                <w:szCs w:val="17"/>
                <w:color w:val="auto"/>
              </w:rPr>
              <w:t>5,258</w:t>
            </w:r>
          </w:p>
        </w:tc>
        <w:tc>
          <w:tcPr>
            <w:tcW w:w="26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860</w:t>
            </w:r>
          </w:p>
        </w:tc>
        <w:tc>
          <w:tcPr>
            <w:tcW w:w="1360" w:type="dxa"/>
            <w:vAlign w:val="bottom"/>
          </w:tcPr>
          <w:p>
            <w:pPr>
              <w:jc w:val="right"/>
              <w:spacing w:after="0"/>
              <w:rPr>
                <w:sz w:val="20"/>
                <w:szCs w:val="20"/>
                <w:color w:val="auto"/>
              </w:rPr>
            </w:pPr>
            <w:r>
              <w:rPr>
                <w:rFonts w:ascii="Arial" w:cs="Arial" w:eastAsia="Arial" w:hAnsi="Arial"/>
                <w:sz w:val="17"/>
                <w:szCs w:val="17"/>
                <w:color w:val="auto"/>
              </w:rPr>
              <w:t>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Provision for income tax</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2,044</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1,797</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247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4,074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3,461</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613</w:t>
            </w:r>
          </w:p>
        </w:tc>
        <w:tc>
          <w:tcPr>
            <w:tcW w:w="1360" w:type="dxa"/>
            <w:vAlign w:val="bottom"/>
          </w:tcPr>
          <w:p>
            <w:pPr>
              <w:jc w:val="right"/>
              <w:spacing w:after="0"/>
              <w:rPr>
                <w:sz w:val="20"/>
                <w:szCs w:val="20"/>
                <w:color w:val="auto"/>
              </w:rPr>
            </w:pPr>
            <w:r>
              <w:rPr>
                <w:rFonts w:ascii="Arial" w:cs="Arial" w:eastAsia="Arial" w:hAnsi="Arial"/>
                <w:sz w:val="17"/>
                <w:szCs w:val="17"/>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b w:val="1"/>
                <w:bCs w:val="1"/>
                <w:color w:val="auto"/>
                <w:w w:val="92"/>
              </w:rPr>
              <w:t>Three months ended September 30,</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gridSpan w:val="2"/>
          </w:tcPr>
          <w:p>
            <w:pPr>
              <w:jc w:val="right"/>
              <w:ind w:right="77"/>
              <w:spacing w:after="0" w:line="144" w:lineRule="exact"/>
              <w:rPr>
                <w:sz w:val="20"/>
                <w:szCs w:val="20"/>
                <w:color w:val="auto"/>
              </w:rPr>
            </w:pPr>
            <w:r>
              <w:rPr>
                <w:rFonts w:ascii="Arial" w:cs="Arial" w:eastAsia="Arial" w:hAnsi="Arial"/>
                <w:sz w:val="14"/>
                <w:szCs w:val="14"/>
                <w:b w:val="1"/>
                <w:bCs w:val="1"/>
                <w:color w:val="auto"/>
                <w:w w:val="97"/>
              </w:rPr>
              <w:t>Percentage Point</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200" w:type="dxa"/>
            <w:vAlign w:val="bottom"/>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Percent Change</w:t>
            </w:r>
          </w:p>
        </w:tc>
        <w:tc>
          <w:tcPr>
            <w:tcW w:w="0" w:type="dxa"/>
            <w:vAlign w:val="bottom"/>
          </w:tcPr>
          <w:p>
            <w:pPr>
              <w:spacing w:after="0"/>
              <w:rPr>
                <w:sz w:val="1"/>
                <w:szCs w:val="1"/>
                <w:color w:val="auto"/>
              </w:rPr>
            </w:pPr>
          </w:p>
        </w:tc>
      </w:tr>
      <w:tr>
        <w:trPr>
          <w:trHeight w:val="416"/>
        </w:trPr>
        <w:tc>
          <w:tcPr>
            <w:tcW w:w="5940" w:type="dxa"/>
            <w:vAlign w:val="bottom"/>
            <w:gridSpan w:val="2"/>
          </w:tcPr>
          <w:p>
            <w:pPr>
              <w:spacing w:after="0"/>
              <w:rPr>
                <w:sz w:val="20"/>
                <w:szCs w:val="20"/>
                <w:color w:val="auto"/>
              </w:rPr>
            </w:pPr>
            <w:r>
              <w:rPr>
                <w:rFonts w:ascii="Arial" w:cs="Arial" w:eastAsia="Arial" w:hAnsi="Arial"/>
                <w:sz w:val="17"/>
                <w:szCs w:val="17"/>
                <w:b w:val="1"/>
                <w:bCs w:val="1"/>
                <w:color w:val="auto"/>
              </w:rPr>
              <w:t>Key ratios:</w:t>
            </w:r>
          </w:p>
        </w:tc>
        <w:tc>
          <w:tcPr>
            <w:tcW w:w="3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ratio</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2.3</w:t>
            </w:r>
          </w:p>
        </w:tc>
        <w:tc>
          <w:tcPr>
            <w:tcW w:w="1360" w:type="dxa"/>
            <w:vAlign w:val="bottom"/>
          </w:tcPr>
          <w:p>
            <w:pPr>
              <w:jc w:val="right"/>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combined ratio</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58" w:lineRule="exact"/>
        <w:rPr>
          <w:sz w:val="20"/>
          <w:szCs w:val="20"/>
          <w:color w:val="auto"/>
        </w:rPr>
      </w:pPr>
    </w:p>
    <w:p>
      <w:pPr>
        <w:jc w:val="both"/>
        <w:ind w:firstLine="628"/>
        <w:spacing w:after="0" w:line="283" w:lineRule="auto"/>
        <w:rPr>
          <w:sz w:val="20"/>
          <w:szCs w:val="20"/>
          <w:color w:val="auto"/>
        </w:rPr>
      </w:pPr>
      <w:r>
        <w:rPr>
          <w:rFonts w:ascii="Arial" w:cs="Arial" w:eastAsia="Arial" w:hAnsi="Arial"/>
          <w:sz w:val="16"/>
          <w:szCs w:val="16"/>
          <w:color w:val="auto"/>
        </w:rPr>
        <w:t>Direct written premiums during the three months ended September 30, 2017 (“Q3-2017”) were $32,840,000 compared to $27,171,000 during the three months ended September 30, 2016 (“Q3-2016”). The increase of $5,669,000, or 20.9%, was primarily due to an increase in policies in-force during Q3-2017 as compared to Q3-2016. We wrote more new policies as a result of continued demand for our products in the markets that we serve. We believe that a large driver of our growth in new policies is attributable to our upgraded A.M. Best rating of A- that we received in April 2017. In May 2017, we started writing Homeowners’ policies in New Jersey. Policies in-force increased by 14.6% as of September 30, 2017 compared to September 30, 2016.</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The following table describes the quota share reinsurance ceding rates in effect during Q3-2017 and Q3-2016. For purposes of the discussion herein, the change in quota share ceding rates on July 1, 2017 will be referred to as “the Cut-off”. This table should be referred to in conjunction with the discussions for net written premiums, net premiums earned, ceding commission revenue and net loss and loss adjustment expenses that follow.</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3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7"/>
        </w:trPr>
        <w:tc>
          <w:tcPr>
            <w:tcW w:w="7660" w:type="dxa"/>
            <w:vAlign w:val="bottom"/>
          </w:tcPr>
          <w:p>
            <w:pPr>
              <w:spacing w:after="0"/>
              <w:rPr>
                <w:sz w:val="15"/>
                <w:szCs w:val="15"/>
                <w:color w:val="auto"/>
              </w:rPr>
            </w:pPr>
          </w:p>
        </w:tc>
        <w:tc>
          <w:tcPr>
            <w:tcW w:w="3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9"/>
        </w:trPr>
        <w:tc>
          <w:tcPr>
            <w:tcW w:w="7660" w:type="dxa"/>
            <w:vAlign w:val="bottom"/>
          </w:tcPr>
          <w:p>
            <w:pPr>
              <w:spacing w:after="0"/>
              <w:rPr>
                <w:sz w:val="16"/>
                <w:szCs w:val="16"/>
                <w:color w:val="auto"/>
              </w:rPr>
            </w:pPr>
          </w:p>
        </w:tc>
        <w:tc>
          <w:tcPr>
            <w:tcW w:w="1880" w:type="dxa"/>
            <w:vAlign w:val="bottom"/>
            <w:tcBorders>
              <w:bottom w:val="single" w:sz="8" w:color="auto"/>
            </w:tcBorders>
          </w:tcPr>
          <w:p>
            <w:pPr>
              <w:jc w:val="right"/>
              <w:ind w:right="805"/>
              <w:spacing w:after="0"/>
              <w:rPr>
                <w:sz w:val="20"/>
                <w:szCs w:val="20"/>
                <w:color w:val="auto"/>
              </w:rPr>
            </w:pPr>
            <w:r>
              <w:rPr>
                <w:rFonts w:ascii="Arial" w:cs="Arial" w:eastAsia="Arial" w:hAnsi="Arial"/>
                <w:sz w:val="14"/>
                <w:szCs w:val="14"/>
                <w:b w:val="1"/>
                <w:bCs w:val="1"/>
                <w:color w:val="auto"/>
              </w:rPr>
              <w:t>2017</w:t>
            </w:r>
          </w:p>
        </w:tc>
        <w:tc>
          <w:tcPr>
            <w:tcW w:w="18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5"/>
        </w:trPr>
        <w:tc>
          <w:tcPr>
            <w:tcW w:w="7660" w:type="dxa"/>
            <w:vAlign w:val="bottom"/>
            <w:vMerge w:val="restart"/>
          </w:tcPr>
          <w:p>
            <w:pPr>
              <w:spacing w:after="0"/>
              <w:rPr>
                <w:sz w:val="20"/>
                <w:szCs w:val="20"/>
                <w:color w:val="auto"/>
              </w:rPr>
            </w:pPr>
            <w:r>
              <w:rPr>
                <w:rFonts w:ascii="Arial" w:cs="Arial" w:eastAsia="Arial" w:hAnsi="Arial"/>
                <w:sz w:val="17"/>
                <w:szCs w:val="17"/>
                <w:b w:val="1"/>
                <w:bCs w:val="1"/>
                <w:color w:val="auto"/>
              </w:rPr>
              <w:t>Quota share reinsurance rates</w:t>
            </w:r>
          </w:p>
        </w:tc>
        <w:tc>
          <w:tcPr>
            <w:tcW w:w="1880" w:type="dxa"/>
            <w:vAlign w:val="bottom"/>
          </w:tcPr>
          <w:p>
            <w:pPr>
              <w:ind w:left="200"/>
              <w:spacing w:after="0"/>
              <w:rPr>
                <w:sz w:val="20"/>
                <w:szCs w:val="20"/>
                <w:color w:val="auto"/>
              </w:rPr>
            </w:pPr>
            <w:r>
              <w:rPr>
                <w:rFonts w:ascii="Arial" w:cs="Arial" w:eastAsia="Arial" w:hAnsi="Arial"/>
                <w:sz w:val="14"/>
                <w:szCs w:val="14"/>
                <w:b w:val="1"/>
                <w:bCs w:val="1"/>
                <w:color w:val="auto"/>
              </w:rPr>
              <w:t>("2017/2019 Treaty")</w:t>
            </w:r>
          </w:p>
        </w:tc>
        <w:tc>
          <w:tcPr>
            <w:tcW w:w="1880" w:type="dxa"/>
            <w:vAlign w:val="bottom"/>
          </w:tcPr>
          <w:p>
            <w:pPr>
              <w:ind w:left="380"/>
              <w:spacing w:after="0"/>
              <w:rPr>
                <w:sz w:val="20"/>
                <w:szCs w:val="20"/>
                <w:color w:val="auto"/>
              </w:rPr>
            </w:pPr>
            <w:r>
              <w:rPr>
                <w:rFonts w:ascii="Arial" w:cs="Arial" w:eastAsia="Arial" w:hAnsi="Arial"/>
                <w:sz w:val="14"/>
                <w:szCs w:val="14"/>
                <w:b w:val="1"/>
                <w:bCs w:val="1"/>
                <w:color w:val="auto"/>
              </w:rPr>
              <w:t>("2016/2017 Treaty")</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Personal lines</w:t>
            </w:r>
          </w:p>
        </w:tc>
        <w:tc>
          <w:tcPr>
            <w:tcW w:w="1880" w:type="dxa"/>
            <w:vAlign w:val="bottom"/>
            <w:shd w:val="clear" w:color="auto" w:fill="CCEEFF"/>
          </w:tcPr>
          <w:p>
            <w:pPr>
              <w:jc w:val="right"/>
              <w:ind w:right="805"/>
              <w:spacing w:after="0"/>
              <w:rPr>
                <w:sz w:val="20"/>
                <w:szCs w:val="20"/>
                <w:color w:val="auto"/>
              </w:rPr>
            </w:pPr>
            <w:r>
              <w:rPr>
                <w:rFonts w:ascii="Arial" w:cs="Arial" w:eastAsia="Arial" w:hAnsi="Arial"/>
                <w:sz w:val="17"/>
                <w:szCs w:val="17"/>
                <w:color w:val="auto"/>
              </w:rPr>
              <w:t>20%</w:t>
            </w:r>
          </w:p>
        </w:tc>
        <w:tc>
          <w:tcPr>
            <w:tcW w:w="1880" w:type="dxa"/>
            <w:vAlign w:val="bottom"/>
            <w:shd w:val="clear" w:color="auto" w:fill="CCEEFF"/>
          </w:tcPr>
          <w:p>
            <w:pPr>
              <w:jc w:val="right"/>
              <w:ind w:right="624"/>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“Reinsurance” below for changes to our personal lines quota share treaty effective July 1, 2017.</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written premiums increased $15,029,000, or 87.2%, to $32,261,000 in Q3-2017 from $17,232,000 in Q3-2016.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Change in quota share ceding rate</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Effective July 1, 2017, we decreased the quota share ceding rate in our personal lines quota share treaty from 40% to 20%. The Cut-off of this treaty on July 1, 2017 resulted in a $7,140,000 return of unearned premiums from our reinsurers that were previously ceded under the expiring personal lines quota share treaty. We did not change our quota share ceding rate on July 1, 2016, and accordingly, there was no return of unearned premiums from our reinsurers (in contrast with what occurred on July 1, 2017), thus magnifying the percentage increase in net written premiums in Q3-2017. The table below shows the effect of the $7,140,000 return of ceded premiums on net written premiums for Q3-2017:</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4"/>
                <w:szCs w:val="14"/>
                <w:b w:val="1"/>
                <w:bCs w:val="1"/>
                <w:color w:val="auto"/>
                <w:w w:val="92"/>
              </w:rPr>
              <w:t>Three months ended September 30,</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8"/>
              <w:spacing w:after="0" w:line="157"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0"/>
              <w:spacing w:after="0" w:line="15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ind w:left="440"/>
              <w:spacing w:after="0" w:line="157" w:lineRule="exact"/>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written premiums</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32,261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17,232</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15,029</w:t>
            </w:r>
          </w:p>
        </w:tc>
        <w:tc>
          <w:tcPr>
            <w:tcW w:w="1360" w:type="dxa"/>
            <w:vAlign w:val="bottom"/>
            <w:shd w:val="clear" w:color="auto" w:fill="CCEEFF"/>
          </w:tcPr>
          <w:p>
            <w:pPr>
              <w:jc w:val="center"/>
              <w:ind w:left="838"/>
              <w:spacing w:after="0"/>
              <w:rPr>
                <w:sz w:val="20"/>
                <w:szCs w:val="20"/>
                <w:color w:val="auto"/>
              </w:rPr>
            </w:pPr>
            <w:r>
              <w:rPr>
                <w:rFonts w:ascii="Arial" w:cs="Arial" w:eastAsia="Arial" w:hAnsi="Arial"/>
                <w:sz w:val="17"/>
                <w:szCs w:val="17"/>
                <w:color w:val="auto"/>
                <w:w w:val="91"/>
              </w:rPr>
              <w:t>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0"/>
              <w:spacing w:after="0"/>
              <w:rPr>
                <w:sz w:val="20"/>
                <w:szCs w:val="20"/>
                <w:color w:val="auto"/>
              </w:rPr>
            </w:pPr>
            <w:r>
              <w:rPr>
                <w:rFonts w:ascii="Arial" w:cs="Arial" w:eastAsia="Arial" w:hAnsi="Arial"/>
                <w:sz w:val="17"/>
                <w:szCs w:val="17"/>
                <w:color w:val="auto"/>
              </w:rPr>
              <w:t>Return of premiums previously ceded to prior quota share treaties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7,140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7,140</w:t>
            </w:r>
          </w:p>
        </w:tc>
        <w:tc>
          <w:tcPr>
            <w:tcW w:w="1360" w:type="dxa"/>
            <w:vAlign w:val="bottom"/>
          </w:tcPr>
          <w:p>
            <w:pPr>
              <w:jc w:val="center"/>
              <w:ind w:left="838"/>
              <w:spacing w:after="0"/>
              <w:rPr>
                <w:sz w:val="20"/>
                <w:szCs w:val="20"/>
                <w:color w:val="auto"/>
              </w:rPr>
            </w:pPr>
            <w:r>
              <w:rPr>
                <w:rFonts w:ascii="Arial" w:cs="Arial" w:eastAsia="Arial" w:hAnsi="Arial"/>
                <w:sz w:val="17"/>
                <w:szCs w:val="17"/>
                <w:color w:val="auto"/>
                <w:w w:val="84"/>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written premiums without the effect of the July 1, 2017 Cut-off</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25,121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17,232</w:t>
            </w:r>
          </w:p>
        </w:tc>
        <w:tc>
          <w:tcPr>
            <w:tcW w:w="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7,889</w:t>
            </w:r>
          </w:p>
        </w:tc>
        <w:tc>
          <w:tcPr>
            <w:tcW w:w="1360" w:type="dxa"/>
            <w:vAlign w:val="bottom"/>
            <w:tcBorders>
              <w:bottom w:val="single" w:sz="8" w:color="CCEEFF"/>
            </w:tcBorders>
            <w:shd w:val="clear" w:color="auto" w:fill="CCEEFF"/>
          </w:tcPr>
          <w:p>
            <w:pPr>
              <w:jc w:val="center"/>
              <w:ind w:left="838"/>
              <w:spacing w:after="0"/>
              <w:rPr>
                <w:sz w:val="20"/>
                <w:szCs w:val="20"/>
                <w:color w:val="auto"/>
              </w:rPr>
            </w:pPr>
            <w:r>
              <w:rPr>
                <w:rFonts w:ascii="Arial" w:cs="Arial" w:eastAsia="Arial" w:hAnsi="Arial"/>
                <w:sz w:val="17"/>
                <w:szCs w:val="17"/>
                <w:color w:val="auto"/>
                <w:w w:val="91"/>
              </w:rPr>
              <w:t>45.8%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right="560"/>
        <w:spacing w:after="0" w:line="433" w:lineRule="auto"/>
        <w:rPr>
          <w:sz w:val="20"/>
          <w:szCs w:val="20"/>
          <w:color w:val="auto"/>
        </w:rPr>
      </w:pPr>
      <w:r>
        <w:rPr>
          <w:rFonts w:ascii="Arial" w:cs="Arial" w:eastAsia="Arial" w:hAnsi="Arial"/>
          <w:sz w:val="17"/>
          <w:szCs w:val="17"/>
          <w:color w:val="auto"/>
        </w:rPr>
        <w:t xml:space="preserve">Without the $7,140,000 effect of the Cut-off in Q3-2017, net written premiums increased by $7,889,000, or 45.8%, in Q3-2017 compared to Q3-2016. </w:t>
      </w:r>
      <w:r>
        <w:rPr>
          <w:rFonts w:ascii="Arial" w:cs="Arial" w:eastAsia="Arial" w:hAnsi="Arial"/>
          <w:sz w:val="17"/>
          <w:szCs w:val="17"/>
          <w:i w:val="1"/>
          <w:iCs w:val="1"/>
          <w:color w:val="auto"/>
        </w:rPr>
        <w:t>Excess of loss reinsurance treaties</w:t>
      </w:r>
    </w:p>
    <w:p>
      <w:pPr>
        <w:spacing w:after="0" w:line="1"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An increase in written premiums will also increase the premiums ceded under our excess of loss treaties, which incrementally reduces our net written premiums. In Q3-2017, our ceded excess of loss reinsurance premiums decreased by $162,000 over the comparable ceded premiums for Q3-2016. The decrease was due to more favorable reinsurance rates in Q3-2017, partially offset by an increase in premiums subject to excess of loss reinsurance.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48" w:name="page49"/>
    <w:bookmarkEnd w:id="48"/>
    <w:p>
      <w:pPr>
        <w:ind w:left="640"/>
        <w:spacing w:after="0"/>
        <w:rPr>
          <w:sz w:val="20"/>
          <w:szCs w:val="20"/>
          <w:color w:val="auto"/>
        </w:rPr>
      </w:pPr>
      <w:r>
        <w:rPr>
          <w:rFonts w:ascii="Arial" w:cs="Arial" w:eastAsia="Arial" w:hAnsi="Arial"/>
          <w:sz w:val="17"/>
          <w:szCs w:val="17"/>
          <w:i w:val="1"/>
          <w:iCs w:val="1"/>
          <w:color w:val="auto"/>
        </w:rPr>
        <w:t>Catastrophe reinsurance treaty</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In Q3-2017, our catastrophe reinsurance premiums increased by $402,000 over the comparable ceded premiums for Q3-2016. The increase was due to an increase in our catastrophe coverage and an increase in premiums subject to catastrophe reinsurance, partially offset by more favorable reinsurance rates in Q3-2017.</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ceded catastrophe premiums are paid based on the total direct written premiums subject to the catastrophe reinsurance treaty.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premiums earned increased $5,868,000, or 37.5%, to $21,514,000 in Q3-2017 from $15,646,000 in Q3-2016. The increase was due to the increase in written premiums discussed above and to increased retention effective July 1, 2017, as a result of the reduction of the quota share percentage in our personal lines quota share treaty. The decrease in our quota share ceding percentage from the July 1, 2017 Cut-off gave us a $7,140,000 return of premiums previously ceded, which led to an increase in our net premiums earned during the period after the Cut-off.</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Q3-2017 and Q3-2016. This table should be referred to in conjunction with the discussion for ceding commission revenue that follows.</w:t>
      </w:r>
    </w:p>
    <w:p>
      <w:pPr>
        <w:spacing w:after="0" w:line="100"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spacing w:after="0" w:line="5"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88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4"/>
                <w:szCs w:val="14"/>
                <w:b w:val="1"/>
                <w:bCs w:val="1"/>
                <w:color w:val="auto"/>
              </w:rPr>
              <w:t>2017</w:t>
            </w:r>
          </w:p>
        </w:tc>
        <w:tc>
          <w:tcPr>
            <w:tcW w:w="188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6"/>
        </w:trPr>
        <w:tc>
          <w:tcPr>
            <w:tcW w:w="76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1880" w:type="dxa"/>
            <w:vAlign w:val="bottom"/>
          </w:tcPr>
          <w:p>
            <w:pPr>
              <w:ind w:left="200"/>
              <w:spacing w:after="0"/>
              <w:rPr>
                <w:sz w:val="20"/>
                <w:szCs w:val="20"/>
                <w:color w:val="auto"/>
              </w:rPr>
            </w:pPr>
            <w:r>
              <w:rPr>
                <w:rFonts w:ascii="Arial" w:cs="Arial" w:eastAsia="Arial" w:hAnsi="Arial"/>
                <w:sz w:val="14"/>
                <w:szCs w:val="14"/>
                <w:b w:val="1"/>
                <w:bCs w:val="1"/>
                <w:color w:val="auto"/>
              </w:rPr>
              <w:t>("2017/2019 Treaty")</w:t>
            </w:r>
          </w:p>
        </w:tc>
        <w:tc>
          <w:tcPr>
            <w:tcW w:w="1880" w:type="dxa"/>
            <w:vAlign w:val="bottom"/>
          </w:tcPr>
          <w:p>
            <w:pPr>
              <w:ind w:left="380"/>
              <w:spacing w:after="0"/>
              <w:rPr>
                <w:sz w:val="20"/>
                <w:szCs w:val="20"/>
                <w:color w:val="auto"/>
              </w:rPr>
            </w:pPr>
            <w:r>
              <w:rPr>
                <w:rFonts w:ascii="Arial" w:cs="Arial" w:eastAsia="Arial" w:hAnsi="Arial"/>
                <w:sz w:val="14"/>
                <w:szCs w:val="14"/>
                <w:b w:val="1"/>
                <w:bCs w:val="1"/>
                <w:color w:val="auto"/>
              </w:rPr>
              <w:t>("2016/2017 Treaty")</w:t>
            </w:r>
          </w:p>
        </w:tc>
        <w:tc>
          <w:tcPr>
            <w:tcW w:w="0" w:type="dxa"/>
            <w:vAlign w:val="bottom"/>
          </w:tcPr>
          <w:p>
            <w:pPr>
              <w:spacing w:after="0"/>
              <w:rPr>
                <w:sz w:val="1"/>
                <w:szCs w:val="1"/>
                <w:color w:val="auto"/>
              </w:rPr>
            </w:pPr>
          </w:p>
        </w:tc>
      </w:tr>
      <w:tr>
        <w:trPr>
          <w:trHeight w:val="179"/>
        </w:trPr>
        <w:tc>
          <w:tcPr>
            <w:tcW w:w="766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Personal lines</w:t>
            </w:r>
          </w:p>
        </w:tc>
        <w:tc>
          <w:tcPr>
            <w:tcW w:w="1880" w:type="dxa"/>
            <w:vAlign w:val="bottom"/>
            <w:shd w:val="clear" w:color="auto" w:fill="CCEEFF"/>
          </w:tcPr>
          <w:p>
            <w:pPr>
              <w:jc w:val="right"/>
              <w:ind w:right="804"/>
              <w:spacing w:after="0"/>
              <w:rPr>
                <w:sz w:val="20"/>
                <w:szCs w:val="20"/>
                <w:color w:val="auto"/>
              </w:rPr>
            </w:pPr>
            <w:r>
              <w:rPr>
                <w:rFonts w:ascii="Arial" w:cs="Arial" w:eastAsia="Arial" w:hAnsi="Arial"/>
                <w:sz w:val="17"/>
                <w:szCs w:val="17"/>
                <w:color w:val="auto"/>
              </w:rPr>
              <w:t>53%</w:t>
            </w:r>
          </w:p>
        </w:tc>
        <w:tc>
          <w:tcPr>
            <w:tcW w:w="1880" w:type="dxa"/>
            <w:vAlign w:val="bottom"/>
            <w:shd w:val="clear" w:color="auto" w:fill="CCEEFF"/>
          </w:tcPr>
          <w:p>
            <w:pPr>
              <w:jc w:val="right"/>
              <w:ind w:right="624"/>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4"/>
                <w:szCs w:val="14"/>
                <w:b w:val="1"/>
                <w:bCs w:val="1"/>
                <w:color w:val="auto"/>
                <w:w w:val="92"/>
              </w:rPr>
              <w:t>Three months ended September 30,</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478"/>
              <w:spacing w:after="0" w:line="157"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160" w:type="dxa"/>
            <w:vAlign w:val="bottom"/>
          </w:tcPr>
          <w:p>
            <w:pPr>
              <w:jc w:val="right"/>
              <w:ind w:right="500"/>
              <w:spacing w:after="0" w:line="157"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040" w:type="dxa"/>
            <w:vAlign w:val="bottom"/>
          </w:tcPr>
          <w:p>
            <w:pPr>
              <w:jc w:val="right"/>
              <w:ind w:right="358"/>
              <w:spacing w:after="0" w:line="157" w:lineRule="exact"/>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358"/>
              <w:spacing w:after="0" w:line="157" w:lineRule="exact"/>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1,922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3,186</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(204)</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(251)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47</w:t>
            </w:r>
          </w:p>
        </w:tc>
        <w:tc>
          <w:tcPr>
            <w:tcW w:w="1360" w:type="dxa"/>
            <w:vAlign w:val="bottom"/>
          </w:tcPr>
          <w:p>
            <w:pPr>
              <w:jc w:val="right"/>
              <w:spacing w:after="0"/>
              <w:rPr>
                <w:sz w:val="20"/>
                <w:szCs w:val="20"/>
                <w:color w:val="auto"/>
              </w:rPr>
            </w:pPr>
            <w:r>
              <w:rPr>
                <w:rFonts w:ascii="Arial" w:cs="Arial" w:eastAsia="Arial" w:hAnsi="Arial"/>
                <w:sz w:val="17"/>
                <w:szCs w:val="17"/>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1,718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rPr>
              <w:t>2,935</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w:t>
            </w:r>
          </w:p>
        </w:tc>
        <w:tc>
          <w:tcPr>
            <w:tcW w:w="1360" w:type="dxa"/>
            <w:vAlign w:val="bottom"/>
          </w:tcPr>
          <w:p>
            <w:pPr>
              <w:jc w:val="right"/>
              <w:spacing w:after="0"/>
              <w:rPr>
                <w:sz w:val="20"/>
                <w:szCs w:val="20"/>
                <w:color w:val="auto"/>
              </w:rPr>
            </w:pPr>
            <w:r>
              <w:rPr>
                <w:rFonts w:ascii="Arial" w:cs="Arial" w:eastAsia="Arial" w:hAnsi="Arial"/>
                <w:sz w:val="17"/>
                <w:szCs w:val="17"/>
                <w:color w:val="auto"/>
              </w:rPr>
              <w:t>(41.5)%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firstLine="628"/>
        <w:spacing w:after="0" w:line="281" w:lineRule="auto"/>
        <w:rPr>
          <w:sz w:val="20"/>
          <w:szCs w:val="20"/>
          <w:color w:val="auto"/>
        </w:rPr>
      </w:pPr>
      <w:r>
        <w:rPr>
          <w:rFonts w:ascii="Arial" w:cs="Arial" w:eastAsia="Arial" w:hAnsi="Arial"/>
          <w:sz w:val="17"/>
          <w:szCs w:val="17"/>
          <w:color w:val="auto"/>
        </w:rPr>
        <w:t>Ceding commission revenue was $1,718,000 in Q3-2017 compared to $2,935,000 in Q3-2016. The decrease of $1,217,000, or 41.5%, was due to a decrease in provisional ceding commissions earned, partially offset by a reduction in negative contingent ceding commissions earned.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9" w:name="page50"/>
    <w:bookmarkEnd w:id="49"/>
    <w:p>
      <w:pPr>
        <w:ind w:left="68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8" w:lineRule="exact"/>
        <w:rPr>
          <w:sz w:val="20"/>
          <w:szCs w:val="20"/>
          <w:color w:val="auto"/>
        </w:rPr>
      </w:pPr>
    </w:p>
    <w:p>
      <w:pPr>
        <w:jc w:val="both"/>
        <w:ind w:firstLine="628"/>
        <w:spacing w:after="0" w:line="306" w:lineRule="auto"/>
        <w:rPr>
          <w:sz w:val="20"/>
          <w:szCs w:val="20"/>
          <w:color w:val="auto"/>
        </w:rPr>
      </w:pPr>
      <w:r>
        <w:rPr>
          <w:rFonts w:ascii="Arial" w:cs="Arial" w:eastAsia="Arial" w:hAnsi="Arial"/>
          <w:sz w:val="15"/>
          <w:szCs w:val="15"/>
          <w:color w:val="auto"/>
        </w:rPr>
        <w:t>We receive a provisional ceding commission based on ceded written premiums. In Q3-2017 our provisional ceding rate was 53% effective July 1, 2017 under the 2017/2019 Treaty. In Q3-2016 our provisional ceding rate was 52% effective July 1, 2016 under the 2016/2017 Treaty. The $1,264,000 decrease in provisional ceding commissions earned is primarily due to the decrease in quota share ceding rate effective July 1, 2017 to 20%, from the 40% rate in effect during Q3-2016; thus there was less ceded premiums in Q3-2017 available to earn ceding commissions than there was in Q3-2016. The decrease was partially offset by an increase in personal lines direct written premiums subject to the quota share and by the increase in our provisional ceding commission rate as discussed above.</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treaties detailed in the table above that were in effect during Q3-2017 are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 under those treaties.</w:t>
      </w:r>
    </w:p>
    <w:p>
      <w:pPr>
        <w:spacing w:after="0" w:line="119" w:lineRule="exact"/>
        <w:rPr>
          <w:sz w:val="20"/>
          <w:szCs w:val="20"/>
          <w:color w:val="auto"/>
        </w:rPr>
      </w:pPr>
    </w:p>
    <w:p>
      <w:pPr>
        <w:jc w:val="both"/>
        <w:ind w:firstLine="628"/>
        <w:spacing w:after="0" w:line="283" w:lineRule="auto"/>
        <w:rPr>
          <w:sz w:val="20"/>
          <w:szCs w:val="20"/>
          <w:color w:val="auto"/>
        </w:rPr>
      </w:pPr>
      <w:r>
        <w:rPr>
          <w:rFonts w:ascii="Arial" w:cs="Arial" w:eastAsia="Arial" w:hAnsi="Arial"/>
          <w:sz w:val="16"/>
          <w:szCs w:val="16"/>
          <w:color w:val="auto"/>
        </w:rPr>
        <w:t>The 2017/2019 Treaty and 2016/2017 Treaty structure limits the amount of contingent ceding commissions that we can receive by setting the provisional commission rate higher than the rates we received in prior years. As a result of the higher upfront provisional ceding commissions that we receive, there is only a limited opportunity to earn contingent ceding commissions under these treaties. Under the current “net” treaty structure, catastrophe losses in excess of the $5,000,000 retention will fall outside of the quota share treaty and such losses will not have an impact on contingent ceding commissions, as was the case under previous “gross” treaties. See “Reinsurance” below for changes to our personal lines quota share effective July 1, 2017.</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Investment Income</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investment income was $1,033,000 in Q3-2017 compared to $709,000 in Q3-2016. The increase of $324,000, or 45.7%, was due to an increase in average invested assets in Q3-2017. The average yield on invested assets was 3.63% as of September 30, 2017 compared to 3.90% as of September 30, 2016. The pre-tax equivalent yield on invested assets was 3.84% and 4.17% as of September 30, 2017 and 2016, respectively.</w:t>
      </w:r>
    </w:p>
    <w:p>
      <w:pPr>
        <w:spacing w:after="0" w:line="114"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Cash and invested assets were $155,738,000 as of September 30, 2017, compared to $108,968,000 as of September 30, 2016. The $46,770,000 increase in cash and invested assets resulted primarily from the net proceeds of approximately $30,137,000 that we received in January and February 2017 from our public offering and increased operating cash flows for the period after September 30,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income was $328,000 in Q3-2017 compared to $297,000 in Q3-2016. The increase of $31,000, or 10.4%, was primarily due to an increase in installment and finance fees earned in our insurance underwriting business.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auto"/>
        </w:rPr>
        <w:t>Net Loss and LAE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$7,073,000 in Q3-2017 compared to $5,135,000 in Q3-2016. The net loss ratio was 32.9% in Q3-2017 compared to 32.8% in Q3-2016, an increase of 0.1 percentage points.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graph summarizes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105410</wp:posOffset>
            </wp:positionV>
            <wp:extent cx="3970020" cy="3696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70020"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During Q3-2017, the net loss ratio was relatively stable compared to Q3-2016, increasing 0.1 points to 32.9% from 32.8% in Q3-2016. The core loss ratio excluding the impact of severe winter weather and prior year loss development was 33.1% in Q3-2017 compared to 33.2% in Q3-2016, or a decrease of 0.1 points. The small decrease is driven by continued improvements in claim frequency for personal lines. In addition, we recorded 0.2 points of favorable prior year loss development in Q3-2017, compared to 0.4 points of favorable development in Q3-2016, or a reduction in the impact of favorable prior year development of 0.2 points. There was no impact from severe winter weather recorded in either Q3-2017 or Q3-2016.</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Commission expense was $5,500,000 in Q3-2017 or 19.3% of direct earned premiums. Commission expense was $4,604,000 in Q3-2016 or 18.5% of direct earned premiums. The increase of $896,000 is due to the increase in direct earned premiums in Q3-2017 as compared to Q3-2016.</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Other underwriting expenses were $4,475,000 in Q3-2017 compared to $4,039,000 in Q3-2016. The increase of $436,000, or 10.8%, was primarily due to expenses related to growth in direct written premiums. We are also incurring expenses related to expansion into the states where we are newly licensed to write business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were $212,000 in Q3-2017 compared to $160,000 in Q3-2016. The increase of $52,000 includes the costs of salaries and employment costs, professional fees, IT and data services specifically attributable to the expansion into new states.</w:t>
      </w:r>
    </w:p>
    <w:p>
      <w:pPr>
        <w:spacing w:after="0" w:line="107" w:lineRule="exact"/>
        <w:rPr>
          <w:sz w:val="20"/>
          <w:szCs w:val="20"/>
          <w:color w:val="auto"/>
        </w:rPr>
      </w:pPr>
    </w:p>
    <w:p>
      <w:pPr>
        <w:jc w:val="both"/>
        <w:ind w:firstLine="628"/>
        <w:spacing w:after="0" w:line="301" w:lineRule="auto"/>
        <w:rPr>
          <w:sz w:val="20"/>
          <w:szCs w:val="20"/>
          <w:color w:val="auto"/>
        </w:rPr>
      </w:pPr>
      <w:r>
        <w:rPr>
          <w:rFonts w:ascii="Arial" w:cs="Arial" w:eastAsia="Arial" w:hAnsi="Arial"/>
          <w:sz w:val="15"/>
          <w:szCs w:val="15"/>
          <w:color w:val="auto"/>
        </w:rPr>
        <w:t>Salaries and employment costs, excluding Expansion Expenses costs discussed above, were $1,946,000 in Q3-2017 compared to $1,795,000 in Q3-2016. The increase of $151,000, or 8.4%, was less than the 20.9% increase in overall direct premiums written, which is not yet materially affected by our expansion business. Our employee bonus plan is aligned with our year to date combined ratio. The lower the year to date combined ratio, the greater the bonus percentage that our employees receive relative to their annual salaries. The year to date combined ratio has decreased by 2.2 percentage points through Q3-2017, resulting in a $52,000 increase in the Q3-2017 accrued bonus. The remaining increase in employment costs was due to hiring of additional staff to service our current level of business and anticipated growth in volume as well as annual rate increases in salaries. Other underwriting expenses as a percentage of direct written premiums decreased to 13.6% in Q3-2017 from 14.9% in Q3-2016. Other underwriting expenses as a percentage of direct premiums earned decreased to 15.7% in Q3-2017 compared to 16.2% in Q3-2016.</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1" w:name="page52"/>
    <w:bookmarkEnd w:id="51"/>
    <w:p>
      <w:pPr>
        <w:jc w:val="both"/>
        <w:ind w:firstLine="728"/>
        <w:spacing w:after="0" w:line="265" w:lineRule="auto"/>
        <w:rPr>
          <w:sz w:val="20"/>
          <w:szCs w:val="20"/>
          <w:color w:val="auto"/>
        </w:rPr>
      </w:pPr>
      <w:r>
        <w:rPr>
          <w:rFonts w:ascii="Arial" w:cs="Arial" w:eastAsia="Arial" w:hAnsi="Arial"/>
          <w:sz w:val="17"/>
          <w:szCs w:val="17"/>
          <w:color w:val="auto"/>
        </w:rPr>
        <w:t>Other underwriting expenses as a percentage of net premiums earned was 20.8% in Q3-2017 compared to 25.9% in Q3-2016. The table below provides an analysis of the significant components of the 5.1 percentage point decrease. Our net underwriting expense ratio, including the impact of ceding commissions, was 36.9% in Q3-2017, compared with 34.6% in Q3-2016. The following table shows the individual components of our net underwriting expense ratio for the periods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880" w:type="dxa"/>
            <w:vAlign w:val="bottom"/>
            <w:gridSpan w:val="3"/>
          </w:tcPr>
          <w:p>
            <w:pPr>
              <w:jc w:val="right"/>
              <w:ind w:right="740"/>
              <w:spacing w:after="0"/>
              <w:rPr>
                <w:sz w:val="20"/>
                <w:szCs w:val="20"/>
                <w:color w:val="auto"/>
              </w:rPr>
            </w:pPr>
            <w:r>
              <w:rPr>
                <w:rFonts w:ascii="Arial" w:cs="Arial" w:eastAsia="Arial" w:hAnsi="Arial"/>
                <w:sz w:val="17"/>
                <w:szCs w:val="17"/>
                <w:b w:val="1"/>
                <w:bCs w:val="1"/>
                <w:color w:val="auto"/>
              </w:rPr>
              <w:t>Three months ended</w:t>
            </w:r>
          </w:p>
        </w:tc>
        <w:tc>
          <w:tcPr>
            <w:tcW w:w="1220" w:type="dxa"/>
            <w:vAlign w:val="bottom"/>
          </w:tcPr>
          <w:p>
            <w:pPr>
              <w:spacing w:after="0"/>
              <w:rPr>
                <w:sz w:val="18"/>
                <w:szCs w:val="18"/>
                <w:color w:val="auto"/>
              </w:rPr>
            </w:pPr>
          </w:p>
        </w:tc>
      </w:tr>
      <w:tr>
        <w:trPr>
          <w:trHeight w:val="228"/>
        </w:trPr>
        <w:tc>
          <w:tcPr>
            <w:tcW w:w="7320" w:type="dxa"/>
            <w:vAlign w:val="bottom"/>
          </w:tcPr>
          <w:p>
            <w:pPr>
              <w:spacing w:after="0"/>
              <w:rPr>
                <w:sz w:val="19"/>
                <w:szCs w:val="19"/>
                <w:color w:val="auto"/>
              </w:rPr>
            </w:pPr>
          </w:p>
        </w:tc>
        <w:tc>
          <w:tcPr>
            <w:tcW w:w="2880" w:type="dxa"/>
            <w:vAlign w:val="bottom"/>
            <w:gridSpan w:val="3"/>
          </w:tcPr>
          <w:p>
            <w:pPr>
              <w:jc w:val="right"/>
              <w:ind w:right="960"/>
              <w:spacing w:after="0"/>
              <w:rPr>
                <w:sz w:val="20"/>
                <w:szCs w:val="20"/>
                <w:color w:val="auto"/>
              </w:rPr>
            </w:pPr>
            <w:r>
              <w:rPr>
                <w:rFonts w:ascii="Arial" w:cs="Arial" w:eastAsia="Arial" w:hAnsi="Arial"/>
                <w:sz w:val="17"/>
                <w:szCs w:val="17"/>
                <w:b w:val="1"/>
                <w:bCs w:val="1"/>
                <w:color w:val="auto"/>
              </w:rPr>
              <w:t>September 30,</w:t>
            </w:r>
          </w:p>
        </w:tc>
        <w:tc>
          <w:tcPr>
            <w:tcW w:w="1220" w:type="dxa"/>
            <w:vAlign w:val="bottom"/>
          </w:tcPr>
          <w:p>
            <w:pPr>
              <w:jc w:val="right"/>
              <w:ind w:right="195"/>
              <w:spacing w:after="0"/>
              <w:rPr>
                <w:sz w:val="20"/>
                <w:szCs w:val="20"/>
                <w:color w:val="auto"/>
              </w:rPr>
            </w:pPr>
            <w:r>
              <w:rPr>
                <w:rFonts w:ascii="Arial" w:cs="Arial" w:eastAsia="Arial" w:hAnsi="Arial"/>
                <w:sz w:val="17"/>
                <w:szCs w:val="17"/>
                <w:b w:val="1"/>
                <w:bCs w:val="1"/>
                <w:color w:val="auto"/>
              </w:rPr>
              <w:t>Percentage</w:t>
            </w:r>
          </w:p>
        </w:tc>
      </w:tr>
      <w:tr>
        <w:trPr>
          <w:trHeight w:val="215"/>
        </w:trPr>
        <w:tc>
          <w:tcPr>
            <w:tcW w:w="732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2017</w:t>
            </w: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4"/>
              </w:rPr>
              <w:t>Point Change</w:t>
            </w:r>
          </w:p>
        </w:tc>
      </w:tr>
      <w:tr>
        <w:trPr>
          <w:trHeight w:val="209"/>
        </w:trPr>
        <w:tc>
          <w:tcPr>
            <w:tcW w:w="7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Ceding commission revenue - provisional</w:t>
            </w: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11.5</w:t>
            </w:r>
          </w:p>
        </w:tc>
      </w:tr>
      <w:tr>
        <w:trPr>
          <w:trHeight w:val="209"/>
        </w:trPr>
        <w:tc>
          <w:tcPr>
            <w:tcW w:w="7320" w:type="dxa"/>
            <w:vAlign w:val="bottom"/>
          </w:tcPr>
          <w:p>
            <w:pPr>
              <w:ind w:left="40"/>
              <w:spacing w:after="0"/>
              <w:rPr>
                <w:sz w:val="20"/>
                <w:szCs w:val="20"/>
                <w:color w:val="auto"/>
              </w:rPr>
            </w:pPr>
            <w:r>
              <w:rPr>
                <w:rFonts w:ascii="Arial" w:cs="Arial" w:eastAsia="Arial" w:hAnsi="Arial"/>
                <w:sz w:val="17"/>
                <w:szCs w:val="17"/>
                <w:color w:val="auto"/>
              </w:rPr>
              <w:t>Ceding commission revenue - contingent</w:t>
            </w:r>
          </w:p>
        </w:tc>
        <w:tc>
          <w:tcPr>
            <w:tcW w:w="1660" w:type="dxa"/>
            <w:vAlign w:val="bottom"/>
          </w:tcPr>
          <w:p>
            <w:pPr>
              <w:jc w:val="right"/>
              <w:ind w:right="335"/>
              <w:spacing w:after="0"/>
              <w:rPr>
                <w:sz w:val="20"/>
                <w:szCs w:val="20"/>
                <w:color w:val="auto"/>
              </w:rPr>
            </w:pPr>
            <w:r>
              <w:rPr>
                <w:rFonts w:ascii="Arial" w:cs="Arial" w:eastAsia="Arial" w:hAnsi="Arial"/>
                <w:sz w:val="17"/>
                <w:szCs w:val="17"/>
                <w:color w:val="auto"/>
              </w:rPr>
              <w:t>0.9</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166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0.4</w:t>
            </w:r>
          </w:p>
        </w:tc>
      </w:tr>
      <w:tr>
        <w:trPr>
          <w:trHeight w:val="209"/>
        </w:trPr>
        <w:tc>
          <w:tcPr>
            <w:tcW w:w="7320" w:type="dxa"/>
            <w:vAlign w:val="bottom"/>
          </w:tcPr>
          <w:p>
            <w:pPr>
              <w:ind w:left="80"/>
              <w:spacing w:after="0"/>
              <w:rPr>
                <w:sz w:val="20"/>
                <w:szCs w:val="20"/>
                <w:color w:val="auto"/>
              </w:rPr>
            </w:pPr>
            <w:r>
              <w:rPr>
                <w:rFonts w:ascii="Arial" w:cs="Arial" w:eastAsia="Arial" w:hAnsi="Arial"/>
                <w:sz w:val="17"/>
                <w:szCs w:val="17"/>
                <w:color w:val="auto"/>
              </w:rPr>
              <w:t>Acquisition costs and other underwriting expenses:</w:t>
            </w: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Commission expense</w:t>
            </w:r>
          </w:p>
        </w:tc>
        <w:tc>
          <w:tcPr>
            <w:tcW w:w="166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25.6</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29.4</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5"/>
        </w:trPr>
        <w:tc>
          <w:tcPr>
            <w:tcW w:w="7320" w:type="dxa"/>
            <w:vAlign w:val="bottom"/>
          </w:tcPr>
          <w:p>
            <w:pPr>
              <w:spacing w:after="0"/>
              <w:rPr>
                <w:sz w:val="18"/>
                <w:szCs w:val="18"/>
                <w:color w:val="auto"/>
              </w:rPr>
            </w:pPr>
          </w:p>
        </w:tc>
        <w:tc>
          <w:tcPr>
            <w:tcW w:w="16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16.1</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7.4</w:t>
            </w:r>
          </w:p>
        </w:tc>
      </w:tr>
      <w:tr>
        <w:trPr>
          <w:trHeight w:val="209"/>
        </w:trPr>
        <w:tc>
          <w:tcPr>
            <w:tcW w:w="7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9"/>
        </w:trPr>
        <w:tc>
          <w:tcPr>
            <w:tcW w:w="7320" w:type="dxa"/>
            <w:vAlign w:val="bottom"/>
          </w:tcPr>
          <w:p>
            <w:pPr>
              <w:ind w:left="360"/>
              <w:spacing w:after="0"/>
              <w:rPr>
                <w:sz w:val="20"/>
                <w:szCs w:val="20"/>
                <w:color w:val="auto"/>
              </w:rPr>
            </w:pPr>
            <w:r>
              <w:rPr>
                <w:rFonts w:ascii="Arial" w:cs="Arial" w:eastAsia="Arial" w:hAnsi="Arial"/>
                <w:sz w:val="17"/>
                <w:szCs w:val="17"/>
                <w:color w:val="auto"/>
              </w:rPr>
              <w:t>Employment costs attributable to core NY business</w:t>
            </w:r>
          </w:p>
        </w:tc>
        <w:tc>
          <w:tcPr>
            <w:tcW w:w="1660" w:type="dxa"/>
            <w:vAlign w:val="bottom"/>
          </w:tcPr>
          <w:p>
            <w:pPr>
              <w:jc w:val="right"/>
              <w:ind w:right="335"/>
              <w:spacing w:after="0"/>
              <w:rPr>
                <w:sz w:val="20"/>
                <w:szCs w:val="20"/>
                <w:color w:val="auto"/>
              </w:rPr>
            </w:pPr>
            <w:r>
              <w:rPr>
                <w:rFonts w:ascii="Arial" w:cs="Arial" w:eastAsia="Arial" w:hAnsi="Arial"/>
                <w:sz w:val="17"/>
                <w:szCs w:val="17"/>
                <w:color w:val="auto"/>
              </w:rPr>
              <w:t>9.0</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11.5</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9"/>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Expansion Expenses</w:t>
            </w:r>
          </w:p>
        </w:tc>
        <w:tc>
          <w:tcPr>
            <w:tcW w:w="166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1.0</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09"/>
        </w:trPr>
        <w:tc>
          <w:tcPr>
            <w:tcW w:w="7320" w:type="dxa"/>
            <w:vAlign w:val="bottom"/>
          </w:tcPr>
          <w:p>
            <w:pPr>
              <w:ind w:left="360"/>
              <w:spacing w:after="0"/>
              <w:rPr>
                <w:sz w:val="20"/>
                <w:szCs w:val="20"/>
                <w:color w:val="auto"/>
              </w:rPr>
            </w:pPr>
            <w:r>
              <w:rPr>
                <w:rFonts w:ascii="Arial" w:cs="Arial" w:eastAsia="Arial" w:hAnsi="Arial"/>
                <w:sz w:val="17"/>
                <w:szCs w:val="17"/>
                <w:color w:val="auto"/>
              </w:rPr>
              <w:t>IT expenses</w:t>
            </w:r>
          </w:p>
        </w:tc>
        <w:tc>
          <w:tcPr>
            <w:tcW w:w="1660" w:type="dxa"/>
            <w:vAlign w:val="bottom"/>
          </w:tcPr>
          <w:p>
            <w:pPr>
              <w:jc w:val="right"/>
              <w:ind w:right="335"/>
              <w:spacing w:after="0"/>
              <w:rPr>
                <w:sz w:val="20"/>
                <w:szCs w:val="20"/>
                <w:color w:val="auto"/>
              </w:rPr>
            </w:pPr>
            <w:r>
              <w:rPr>
                <w:rFonts w:ascii="Arial" w:cs="Arial" w:eastAsia="Arial" w:hAnsi="Arial"/>
                <w:sz w:val="17"/>
                <w:szCs w:val="17"/>
                <w:color w:val="auto"/>
              </w:rPr>
              <w:t>1.9</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0.2</w:t>
            </w:r>
          </w:p>
        </w:tc>
      </w:tr>
      <w:tr>
        <w:trPr>
          <w:trHeight w:val="215"/>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expenses</w:t>
            </w:r>
          </w:p>
        </w:tc>
        <w:tc>
          <w:tcPr>
            <w:tcW w:w="166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8.9</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11.7</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5"/>
        </w:trPr>
        <w:tc>
          <w:tcPr>
            <w:tcW w:w="7320" w:type="dxa"/>
            <w:vAlign w:val="bottom"/>
          </w:tcPr>
          <w:p>
            <w:pPr>
              <w:ind w:left="360"/>
              <w:spacing w:after="0"/>
              <w:rPr>
                <w:sz w:val="20"/>
                <w:szCs w:val="20"/>
                <w:color w:val="auto"/>
              </w:rPr>
            </w:pPr>
            <w:r>
              <w:rPr>
                <w:rFonts w:ascii="Arial" w:cs="Arial" w:eastAsia="Arial" w:hAnsi="Arial"/>
                <w:sz w:val="17"/>
                <w:szCs w:val="17"/>
                <w:color w:val="auto"/>
              </w:rPr>
              <w:t>Total other underwriting expenses</w:t>
            </w:r>
          </w:p>
        </w:tc>
        <w:tc>
          <w:tcPr>
            <w:tcW w:w="16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20.8</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25.9</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9"/>
        </w:trPr>
        <w:tc>
          <w:tcPr>
            <w:tcW w:w="7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9"/>
        </w:trPr>
        <w:tc>
          <w:tcPr>
            <w:tcW w:w="732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16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36.9%</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34.6%</w:t>
            </w:r>
          </w:p>
        </w:tc>
        <w:tc>
          <w:tcPr>
            <w:tcW w:w="140" w:type="dxa"/>
            <w:vAlign w:val="bottom"/>
          </w:tcPr>
          <w:p>
            <w:pPr>
              <w:spacing w:after="0"/>
              <w:rPr>
                <w:sz w:val="18"/>
                <w:szCs w:val="18"/>
                <w:color w:val="auto"/>
              </w:rPr>
            </w:pP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2.3</w:t>
            </w:r>
          </w:p>
        </w:tc>
      </w:tr>
      <w:tr>
        <w:trPr>
          <w:trHeight w:val="20"/>
        </w:trPr>
        <w:tc>
          <w:tcPr>
            <w:tcW w:w="7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The other underwriting expenses ratio, excluding the impact of ceding commission revenue and commission expense, declined 5.1 points, from 25.9% in 2016 to 20.8% in 2017. This decrease is driven by a decline in the impact from employment costs attributable to our growing core New York business and other expenses.</w:t>
      </w:r>
    </w:p>
    <w:p>
      <w:pPr>
        <w:spacing w:after="0" w:line="114" w:lineRule="exact"/>
        <w:rPr>
          <w:sz w:val="20"/>
          <w:szCs w:val="20"/>
          <w:color w:val="auto"/>
        </w:rPr>
      </w:pPr>
    </w:p>
    <w:p>
      <w:pPr>
        <w:jc w:val="both"/>
        <w:ind w:firstLine="628"/>
        <w:spacing w:after="0" w:line="286" w:lineRule="auto"/>
        <w:rPr>
          <w:sz w:val="20"/>
          <w:szCs w:val="20"/>
          <w:color w:val="auto"/>
        </w:rPr>
      </w:pPr>
      <w:r>
        <w:rPr>
          <w:rFonts w:ascii="Arial" w:cs="Arial" w:eastAsia="Arial" w:hAnsi="Arial"/>
          <w:sz w:val="16"/>
          <w:szCs w:val="16"/>
          <w:color w:val="auto"/>
        </w:rPr>
        <w:t>The overall increase of 2.3 percentage points in the net underwriting expense ratio was impacted by the change in our quota share ceding rate and its impact on provisional ceding commission revenue as a result of the additional retention resulting from the Cut-off to our quota share treaties on July 1, 2017. The increase to the net underwriting expense ratio was impacted more by reductions in the reinsurance ceding commission revenue components than it was to changes in the commission expenses and other underwriting expense components, each of which declined as a ratio to net premiums earned.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Other operating expenses, related to the expenses of our holding company, were $1,069,000 in Q3-2017 compared to $530,000 in Q3-2016. The increase in Q3-2017 of $539,000, or 101.7%, was primarily due to increases in executive bonus compensation, executive compensation due to annual rate increases and hiring of additional staff, equity compensation, and consulting fees. The increase in executive bonus compensation includes $236,000 of accrued long-term bonus compensation pursuant to the three year employment agreement effective January 1, 2017 with our Chief Executive Officer. In Q3-2016 there was no long-term bonus compensation plan in place.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8"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Depreciation and amortization was $379,000 in Q3-2017 compared to $262,000 in Q3-2016. The increase of $117,000, or 44.7%, in depreciation and amortization was primarily due to depreciation of our new system platform for handling business being written in expansion states. The increase was also impacted by newly purchased assets used to upgrade our systems infrastructure and improvements to the Kingston, New York home office building from which we operate.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Income tax expense in Q3-2017 was $2,044,000, which resulted in an effective tax rate of 33.4%. Income tax expense in Q3-2016 was $1,797,000, which resulted in an effective tax rate of 34.2%. Income before taxes was $6,118,000 in Q3-2017 compared to $5,258,000 in Q3-2016.</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income was $4,074,000 in Q3-2017 compared to $3,461,000 in Q3-2016. The increase in net income of $613,000, or 17.7%, was due to the circumstances described above that caused the increase in our net premiums earned, net investment income and other income and a decrease in our net loss ratio, partially offset by a decrease in ceding commission revenue and net realized gains on investments, and increases in other underwriting expenses related to premium growth, other operating expenses, and depreciation and amortization.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162"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 wide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38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416"/>
        </w:trPr>
        <w:tc>
          <w:tcPr>
            <w:tcW w:w="5940" w:type="dxa"/>
            <w:vAlign w:val="bottom"/>
            <w:gridSpan w:val="2"/>
          </w:tcPr>
          <w:p>
            <w:pPr>
              <w:spacing w:after="0"/>
              <w:rPr>
                <w:sz w:val="20"/>
                <w:szCs w:val="20"/>
                <w:color w:val="auto"/>
              </w:rPr>
            </w:pPr>
            <w:r>
              <w:rPr>
                <w:rFonts w:ascii="Arial" w:cs="Arial" w:eastAsia="Arial" w:hAnsi="Arial"/>
                <w:sz w:val="17"/>
                <w:szCs w:val="17"/>
                <w:color w:val="auto"/>
              </w:rPr>
              <w:t>Gross premiums written: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26,729,634</w:t>
            </w:r>
          </w:p>
        </w:tc>
        <w:tc>
          <w:tcPr>
            <w:tcW w:w="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9"/>
              </w:rPr>
              <w:t>21,357,900</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69,331,085</w:t>
            </w:r>
          </w:p>
        </w:tc>
        <w:tc>
          <w:tcPr>
            <w:tcW w:w="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58,496,825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3,634,037</w:t>
            </w:r>
          </w:p>
        </w:tc>
        <w:tc>
          <w:tcPr>
            <w:tcW w:w="40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3,111,308</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11,380,912</w:t>
            </w:r>
          </w:p>
        </w:tc>
        <w:tc>
          <w:tcPr>
            <w:tcW w:w="36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9,916,605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2,422,352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2,640,531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8,549,878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7,792,984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65,778</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59,637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180,086</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183,376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32,851,801</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9"/>
              </w:rPr>
              <w:t>27,169,376</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89,441,961</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9"/>
              </w:rPr>
              <w:t>76,389,790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premiums written: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Personal lines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Excluding the effect of quota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7"/>
                <w:szCs w:val="17"/>
                <w:color w:val="auto"/>
              </w:rPr>
              <w:t>adjustments on July 1</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19,373,782</w:t>
            </w:r>
          </w:p>
        </w:tc>
        <w:tc>
          <w:tcPr>
            <w:tcW w:w="4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5"/>
              <w:spacing w:after="0"/>
              <w:rPr>
                <w:sz w:val="20"/>
                <w:szCs w:val="20"/>
                <w:color w:val="auto"/>
              </w:rPr>
            </w:pPr>
            <w:r>
              <w:rPr>
                <w:rFonts w:ascii="Arial" w:cs="Arial" w:eastAsia="Arial" w:hAnsi="Arial"/>
                <w:sz w:val="17"/>
                <w:szCs w:val="17"/>
                <w:color w:val="auto"/>
                <w:w w:val="89"/>
              </w:rPr>
              <w:t>11,893,952</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42,684,254</w:t>
            </w:r>
          </w:p>
        </w:tc>
        <w:tc>
          <w:tcPr>
            <w:tcW w:w="3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5"/>
              <w:spacing w:after="0"/>
              <w:rPr>
                <w:sz w:val="20"/>
                <w:szCs w:val="20"/>
                <w:color w:val="auto"/>
              </w:rPr>
            </w:pPr>
            <w:r>
              <w:rPr>
                <w:rFonts w:ascii="Arial" w:cs="Arial" w:eastAsia="Arial" w:hAnsi="Arial"/>
                <w:sz w:val="17"/>
                <w:szCs w:val="17"/>
                <w:color w:val="auto"/>
                <w:w w:val="89"/>
              </w:rPr>
              <w:t>32,111,287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Return of premiums previously ceded to</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7"/>
                <w:szCs w:val="17"/>
                <w:color w:val="auto"/>
              </w:rPr>
              <w:t>prior quota share treaties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7,140,088</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7,140,088</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 (2)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26,513,870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9"/>
              </w:rPr>
              <w:t>11,893,952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49,824,342</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32,111,287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3,250,326</w:t>
            </w:r>
          </w:p>
        </w:tc>
        <w:tc>
          <w:tcPr>
            <w:tcW w:w="40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2,760,623</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10,196,459</w:t>
            </w:r>
          </w:p>
        </w:tc>
        <w:tc>
          <w:tcPr>
            <w:tcW w:w="36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8,919,387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2,422,352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2,640,531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8,549,878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7,792,984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74,771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(62,826)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152,245</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23,179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32,261,319</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9"/>
              </w:rPr>
              <w:t>17,232,280</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68,722,924</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9"/>
              </w:rPr>
              <w:t>48,846,837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premiums earned: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Personal lines (2)</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15,395,435</w:t>
            </w:r>
          </w:p>
        </w:tc>
        <w:tc>
          <w:tcPr>
            <w:tcW w:w="4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5"/>
              <w:spacing w:after="0"/>
              <w:rPr>
                <w:sz w:val="20"/>
                <w:szCs w:val="20"/>
                <w:color w:val="auto"/>
              </w:rPr>
            </w:pPr>
            <w:r>
              <w:rPr>
                <w:rFonts w:ascii="Arial" w:cs="Arial" w:eastAsia="Arial" w:hAnsi="Arial"/>
                <w:sz w:val="17"/>
                <w:szCs w:val="17"/>
                <w:color w:val="auto"/>
                <w:w w:val="89"/>
              </w:rPr>
              <w:t>10,388,403</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37,125,043</w:t>
            </w:r>
          </w:p>
        </w:tc>
        <w:tc>
          <w:tcPr>
            <w:tcW w:w="3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5"/>
              <w:spacing w:after="0"/>
              <w:rPr>
                <w:sz w:val="20"/>
                <w:szCs w:val="20"/>
                <w:color w:val="auto"/>
              </w:rPr>
            </w:pPr>
            <w:r>
              <w:rPr>
                <w:rFonts w:ascii="Arial" w:cs="Arial" w:eastAsia="Arial" w:hAnsi="Arial"/>
                <w:sz w:val="17"/>
                <w:szCs w:val="17"/>
                <w:color w:val="auto"/>
                <w:w w:val="89"/>
              </w:rPr>
              <w:t>29,678,863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3,125,137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2,828,473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8,953,476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8,282,020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2,939,032</w:t>
            </w:r>
          </w:p>
        </w:tc>
        <w:tc>
          <w:tcPr>
            <w:tcW w:w="40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2,487,975</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8,616,365</w:t>
            </w:r>
          </w:p>
        </w:tc>
        <w:tc>
          <w:tcPr>
            <w:tcW w:w="36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7,106,718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54,804</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(58,670)</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142,999</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121,130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21,514,408</w:t>
            </w:r>
          </w:p>
        </w:tc>
        <w:tc>
          <w:tcPr>
            <w:tcW w:w="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9"/>
              </w:rPr>
              <w:t>15,646,181</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54,837,883</w:t>
            </w:r>
          </w:p>
        </w:tc>
        <w:tc>
          <w:tcPr>
            <w:tcW w:w="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9"/>
              </w:rPr>
              <w:t>45,188,731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loss and loss adjustment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3,553,087</w:t>
            </w:r>
          </w:p>
        </w:tc>
        <w:tc>
          <w:tcPr>
            <w:tcW w:w="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2,383,297</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13,304,934</w:t>
            </w:r>
          </w:p>
        </w:tc>
        <w:tc>
          <w:tcPr>
            <w:tcW w:w="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9"/>
              </w:rPr>
              <w:t>13,069,461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1,535,862</w:t>
            </w:r>
          </w:p>
        </w:tc>
        <w:tc>
          <w:tcPr>
            <w:tcW w:w="40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1,178,963</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4,294,440</w:t>
            </w:r>
          </w:p>
        </w:tc>
        <w:tc>
          <w:tcPr>
            <w:tcW w:w="36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3,271,253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1,417,332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1,236,780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3,643,007</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3,171,434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Other(1)</w:t>
            </w: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10,226</w:t>
            </w:r>
          </w:p>
        </w:tc>
        <w:tc>
          <w:tcPr>
            <w:tcW w:w="40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(145,932)</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32,824</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(430,869)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Unallocated loss adjustment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556,816</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481,746</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1,546,036</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1,324,266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7,073,323</w:t>
            </w:r>
          </w:p>
        </w:tc>
        <w:tc>
          <w:tcPr>
            <w:tcW w:w="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5,134,854</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22,821,241</w:t>
            </w:r>
          </w:p>
        </w:tc>
        <w:tc>
          <w:tcPr>
            <w:tcW w:w="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9"/>
              </w:rPr>
              <w:t>20,405,545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loss ratio:</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49.1%</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41.7%</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Other(1)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18.7%</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248.7%</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hanging="321"/>
        <w:spacing w:after="0" w:line="260" w:lineRule="auto"/>
        <w:tabs>
          <w:tab w:leader="none" w:pos="683"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commercial auto and our participation in a mandatory state joint underwriting association.</w:t>
      </w:r>
    </w:p>
    <w:p>
      <w:pPr>
        <w:spacing w:after="0" w:line="1" w:lineRule="exact"/>
        <w:rPr>
          <w:rFonts w:ascii="Arial" w:cs="Arial" w:eastAsia="Arial" w:hAnsi="Arial"/>
          <w:sz w:val="17"/>
          <w:szCs w:val="17"/>
          <w:color w:val="auto"/>
        </w:rPr>
      </w:pPr>
    </w:p>
    <w:p>
      <w:pPr>
        <w:ind w:left="680" w:hanging="361"/>
        <w:spacing w:after="0"/>
        <w:tabs>
          <w:tab w:leader="none" w:pos="6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See discussions above with regard to “Net Written Premiums and Net Premiums Earned”, as to change in quota share ceding rate effective July 1,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00" w:type="dxa"/>
            <w:vAlign w:val="bottom"/>
            <w:gridSpan w:val="4"/>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17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21,514,408</w:t>
            </w:r>
          </w:p>
        </w:tc>
        <w:tc>
          <w:tcPr>
            <w:tcW w:w="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9"/>
              </w:rPr>
              <w:t>15,646,181</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54,837,883</w:t>
            </w:r>
          </w:p>
        </w:tc>
        <w:tc>
          <w:tcPr>
            <w:tcW w:w="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9"/>
              </w:rPr>
              <w:t>45,188,731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1,717,610</w:t>
            </w:r>
          </w:p>
        </w:tc>
        <w:tc>
          <w:tcPr>
            <w:tcW w:w="40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7"/>
                <w:szCs w:val="17"/>
                <w:color w:val="auto"/>
              </w:rPr>
              <w:t>2,934,928</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8,208,000</w:t>
            </w:r>
          </w:p>
        </w:tc>
        <w:tc>
          <w:tcPr>
            <w:tcW w:w="360" w:type="dxa"/>
            <w:vAlign w:val="bottom"/>
          </w:tcPr>
          <w:p>
            <w:pPr>
              <w:spacing w:after="0"/>
              <w:rPr>
                <w:sz w:val="18"/>
                <w:szCs w:val="18"/>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8,274,290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1,033,307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709,072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2,917,111</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2,286,199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realized gain (loss) on investments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20,998</w:t>
            </w:r>
          </w:p>
        </w:tc>
        <w:tc>
          <w:tcPr>
            <w:tcW w:w="40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7"/>
                <w:szCs w:val="17"/>
                <w:color w:val="auto"/>
              </w:rPr>
              <w:t>241,035</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96,915</w:t>
            </w:r>
          </w:p>
        </w:tc>
        <w:tc>
          <w:tcPr>
            <w:tcW w:w="360" w:type="dxa"/>
            <w:vAlign w:val="bottom"/>
          </w:tcPr>
          <w:p>
            <w:pPr>
              <w:spacing w:after="0"/>
              <w:rPr>
                <w:sz w:val="18"/>
                <w:szCs w:val="18"/>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604,903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317,269</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294,373</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880,930</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820,472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24,603,592</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9"/>
              </w:rPr>
              <w:t>19,825,589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66,940,839</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9"/>
              </w:rPr>
              <w:t>57,174,595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7,073,323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5,134,854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22,821,241</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9"/>
              </w:rPr>
              <w:t>20,405,545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5,500,483</w:t>
            </w:r>
          </w:p>
        </w:tc>
        <w:tc>
          <w:tcPr>
            <w:tcW w:w="40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7"/>
                <w:szCs w:val="17"/>
                <w:color w:val="auto"/>
              </w:rPr>
              <w:t>4,603,755</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15,491,027</w:t>
            </w:r>
          </w:p>
        </w:tc>
        <w:tc>
          <w:tcPr>
            <w:tcW w:w="360" w:type="dxa"/>
            <w:vAlign w:val="bottom"/>
          </w:tcPr>
          <w:p>
            <w:pPr>
              <w:spacing w:after="0"/>
              <w:rPr>
                <w:sz w:val="18"/>
                <w:szCs w:val="18"/>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w w:val="89"/>
              </w:rPr>
              <w:t>13,400,029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4,475,455</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4,039,209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12,887,488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9"/>
              </w:rPr>
              <w:t>10,981,784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378,518</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262,097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1,023,390</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834,519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17,427,779</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9"/>
              </w:rPr>
              <w:t>14,039,915</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52,223,146</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9"/>
              </w:rPr>
              <w:t>45,621,877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from operations</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7,175,813</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5,785,674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14,717,693</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9"/>
              </w:rPr>
              <w:t>11,552,718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Income tax expense</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2,399,048</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2,114,016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4,911,977</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3,881,232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4,776,765</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3,671,658</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9,805,716</w:t>
            </w:r>
          </w:p>
        </w:tc>
        <w:tc>
          <w:tcPr>
            <w:tcW w:w="3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7,671,486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b w:val="1"/>
                <w:bCs w:val="1"/>
                <w:color w:val="auto"/>
              </w:rPr>
              <w:t>Key Measures: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ratio</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combined ratio</w:t>
            </w: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Reconciliation of net underwriting expense ratio:</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Acquisition costs and other</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underwriting expenses</w:t>
            </w:r>
          </w:p>
        </w:tc>
        <w:tc>
          <w:tcPr>
            <w:tcW w:w="17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9,975,938</w:t>
            </w:r>
          </w:p>
        </w:tc>
        <w:tc>
          <w:tcPr>
            <w:tcW w:w="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8,642,964</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28,378,515</w:t>
            </w:r>
          </w:p>
        </w:tc>
        <w:tc>
          <w:tcPr>
            <w:tcW w:w="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9"/>
              </w:rPr>
              <w:t>24,381,813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Less: Ceding commission revenue</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(1,717,610)</w:t>
            </w:r>
          </w:p>
        </w:tc>
        <w:tc>
          <w:tcPr>
            <w:tcW w:w="400" w:type="dxa"/>
            <w:vAlign w:val="bottom"/>
          </w:tcPr>
          <w:p>
            <w:pPr>
              <w:spacing w:after="0"/>
              <w:rPr>
                <w:sz w:val="18"/>
                <w:szCs w:val="18"/>
                <w:color w:val="auto"/>
              </w:rPr>
            </w:pPr>
          </w:p>
        </w:tc>
        <w:tc>
          <w:tcPr>
            <w:tcW w:w="980" w:type="dxa"/>
            <w:vAlign w:val="bottom"/>
          </w:tcPr>
          <w:p>
            <w:pPr>
              <w:jc w:val="right"/>
              <w:ind w:right="76"/>
              <w:spacing w:after="0"/>
              <w:rPr>
                <w:sz w:val="20"/>
                <w:szCs w:val="20"/>
                <w:color w:val="auto"/>
              </w:rPr>
            </w:pPr>
            <w:r>
              <w:rPr>
                <w:rFonts w:ascii="Arial" w:cs="Arial" w:eastAsia="Arial" w:hAnsi="Arial"/>
                <w:sz w:val="17"/>
                <w:szCs w:val="17"/>
                <w:color w:val="auto"/>
                <w:w w:val="91"/>
              </w:rPr>
              <w:t>(2,934,928)</w:t>
            </w:r>
          </w:p>
        </w:tc>
        <w:tc>
          <w:tcPr>
            <w:tcW w:w="280" w:type="dxa"/>
            <w:vAlign w:val="bottom"/>
          </w:tcPr>
          <w:p>
            <w:pPr>
              <w:spacing w:after="0"/>
              <w:rPr>
                <w:sz w:val="18"/>
                <w:szCs w:val="18"/>
                <w:color w:val="auto"/>
              </w:rPr>
            </w:pP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(8,208,000)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4"/>
              </w:rPr>
              <w:t>(8,274,290)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Less: Other income</w:t>
            </w: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(317,269)</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(294,373)</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(880,930)</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underwriting expenses</w:t>
            </w:r>
          </w:p>
        </w:tc>
        <w:tc>
          <w:tcPr>
            <w:tcW w:w="172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7,941,059</w:t>
            </w:r>
          </w:p>
        </w:tc>
        <w:tc>
          <w:tcPr>
            <w:tcW w:w="4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6"/>
              <w:spacing w:after="0"/>
              <w:rPr>
                <w:sz w:val="20"/>
                <w:szCs w:val="20"/>
                <w:color w:val="auto"/>
              </w:rPr>
            </w:pPr>
            <w:r>
              <w:rPr>
                <w:rFonts w:ascii="Arial" w:cs="Arial" w:eastAsia="Arial" w:hAnsi="Arial"/>
                <w:sz w:val="17"/>
                <w:szCs w:val="17"/>
                <w:color w:val="auto"/>
              </w:rPr>
              <w:t>5,413,663</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19,289,585</w:t>
            </w:r>
          </w:p>
        </w:tc>
        <w:tc>
          <w:tcPr>
            <w:tcW w:w="3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w w:val="89"/>
              </w:rPr>
              <w:t>15,287,051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premiums earned</w:t>
            </w:r>
          </w:p>
        </w:tc>
        <w:tc>
          <w:tcPr>
            <w:tcW w:w="172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21,514,408</w:t>
            </w:r>
          </w:p>
        </w:tc>
        <w:tc>
          <w:tcPr>
            <w:tcW w:w="4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6"/>
              <w:spacing w:after="0"/>
              <w:rPr>
                <w:sz w:val="20"/>
                <w:szCs w:val="20"/>
                <w:color w:val="auto"/>
              </w:rPr>
            </w:pPr>
            <w:r>
              <w:rPr>
                <w:rFonts w:ascii="Arial" w:cs="Arial" w:eastAsia="Arial" w:hAnsi="Arial"/>
                <w:sz w:val="17"/>
                <w:szCs w:val="17"/>
                <w:color w:val="auto"/>
                <w:w w:val="89"/>
              </w:rPr>
              <w:t>15,646,181</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54,837,883</w:t>
            </w:r>
          </w:p>
        </w:tc>
        <w:tc>
          <w:tcPr>
            <w:tcW w:w="3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w w:val="89"/>
              </w:rPr>
              <w:t>45,188,731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1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80" w:type="dxa"/>
            <w:vAlign w:val="bottom"/>
            <w:vMerge w:val="restart"/>
          </w:tcPr>
          <w:p>
            <w:pPr>
              <w:jc w:val="right"/>
              <w:ind w:right="55"/>
              <w:spacing w:after="0"/>
              <w:rPr>
                <w:sz w:val="20"/>
                <w:szCs w:val="20"/>
                <w:color w:val="auto"/>
              </w:rPr>
            </w:pPr>
            <w:r>
              <w:rPr>
                <w:rFonts w:ascii="Arial" w:cs="Arial" w:eastAsia="Arial" w:hAnsi="Arial"/>
                <w:sz w:val="17"/>
                <w:szCs w:val="17"/>
                <w:color w:val="auto"/>
              </w:rPr>
              <w:t>53</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3"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Direct</w:t>
            </w:r>
          </w:p>
        </w:tc>
        <w:tc>
          <w:tcPr>
            <w:tcW w:w="260" w:type="dxa"/>
            <w:vAlign w:val="bottom"/>
          </w:tcPr>
          <w:p>
            <w:pPr>
              <w:spacing w:after="0"/>
              <w:rPr>
                <w:sz w:val="15"/>
                <w:szCs w:val="15"/>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w w:val="98"/>
              </w:rPr>
              <w:t>Assumed</w:t>
            </w:r>
          </w:p>
        </w:tc>
        <w:tc>
          <w:tcPr>
            <w:tcW w:w="240" w:type="dxa"/>
            <w:vAlign w:val="bottom"/>
          </w:tcPr>
          <w:p>
            <w:pPr>
              <w:spacing w:after="0"/>
              <w:rPr>
                <w:sz w:val="15"/>
                <w:szCs w:val="15"/>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Ceded</w:t>
            </w:r>
          </w:p>
        </w:tc>
        <w:tc>
          <w:tcPr>
            <w:tcW w:w="240" w:type="dxa"/>
            <w:vAlign w:val="bottom"/>
          </w:tcPr>
          <w:p>
            <w:pPr>
              <w:spacing w:after="0"/>
              <w:rPr>
                <w:sz w:val="15"/>
                <w:szCs w:val="15"/>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17"/>
        </w:trPr>
        <w:tc>
          <w:tcPr>
            <w:tcW w:w="4460" w:type="dxa"/>
            <w:vAlign w:val="bottom"/>
            <w:gridSpan w:val="2"/>
          </w:tcPr>
          <w:p>
            <w:pPr>
              <w:spacing w:after="0"/>
              <w:rPr>
                <w:sz w:val="20"/>
                <w:szCs w:val="20"/>
                <w:color w:val="auto"/>
              </w:rPr>
            </w:pPr>
            <w:r>
              <w:rPr>
                <w:rFonts w:ascii="Arial" w:cs="Arial" w:eastAsia="Arial" w:hAnsi="Arial"/>
                <w:sz w:val="17"/>
                <w:szCs w:val="17"/>
                <w:b w:val="1"/>
                <w:bCs w:val="1"/>
                <w:color w:val="auto"/>
              </w:rPr>
              <w:t>Nine months ended September 30, 2017</w:t>
            </w:r>
          </w:p>
        </w:tc>
        <w:tc>
          <w:tcPr>
            <w:tcW w:w="14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89,423,758</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18,203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(20,719,037)</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68,722,924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(8,456,690)</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8,162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(5,436,513)</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(13,885,041)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80,967,068</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26,365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(26,155,550)</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54,837,883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excluding</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the effect of catastrophes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31,281,727</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42,751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(8,503,237)</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22,821,241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31,281,727</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42,751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(8,503,237)</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22,821,241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Nine months ended September 30, 2016</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76,375,159</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14,631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(27,542,953)</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48,846,837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(4,875,664)</w:t>
            </w:r>
          </w:p>
        </w:tc>
        <w:tc>
          <w:tcPr>
            <w:tcW w:w="26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2,058</w:t>
            </w:r>
          </w:p>
        </w:tc>
        <w:tc>
          <w:tcPr>
            <w:tcW w:w="24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1,215,500</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(3,658,106)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71,499,495</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16,689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(26,327,453)</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45,188,731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excluding</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the effect of catastrophes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26,712,184</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32,521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(7,741,637)</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19,003,068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2,337,461</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(934,984)</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1,402,477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29,049,645</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32,521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(8,676,621)</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20,405,545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194.9%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29.4%</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194.9%</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Three months ended September 30, 2017</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32,839,891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11,910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(590,482)</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32,261,319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(4,407,894)</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(165)</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(6,338,852)</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(10,746,911)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28,431,997</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11,745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(6,929,334)</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21,514,408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excluding</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the effect of catastrophes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8,123,601</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26,418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(1,076,696)</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7,073,323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8,123,601</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26,418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(1,076,696)</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7,073,323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224.9%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224.9%</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Three months ended September 30, 2016</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27,170,743</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(1,367)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(9,937,096)</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17,232,280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(2,302,119)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(1,479)</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717,499</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24,868,624</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(2,846)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(9,219,597)</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15,646,181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excluding</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the effect of catastrophes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6,705,294</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2,226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(1,572,666)</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5,134,854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6,705,294</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2,226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(1,572,666)</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5,134,854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1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1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80" w:type="dxa"/>
            <w:vAlign w:val="bottom"/>
            <w:vMerge w:val="restart"/>
          </w:tcPr>
          <w:p>
            <w:pPr>
              <w:jc w:val="right"/>
              <w:ind w:right="55"/>
              <w:spacing w:after="0"/>
              <w:rPr>
                <w:sz w:val="20"/>
                <w:szCs w:val="20"/>
                <w:color w:val="auto"/>
              </w:rPr>
            </w:pPr>
            <w:r>
              <w:rPr>
                <w:rFonts w:ascii="Arial" w:cs="Arial" w:eastAsia="Arial" w:hAnsi="Arial"/>
                <w:sz w:val="17"/>
                <w:szCs w:val="17"/>
                <w:color w:val="auto"/>
              </w:rPr>
              <w:t>54</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56" w:name="page57"/>
    <w:bookmarkEnd w:id="56"/>
    <w:p>
      <w:pPr>
        <w:ind w:left="640"/>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38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premiums earned</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21,514,408</w:t>
            </w:r>
          </w:p>
        </w:tc>
        <w:tc>
          <w:tcPr>
            <w:tcW w:w="4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15,646,181</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54,837,883</w:t>
            </w:r>
          </w:p>
        </w:tc>
        <w:tc>
          <w:tcPr>
            <w:tcW w:w="4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9"/>
              </w:rPr>
              <w:t>45,188,731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Ceding commission revenue</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1,717,610</w:t>
            </w:r>
          </w:p>
        </w:tc>
        <w:tc>
          <w:tcPr>
            <w:tcW w:w="46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2,934,928</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7"/>
                <w:szCs w:val="17"/>
                <w:color w:val="auto"/>
              </w:rPr>
              <w:t>8,208,000</w:t>
            </w:r>
          </w:p>
        </w:tc>
        <w:tc>
          <w:tcPr>
            <w:tcW w:w="440" w:type="dxa"/>
            <w:vAlign w:val="bottom"/>
          </w:tcPr>
          <w:p>
            <w:pPr>
              <w:spacing w:after="0"/>
              <w:rPr>
                <w:sz w:val="18"/>
                <w:szCs w:val="18"/>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8,274,290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317,269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294,373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880,930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820,472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Loss and loss adjustment expenses (1)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7,073,323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5,134,854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22,821,241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9"/>
              </w:rPr>
              <w:t>20,405,545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Acquisition costs and other underwriting expenses: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5,500,483</w:t>
            </w:r>
          </w:p>
        </w:tc>
        <w:tc>
          <w:tcPr>
            <w:tcW w:w="46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4,603,755</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7"/>
                <w:szCs w:val="17"/>
                <w:color w:val="auto"/>
              </w:rPr>
              <w:t>15,491,027</w:t>
            </w:r>
          </w:p>
        </w:tc>
        <w:tc>
          <w:tcPr>
            <w:tcW w:w="440" w:type="dxa"/>
            <w:vAlign w:val="bottom"/>
          </w:tcPr>
          <w:p>
            <w:pPr>
              <w:spacing w:after="0"/>
              <w:rPr>
                <w:sz w:val="18"/>
                <w:szCs w:val="18"/>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w w:val="89"/>
              </w:rPr>
              <w:t>13,400,029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4,475,455</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4,039,209</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12,887,488</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9"/>
              </w:rPr>
              <w:t>10,981,784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acquisition costs and other</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9,975,938</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8,642,964</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28,378,515</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9"/>
              </w:rPr>
              <w:t>24,381,813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Underwriting income</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6,500,026</w:t>
            </w:r>
          </w:p>
        </w:tc>
        <w:tc>
          <w:tcPr>
            <w:tcW w:w="4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5,097,664</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12,727,057</w:t>
            </w:r>
          </w:p>
        </w:tc>
        <w:tc>
          <w:tcPr>
            <w:tcW w:w="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9,496,135</w:t>
            </w: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Key Measures: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loss ratio excluding the effect of catastrophes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32.9%</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32.8%</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41.6%</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Effect of catastrophe loss on net loss ratio (1) (2)</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Net loss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underwriting expense ratio excluding the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 of catastrophes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Effect of catastrophe loss on net underwriting</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expense ratio (2)</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combined ratio excluding the effect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of catastrophes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Effect of catastrophe loss on net combined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ratio (1) (2)</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combined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Reconciliation of net underwriting expense ratio:</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 costs and other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20"/>
              <w:spacing w:after="0"/>
              <w:rPr>
                <w:sz w:val="20"/>
                <w:szCs w:val="20"/>
                <w:color w:val="auto"/>
              </w:rPr>
            </w:pPr>
            <w:r>
              <w:rPr>
                <w:rFonts w:ascii="Arial" w:cs="Arial" w:eastAsia="Arial" w:hAnsi="Arial"/>
                <w:sz w:val="17"/>
                <w:szCs w:val="17"/>
                <w:color w:val="auto"/>
              </w:rPr>
              <w:t>underwriting expenses</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9,975,938</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8,642,964</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28,378,515</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24,381,813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Ceding commission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(1,717,610)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(2,934,928)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(8,208,000)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(8,274,290)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Pr>
          <w:p>
            <w:pPr>
              <w:ind w:left="160"/>
              <w:spacing w:after="0"/>
              <w:rPr>
                <w:sz w:val="20"/>
                <w:szCs w:val="20"/>
                <w:color w:val="auto"/>
              </w:rPr>
            </w:pPr>
            <w:r>
              <w:rPr>
                <w:rFonts w:ascii="Arial" w:cs="Arial" w:eastAsia="Arial" w:hAnsi="Arial"/>
                <w:sz w:val="17"/>
                <w:szCs w:val="17"/>
                <w:color w:val="auto"/>
              </w:rPr>
              <w:t>Less: Other income</w:t>
            </w:r>
          </w:p>
        </w:tc>
        <w:tc>
          <w:tcPr>
            <w:tcW w:w="34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(317,269)</w:t>
            </w:r>
          </w:p>
        </w:tc>
        <w:tc>
          <w:tcPr>
            <w:tcW w:w="28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(294,373)</w:t>
            </w:r>
          </w:p>
        </w:tc>
        <w:tc>
          <w:tcPr>
            <w:tcW w:w="28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(880,930)</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(820,472)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7,941,059</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5,413,663</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19,289,585</w:t>
            </w:r>
          </w:p>
        </w:tc>
        <w:tc>
          <w:tcPr>
            <w:tcW w:w="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15,287,051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earned premium</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21,514,408</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15,646,181</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54,837,883</w:t>
            </w:r>
          </w:p>
        </w:tc>
        <w:tc>
          <w:tcPr>
            <w:tcW w:w="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45,188,731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firstLine="5"/>
        <w:spacing w:after="0" w:line="281" w:lineRule="auto"/>
        <w:tabs>
          <w:tab w:leader="none" w:pos="242"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nine months ended September 30, 2016, includes the sum of net catastrophe losses and loss adjustment expenses of $1,402,477 resulting from severe winter weather.</w:t>
      </w:r>
    </w:p>
    <w:p>
      <w:pPr>
        <w:spacing w:after="0" w:line="104" w:lineRule="exact"/>
        <w:rPr>
          <w:rFonts w:ascii="Arial" w:cs="Arial" w:eastAsia="Arial" w:hAnsi="Arial"/>
          <w:sz w:val="17"/>
          <w:szCs w:val="17"/>
          <w:color w:val="auto"/>
        </w:rPr>
      </w:pPr>
    </w:p>
    <w:p>
      <w:pPr>
        <w:ind w:firstLine="5"/>
        <w:spacing w:after="0" w:line="281" w:lineRule="auto"/>
        <w:tabs>
          <w:tab w:leader="none" w:pos="2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nine months ended September 30, 2016, the effect of catastrophe loss from severe winter weather on our net combined ratio includes the direct effects of loss and loss adjustment expenses and there were no indirect effects in other underwriting expenses.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Investments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a breakdown of the amortized cost, fair value and unrealized gains and losses by investment type as of September 30, 2017 and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Available-for-Sale Securities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September 30, 2017</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95"/>
              </w:rPr>
              <w:t>Gross Unrealized Losses</w:t>
            </w:r>
          </w:p>
        </w:tc>
        <w:tc>
          <w:tcPr>
            <w:tcW w:w="128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1"/>
              <w:spacing w:after="0" w:line="144"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920" w:type="dxa"/>
            <w:vAlign w:val="bottom"/>
          </w:tcPr>
          <w:p>
            <w:pPr>
              <w:jc w:val="center"/>
              <w:ind w:right="159"/>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39"/>
              <w:spacing w:after="0" w:line="144" w:lineRule="exact"/>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57"/>
              <w:spacing w:after="0" w:line="144" w:lineRule="exact"/>
              <w:rPr>
                <w:sz w:val="20"/>
                <w:szCs w:val="20"/>
                <w:color w:val="auto"/>
              </w:rPr>
            </w:pPr>
            <w:r>
              <w:rPr>
                <w:rFonts w:ascii="Arial" w:cs="Arial" w:eastAsia="Arial" w:hAnsi="Arial"/>
                <w:sz w:val="14"/>
                <w:szCs w:val="14"/>
                <w:b w:val="1"/>
                <w:bCs w:val="1"/>
                <w:color w:val="auto"/>
              </w:rPr>
              <w:t>More than 12</w:t>
            </w:r>
          </w:p>
        </w:tc>
        <w:tc>
          <w:tcPr>
            <w:tcW w:w="1280" w:type="dxa"/>
            <w:vAlign w:val="bottom"/>
          </w:tcPr>
          <w:p>
            <w:pPr>
              <w:jc w:val="right"/>
              <w:ind w:right="498"/>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5"/>
                <w:szCs w:val="15"/>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Months</w:t>
            </w:r>
          </w:p>
        </w:tc>
        <w:tc>
          <w:tcPr>
            <w:tcW w:w="1280" w:type="dxa"/>
            <w:vAlign w:val="bottom"/>
          </w:tcPr>
          <w:p>
            <w:pPr>
              <w:jc w:val="right"/>
              <w:ind w:right="458"/>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16"/>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93"/>
              </w:rPr>
              <w:t>11,428,403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286,360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$ 11,693,540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7"/>
                <w:szCs w:val="17"/>
                <w:color w:val="auto"/>
                <w:w w:val="93"/>
              </w:rPr>
              <w:t>77,734,988</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1,416,060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(204,904)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(109,623)</w:t>
            </w:r>
          </w:p>
        </w:tc>
        <w:tc>
          <w:tcPr>
            <w:tcW w:w="1280" w:type="dxa"/>
            <w:vAlign w:val="bottom"/>
          </w:tcPr>
          <w:p>
            <w:pPr>
              <w:jc w:val="right"/>
              <w:ind w:right="158"/>
              <w:spacing w:after="0"/>
              <w:rPr>
                <w:sz w:val="20"/>
                <w:szCs w:val="20"/>
                <w:color w:val="auto"/>
              </w:rPr>
            </w:pPr>
            <w:r>
              <w:rPr>
                <w:rFonts w:ascii="Arial" w:cs="Arial" w:eastAsia="Arial" w:hAnsi="Arial"/>
                <w:sz w:val="17"/>
                <w:szCs w:val="17"/>
                <w:color w:val="auto"/>
              </w:rPr>
              <w:t>78,836,521</w:t>
            </w:r>
          </w:p>
        </w:tc>
        <w:tc>
          <w:tcPr>
            <w:tcW w:w="1000" w:type="dxa"/>
            <w:vAlign w:val="bottom"/>
          </w:tcPr>
          <w:p>
            <w:pPr>
              <w:jc w:val="right"/>
              <w:spacing w:after="0"/>
              <w:rPr>
                <w:sz w:val="20"/>
                <w:szCs w:val="20"/>
                <w:color w:val="auto"/>
              </w:rPr>
            </w:pPr>
            <w:r>
              <w:rPr>
                <w:rFonts w:ascii="Arial" w:cs="Arial" w:eastAsia="Arial" w:hAnsi="Arial"/>
                <w:sz w:val="17"/>
                <w:szCs w:val="17"/>
                <w:color w:val="auto"/>
              </w:rPr>
              <w:t>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Residential mortgage and other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asset backed securities (1)</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w w:val="93"/>
              </w:rPr>
              <w:t>21,152,407</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291,172</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(120,346)</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(63,542)</w:t>
            </w: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rPr>
              <w:t>21,259,691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Total fixed-maturity securities</w:t>
            </w:r>
          </w:p>
        </w:tc>
        <w:tc>
          <w:tcPr>
            <w:tcW w:w="1160" w:type="dxa"/>
            <w:vAlign w:val="bottom"/>
            <w:gridSpan w:val="2"/>
          </w:tcPr>
          <w:p>
            <w:pPr>
              <w:jc w:val="right"/>
              <w:ind w:right="41"/>
              <w:spacing w:after="0"/>
              <w:rPr>
                <w:sz w:val="20"/>
                <w:szCs w:val="20"/>
                <w:color w:val="auto"/>
              </w:rPr>
            </w:pPr>
            <w:r>
              <w:rPr>
                <w:rFonts w:ascii="Arial" w:cs="Arial" w:eastAsia="Arial" w:hAnsi="Arial"/>
                <w:sz w:val="17"/>
                <w:szCs w:val="17"/>
                <w:color w:val="auto"/>
              </w:rPr>
              <w:t>110,315,798</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1,993,592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(346,473)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(173,165)</w:t>
            </w:r>
          </w:p>
        </w:tc>
        <w:tc>
          <w:tcPr>
            <w:tcW w:w="1280" w:type="dxa"/>
            <w:vAlign w:val="bottom"/>
          </w:tcPr>
          <w:p>
            <w:pPr>
              <w:jc w:val="right"/>
              <w:ind w:right="158"/>
              <w:spacing w:after="0"/>
              <w:rPr>
                <w:sz w:val="20"/>
                <w:szCs w:val="20"/>
                <w:color w:val="auto"/>
              </w:rPr>
            </w:pPr>
            <w:r>
              <w:rPr>
                <w:rFonts w:ascii="Arial" w:cs="Arial" w:eastAsia="Arial" w:hAnsi="Arial"/>
                <w:sz w:val="17"/>
                <w:szCs w:val="17"/>
                <w:color w:val="auto"/>
              </w:rPr>
              <w:t>111,789,752</w:t>
            </w:r>
          </w:p>
        </w:tc>
        <w:tc>
          <w:tcPr>
            <w:tcW w:w="1000" w:type="dxa"/>
            <w:vAlign w:val="bottom"/>
          </w:tcPr>
          <w:p>
            <w:pPr>
              <w:jc w:val="right"/>
              <w:spacing w:after="0"/>
              <w:rPr>
                <w:sz w:val="20"/>
                <w:szCs w:val="20"/>
                <w:color w:val="auto"/>
              </w:rPr>
            </w:pPr>
            <w:r>
              <w:rPr>
                <w:rFonts w:ascii="Arial" w:cs="Arial" w:eastAsia="Arial" w:hAnsi="Arial"/>
                <w:sz w:val="17"/>
                <w:szCs w:val="17"/>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w w:val="93"/>
              </w:rPr>
              <w:t>12,706,538</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785,012</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(103,789)</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(166,645)</w:t>
            </w: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rPr>
              <w:t>13,221,116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7"/>
                <w:szCs w:val="17"/>
                <w:color w:val="auto"/>
                <w:w w:val="98"/>
              </w:rPr>
              <w:t>$123,022,336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2,778,604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(450,262)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(339,810)</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color w:val="auto"/>
                <w:w w:val="98"/>
              </w:rPr>
              <w:t>$125,010,868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40" w:firstLine="5"/>
        <w:spacing w:after="0" w:line="265" w:lineRule="auto"/>
        <w:tabs>
          <w:tab w:leader="none" w:pos="261" w:val="left"/>
        </w:tabs>
        <w:numPr>
          <w:ilvl w:val="0"/>
          <w:numId w:val="15"/>
        </w:numPr>
        <w:rPr>
          <w:rFonts w:ascii="Arial" w:cs="Arial" w:eastAsia="Arial" w:hAnsi="Arial"/>
          <w:sz w:val="17"/>
          <w:szCs w:val="17"/>
          <w:color w:val="auto"/>
        </w:rPr>
      </w:pPr>
      <w:r>
        <w:rPr>
          <w:rFonts w:ascii="Arial" w:cs="Arial" w:eastAsia="Arial" w:hAnsi="Arial"/>
          <w:sz w:val="17"/>
          <w:szCs w:val="17"/>
          <w:color w:val="auto"/>
        </w:rPr>
        <w:t>KICO placed certain residential mortgage backed securities as eligible collateral in a designated custodian account related to our relationship with the Federal Home Loan Bank of New York ("FHLBNY"). The eligible collateral would be pledged to FHLBNY if KICO draws an advance from the FHBLNY credit line. As of September 30, 2017, the fair value of the eligible investments was $7,028,101. KICO will retain all rights regarding all securities if pledged as collateral. As of September 30, 2017, there was no outstanding balance on the credit line.</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493" w:right="1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center"/>
              <w:ind w:right="177"/>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57"/>
              <w:spacing w:after="0"/>
              <w:rPr>
                <w:sz w:val="20"/>
                <w:szCs w:val="20"/>
                <w:color w:val="auto"/>
              </w:rPr>
            </w:pPr>
            <w:r>
              <w:rPr>
                <w:rFonts w:ascii="Arial" w:cs="Arial" w:eastAsia="Arial" w:hAnsi="Arial"/>
                <w:sz w:val="14"/>
                <w:szCs w:val="14"/>
                <w:b w:val="1"/>
                <w:bCs w:val="1"/>
                <w:color w:val="auto"/>
                <w:w w:val="89"/>
              </w:rPr>
              <w:t>Gross Unrealized Losses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0"/>
              <w:spacing w:after="0" w:line="144"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920" w:type="dxa"/>
            <w:vAlign w:val="bottom"/>
          </w:tcPr>
          <w:p>
            <w:pPr>
              <w:jc w:val="center"/>
              <w:ind w:right="16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240" w:type="dxa"/>
            <w:vAlign w:val="bottom"/>
          </w:tcPr>
          <w:p>
            <w:pPr>
              <w:spacing w:after="0"/>
              <w:rPr>
                <w:sz w:val="12"/>
                <w:szCs w:val="12"/>
                <w:color w:val="auto"/>
              </w:rPr>
            </w:pPr>
          </w:p>
        </w:tc>
        <w:tc>
          <w:tcPr>
            <w:tcW w:w="1040" w:type="dxa"/>
            <w:vAlign w:val="bottom"/>
          </w:tcPr>
          <w:p>
            <w:pPr>
              <w:jc w:val="center"/>
              <w:ind w:right="299"/>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94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5"/>
                <w:szCs w:val="15"/>
                <w:color w:val="auto"/>
              </w:rPr>
            </w:pPr>
          </w:p>
        </w:tc>
        <w:tc>
          <w:tcPr>
            <w:tcW w:w="920" w:type="dxa"/>
            <w:vAlign w:val="bottom"/>
          </w:tcPr>
          <w:p>
            <w:pPr>
              <w:jc w:val="center"/>
              <w:ind w:right="200"/>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1040" w:type="dxa"/>
            <w:vAlign w:val="bottom"/>
          </w:tcPr>
          <w:p>
            <w:pPr>
              <w:jc w:val="center"/>
              <w:ind w:right="299"/>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16"/>
        </w:trPr>
        <w:tc>
          <w:tcPr>
            <w:tcW w:w="458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8,053,449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199,028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(46,589)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8,205,888</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w w:val="93"/>
              </w:rPr>
              <w:t>53,728,395</w:t>
            </w: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600,519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(638,113)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(5,612)</w:t>
            </w:r>
          </w:p>
        </w:tc>
        <w:tc>
          <w:tcPr>
            <w:tcW w:w="24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7"/>
                <w:szCs w:val="17"/>
                <w:color w:val="auto"/>
                <w:w w:val="91"/>
              </w:rPr>
              <w:t>53,685,189</w:t>
            </w:r>
          </w:p>
        </w:tc>
        <w:tc>
          <w:tcPr>
            <w:tcW w:w="1000" w:type="dxa"/>
            <w:vAlign w:val="bottom"/>
          </w:tcPr>
          <w:p>
            <w:pPr>
              <w:jc w:val="right"/>
              <w:spacing w:after="0"/>
              <w:rPr>
                <w:sz w:val="20"/>
                <w:szCs w:val="20"/>
                <w:color w:val="auto"/>
              </w:rPr>
            </w:pPr>
            <w:r>
              <w:rPr>
                <w:rFonts w:ascii="Arial" w:cs="Arial" w:eastAsia="Arial" w:hAnsi="Arial"/>
                <w:sz w:val="17"/>
                <w:szCs w:val="17"/>
                <w:color w:val="auto"/>
              </w:rPr>
              <w:t>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Residential mortgage backed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w w:val="93"/>
              </w:rPr>
              <w:t>18,814,784</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70,682</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(309,273)</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(38,442)</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w w:val="91"/>
              </w:rPr>
              <w:t>18,537,751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tcPr>
          <w:p>
            <w:pPr>
              <w:ind w:left="140"/>
              <w:spacing w:after="0"/>
              <w:rPr>
                <w:sz w:val="20"/>
                <w:szCs w:val="20"/>
                <w:color w:val="auto"/>
              </w:rPr>
            </w:pPr>
            <w:r>
              <w:rPr>
                <w:rFonts w:ascii="Arial" w:cs="Arial" w:eastAsia="Arial" w:hAnsi="Arial"/>
                <w:sz w:val="17"/>
                <w:szCs w:val="17"/>
                <w:color w:val="auto"/>
              </w:rPr>
              <w:t>Total fixed-maturity securities</w:t>
            </w:r>
          </w:p>
        </w:tc>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w w:val="93"/>
              </w:rPr>
              <w:t>80,596,628</w:t>
            </w: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870,229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(993,975)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(44,054)</w:t>
            </w:r>
          </w:p>
        </w:tc>
        <w:tc>
          <w:tcPr>
            <w:tcW w:w="24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7"/>
                <w:szCs w:val="17"/>
                <w:color w:val="auto"/>
                <w:w w:val="91"/>
              </w:rPr>
              <w:t>80,428,828</w:t>
            </w:r>
          </w:p>
        </w:tc>
        <w:tc>
          <w:tcPr>
            <w:tcW w:w="1000" w:type="dxa"/>
            <w:vAlign w:val="bottom"/>
          </w:tcPr>
          <w:p>
            <w:pPr>
              <w:jc w:val="right"/>
              <w:spacing w:after="0"/>
              <w:rPr>
                <w:sz w:val="20"/>
                <w:szCs w:val="20"/>
                <w:color w:val="auto"/>
              </w:rPr>
            </w:pPr>
            <w:r>
              <w:rPr>
                <w:rFonts w:ascii="Arial" w:cs="Arial" w:eastAsia="Arial" w:hAnsi="Arial"/>
                <w:sz w:val="17"/>
                <w:szCs w:val="17"/>
                <w:color w:val="auto"/>
              </w:rPr>
              <w:t>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9,709,385</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701,641</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(255,301)</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(168,039)</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rPr>
              <w:t>9,987,686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w w:val="93"/>
              </w:rPr>
              <w:t>90,306,013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1,571,870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(1,249,276)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(212,093)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w w:val="91"/>
              </w:rPr>
              <w:t>90,416,514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3"/>
            <w:vMerge w:val="restart"/>
          </w:tcPr>
          <w:p>
            <w:pPr>
              <w:ind w:left="620"/>
              <w:spacing w:after="0"/>
              <w:rPr>
                <w:sz w:val="20"/>
                <w:szCs w:val="20"/>
                <w:color w:val="auto"/>
              </w:rPr>
            </w:pPr>
            <w:r>
              <w:rPr>
                <w:rFonts w:ascii="Arial" w:cs="Arial" w:eastAsia="Arial" w:hAnsi="Arial"/>
                <w:sz w:val="17"/>
                <w:szCs w:val="17"/>
                <w:color w:val="auto"/>
              </w:rPr>
              <w:t>Held-to-Maturity Securities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5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77"/>
              <w:spacing w:after="0"/>
              <w:rPr>
                <w:sz w:val="20"/>
                <w:szCs w:val="20"/>
                <w:color w:val="auto"/>
              </w:rPr>
            </w:pPr>
            <w:r>
              <w:rPr>
                <w:rFonts w:ascii="Arial" w:cs="Arial" w:eastAsia="Arial" w:hAnsi="Arial"/>
                <w:sz w:val="14"/>
                <w:szCs w:val="14"/>
                <w:b w:val="1"/>
                <w:bCs w:val="1"/>
                <w:color w:val="auto"/>
                <w:w w:val="91"/>
              </w:rPr>
              <w:t>September 30, 2017</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57"/>
              <w:spacing w:after="0"/>
              <w:rPr>
                <w:sz w:val="20"/>
                <w:szCs w:val="20"/>
                <w:color w:val="auto"/>
              </w:rPr>
            </w:pPr>
            <w:r>
              <w:rPr>
                <w:rFonts w:ascii="Arial" w:cs="Arial" w:eastAsia="Arial" w:hAnsi="Arial"/>
                <w:sz w:val="14"/>
                <w:szCs w:val="14"/>
                <w:b w:val="1"/>
                <w:bCs w:val="1"/>
                <w:color w:val="auto"/>
                <w:w w:val="89"/>
              </w:rPr>
              <w:t>Gross Unrealized Losses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0"/>
              <w:spacing w:after="0" w:line="144"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920" w:type="dxa"/>
            <w:vAlign w:val="bottom"/>
          </w:tcPr>
          <w:p>
            <w:pPr>
              <w:jc w:val="center"/>
              <w:ind w:right="16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240" w:type="dxa"/>
            <w:vAlign w:val="bottom"/>
          </w:tcPr>
          <w:p>
            <w:pPr>
              <w:spacing w:after="0"/>
              <w:rPr>
                <w:sz w:val="12"/>
                <w:szCs w:val="12"/>
                <w:color w:val="auto"/>
              </w:rPr>
            </w:pPr>
          </w:p>
        </w:tc>
        <w:tc>
          <w:tcPr>
            <w:tcW w:w="1040" w:type="dxa"/>
            <w:vAlign w:val="bottom"/>
          </w:tcPr>
          <w:p>
            <w:pPr>
              <w:jc w:val="center"/>
              <w:ind w:right="299"/>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94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5"/>
                <w:szCs w:val="15"/>
                <w:color w:val="auto"/>
              </w:rPr>
            </w:pPr>
          </w:p>
        </w:tc>
        <w:tc>
          <w:tcPr>
            <w:tcW w:w="920" w:type="dxa"/>
            <w:vAlign w:val="bottom"/>
          </w:tcPr>
          <w:p>
            <w:pPr>
              <w:jc w:val="center"/>
              <w:ind w:right="200"/>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1040" w:type="dxa"/>
            <w:vAlign w:val="bottom"/>
          </w:tcPr>
          <w:p>
            <w:pPr>
              <w:jc w:val="center"/>
              <w:ind w:right="299"/>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606,456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147,583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754,039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1,099,032</w:t>
            </w: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68,375</w:t>
            </w:r>
          </w:p>
        </w:tc>
        <w:tc>
          <w:tcPr>
            <w:tcW w:w="24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7"/>
                <w:szCs w:val="17"/>
                <w:color w:val="auto"/>
              </w:rPr>
              <w:t>1,167,407</w:t>
            </w:r>
          </w:p>
        </w:tc>
        <w:tc>
          <w:tcPr>
            <w:tcW w:w="1000" w:type="dxa"/>
            <w:vAlign w:val="bottom"/>
          </w:tcPr>
          <w:p>
            <w:pPr>
              <w:jc w:val="right"/>
              <w:spacing w:after="0"/>
              <w:rPr>
                <w:sz w:val="20"/>
                <w:szCs w:val="20"/>
                <w:color w:val="auto"/>
              </w:rPr>
            </w:pPr>
            <w:r>
              <w:rPr>
                <w:rFonts w:ascii="Arial" w:cs="Arial" w:eastAsia="Arial" w:hAnsi="Arial"/>
                <w:sz w:val="17"/>
                <w:szCs w:val="17"/>
                <w:color w:val="auto"/>
              </w:rPr>
              <w:t>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3,140,861</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124,122</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(5,270)</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rPr>
              <w:t>3,259,713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4,846,349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340,080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rPr>
              <w:t>5,181,159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77"/>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157"/>
              <w:spacing w:after="0"/>
              <w:rPr>
                <w:sz w:val="20"/>
                <w:szCs w:val="20"/>
                <w:color w:val="auto"/>
              </w:rPr>
            </w:pPr>
            <w:r>
              <w:rPr>
                <w:rFonts w:ascii="Arial" w:cs="Arial" w:eastAsia="Arial" w:hAnsi="Arial"/>
                <w:sz w:val="14"/>
                <w:szCs w:val="14"/>
                <w:b w:val="1"/>
                <w:bCs w:val="1"/>
                <w:color w:val="auto"/>
                <w:w w:val="89"/>
              </w:rPr>
              <w:t>Gross Unrealized Losses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0"/>
              <w:spacing w:after="0" w:line="144"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920" w:type="dxa"/>
            <w:vAlign w:val="bottom"/>
          </w:tcPr>
          <w:p>
            <w:pPr>
              <w:jc w:val="center"/>
              <w:ind w:right="160"/>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240" w:type="dxa"/>
            <w:vAlign w:val="bottom"/>
          </w:tcPr>
          <w:p>
            <w:pPr>
              <w:spacing w:after="0"/>
              <w:rPr>
                <w:sz w:val="12"/>
                <w:szCs w:val="12"/>
                <w:color w:val="auto"/>
              </w:rPr>
            </w:pPr>
          </w:p>
        </w:tc>
        <w:tc>
          <w:tcPr>
            <w:tcW w:w="1040" w:type="dxa"/>
            <w:vAlign w:val="bottom"/>
          </w:tcPr>
          <w:p>
            <w:pPr>
              <w:jc w:val="center"/>
              <w:ind w:right="299"/>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94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5"/>
                <w:szCs w:val="15"/>
                <w:color w:val="auto"/>
              </w:rPr>
            </w:pPr>
          </w:p>
        </w:tc>
        <w:tc>
          <w:tcPr>
            <w:tcW w:w="920" w:type="dxa"/>
            <w:vAlign w:val="bottom"/>
          </w:tcPr>
          <w:p>
            <w:pPr>
              <w:jc w:val="center"/>
              <w:ind w:right="200"/>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1040" w:type="dxa"/>
            <w:vAlign w:val="bottom"/>
          </w:tcPr>
          <w:p>
            <w:pPr>
              <w:jc w:val="center"/>
              <w:ind w:right="299"/>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606,427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147,612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754,039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1,349,916</w:t>
            </w: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37,321</w:t>
            </w:r>
          </w:p>
        </w:tc>
        <w:tc>
          <w:tcPr>
            <w:tcW w:w="24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7"/>
                <w:szCs w:val="17"/>
                <w:color w:val="auto"/>
              </w:rPr>
              <w:t>1,387,237</w:t>
            </w:r>
          </w:p>
        </w:tc>
        <w:tc>
          <w:tcPr>
            <w:tcW w:w="1000" w:type="dxa"/>
            <w:vAlign w:val="bottom"/>
          </w:tcPr>
          <w:p>
            <w:pPr>
              <w:jc w:val="right"/>
              <w:spacing w:after="0"/>
              <w:rPr>
                <w:sz w:val="20"/>
                <w:szCs w:val="20"/>
                <w:color w:val="auto"/>
              </w:rPr>
            </w:pPr>
            <w:r>
              <w:rPr>
                <w:rFonts w:ascii="Arial" w:cs="Arial" w:eastAsia="Arial" w:hAnsi="Arial"/>
                <w:sz w:val="17"/>
                <w:szCs w:val="17"/>
                <w:color w:val="auto"/>
              </w:rPr>
              <w:t>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3,138,559</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72,784</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(7,619)</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rPr>
              <w:t>3,156,843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5,094,902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257,717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rPr>
              <w:t>5,298,119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U.S. Treasury securities included in held-to-maturity securities are held in trust pursuant to the New York State Department of Financial Services’ minimum funds requirement.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September 30, 2017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is shown below:</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636" w:right="1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7"/>
        </w:trPr>
        <w:tc>
          <w:tcPr>
            <w:tcW w:w="6340" w:type="dxa"/>
            <w:vAlign w:val="bottom"/>
          </w:tcPr>
          <w:p>
            <w:pPr>
              <w:spacing w:after="0"/>
              <w:rPr>
                <w:sz w:val="15"/>
                <w:szCs w:val="15"/>
                <w:color w:val="auto"/>
              </w:rPr>
            </w:pPr>
          </w:p>
        </w:tc>
        <w:tc>
          <w:tcPr>
            <w:tcW w:w="25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September 30, 2017</w:t>
            </w:r>
          </w:p>
        </w:tc>
        <w:tc>
          <w:tcPr>
            <w:tcW w:w="254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December 31, 2016</w:t>
            </w:r>
          </w:p>
        </w:tc>
      </w:tr>
      <w:tr>
        <w:trPr>
          <w:trHeight w:val="144"/>
        </w:trPr>
        <w:tc>
          <w:tcPr>
            <w:tcW w:w="634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6"/>
              </w:rPr>
              <w:t>Amortized</w:t>
            </w:r>
          </w:p>
        </w:tc>
        <w:tc>
          <w:tcPr>
            <w:tcW w:w="126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Amortized</w:t>
            </w:r>
          </w:p>
        </w:tc>
        <w:tc>
          <w:tcPr>
            <w:tcW w:w="1280" w:type="dxa"/>
            <w:vAlign w:val="bottom"/>
          </w:tcPr>
          <w:p>
            <w:pPr>
              <w:spacing w:after="0"/>
              <w:rPr>
                <w:sz w:val="12"/>
                <w:szCs w:val="12"/>
                <w:color w:val="auto"/>
              </w:rPr>
            </w:pPr>
          </w:p>
        </w:tc>
      </w:tr>
      <w:tr>
        <w:trPr>
          <w:trHeight w:val="177"/>
        </w:trPr>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Remaining Time to Maturity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Fair Value</w:t>
            </w:r>
          </w:p>
        </w:tc>
      </w:tr>
    </w:tbl>
    <w:p>
      <w:pPr>
        <w:spacing w:after="0" w:line="200" w:lineRule="exact"/>
        <w:rPr>
          <w:sz w:val="20"/>
          <w:szCs w:val="20"/>
          <w:color w:val="auto"/>
        </w:rPr>
      </w:pPr>
    </w:p>
    <w:p>
      <w:pPr>
        <w:sectPr>
          <w:pgSz w:w="11900" w:h="16838" w:orient="portrait"/>
          <w:cols w:equalWidth="0" w:num="1">
            <w:col w:w="11420"/>
          </w:cols>
          <w:pgMar w:left="240" w:top="492"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Less than one year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One to five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Five to ten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More than 10 years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0" w:lineRule="exact"/>
        <w:rPr>
          <w:sz w:val="20"/>
          <w:szCs w:val="20"/>
          <w:color w:val="auto"/>
        </w:rPr>
      </w:pPr>
    </w:p>
    <w:p>
      <w:pPr>
        <w:spacing w:after="0" w:line="285" w:lineRule="exact"/>
        <w:rPr>
          <w:sz w:val="20"/>
          <w:szCs w:val="20"/>
          <w:color w:val="auto"/>
        </w:rPr>
      </w:pPr>
    </w:p>
    <w:p>
      <w:pPr>
        <w:jc w:val="right"/>
        <w:ind w:right="200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09"/>
        </w:trPr>
        <w:tc>
          <w:tcPr>
            <w:tcW w:w="34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1,745,332</w:t>
            </w:r>
          </w:p>
        </w:tc>
        <w:tc>
          <w:tcPr>
            <w:tcW w:w="3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1,806,484</w:t>
            </w:r>
          </w:p>
        </w:tc>
        <w:tc>
          <w:tcPr>
            <w:tcW w:w="3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650,000</w:t>
            </w:r>
          </w:p>
        </w:tc>
        <w:tc>
          <w:tcPr>
            <w:tcW w:w="3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642,455</w:t>
            </w:r>
          </w:p>
        </w:tc>
      </w:tr>
      <w:tr>
        <w:trPr>
          <w:trHeight w:val="209"/>
        </w:trPr>
        <w:tc>
          <w:tcPr>
            <w:tcW w:w="34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2,494,561</w:t>
            </w:r>
          </w:p>
        </w:tc>
        <w:tc>
          <w:tcPr>
            <w:tcW w:w="3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2,620,636</w:t>
            </w:r>
          </w:p>
        </w:tc>
        <w:tc>
          <w:tcPr>
            <w:tcW w:w="3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3,838,475</w:t>
            </w:r>
          </w:p>
        </w:tc>
        <w:tc>
          <w:tcPr>
            <w:tcW w:w="3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3,901,625</w:t>
            </w:r>
          </w:p>
        </w:tc>
      </w:tr>
      <w:tr>
        <w:trPr>
          <w:trHeight w:val="224"/>
        </w:trPr>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606,456</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754,039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606,427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754,039</w:t>
            </w:r>
          </w:p>
        </w:tc>
      </w:tr>
      <w:tr>
        <w:trPr>
          <w:trHeight w:val="209"/>
        </w:trPr>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4,846,349</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5,181,159</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5,094,902</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5,298,119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-713740</wp:posOffset>
            </wp:positionV>
            <wp:extent cx="7251065" cy="132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-447675</wp:posOffset>
            </wp:positionV>
            <wp:extent cx="7251065" cy="132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-165735</wp:posOffset>
            </wp:positionV>
            <wp:extent cx="7251065" cy="166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pacing w:after="0" w:line="763" w:lineRule="exact"/>
        <w:rPr>
          <w:sz w:val="20"/>
          <w:szCs w:val="20"/>
          <w:color w:val="auto"/>
        </w:rPr>
      </w:pPr>
    </w:p>
    <w:p>
      <w:pPr>
        <w:sectPr>
          <w:pgSz w:w="11900" w:h="16838" w:orient="portrait"/>
          <w:cols w:equalWidth="0" w:num="2">
            <w:col w:w="5620" w:space="720"/>
            <w:col w:w="5080"/>
          </w:cols>
          <w:pgMar w:left="240" w:top="492" w:right="23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The table below summarizes the credit quality of our available-for-sale fixed-maturity securities as of September 30, 2017 and December 31, 2016 as rated by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(or, if unavailable from Standard &amp; Poor’s, then Moody’s or Fitch):</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2"/>
          </w:tcPr>
          <w:p>
            <w:pPr>
              <w:jc w:val="right"/>
              <w:ind w:right="757"/>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5"/>
                <w:szCs w:val="15"/>
                <w:color w:val="auto"/>
              </w:rPr>
            </w:pPr>
          </w:p>
        </w:tc>
        <w:tc>
          <w:tcPr>
            <w:tcW w:w="2480" w:type="dxa"/>
            <w:vAlign w:val="bottom"/>
            <w:gridSpan w:val="3"/>
          </w:tcPr>
          <w:p>
            <w:pPr>
              <w:ind w:left="5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57"/>
              <w:spacing w:after="0" w:line="144"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277"/>
              <w:spacing w:after="0" w:line="157" w:lineRule="exact"/>
              <w:rPr>
                <w:sz w:val="20"/>
                <w:szCs w:val="20"/>
                <w:color w:val="auto"/>
              </w:rPr>
            </w:pPr>
            <w:r>
              <w:rPr>
                <w:rFonts w:ascii="Arial" w:cs="Arial" w:eastAsia="Arial" w:hAnsi="Arial"/>
                <w:sz w:val="14"/>
                <w:szCs w:val="14"/>
                <w:b w:val="1"/>
                <w:bCs w:val="1"/>
                <w:color w:val="auto"/>
              </w:rPr>
              <w:t>Fair Market</w:t>
            </w:r>
          </w:p>
        </w:tc>
        <w:tc>
          <w:tcPr>
            <w:tcW w:w="1380" w:type="dxa"/>
            <w:vAlign w:val="bottom"/>
          </w:tcPr>
          <w:p>
            <w:pPr>
              <w:jc w:val="center"/>
              <w:ind w:right="57"/>
              <w:spacing w:after="0" w:line="157" w:lineRule="exact"/>
              <w:rPr>
                <w:sz w:val="20"/>
                <w:szCs w:val="20"/>
                <w:color w:val="auto"/>
              </w:rPr>
            </w:pPr>
            <w:r>
              <w:rPr>
                <w:rFonts w:ascii="Arial" w:cs="Arial" w:eastAsia="Arial" w:hAnsi="Arial"/>
                <w:sz w:val="14"/>
                <w:szCs w:val="14"/>
                <w:b w:val="1"/>
                <w:bCs w:val="1"/>
                <w:color w:val="auto"/>
              </w:rPr>
              <w:t>Fair Market</w:t>
            </w:r>
          </w:p>
        </w:tc>
        <w:tc>
          <w:tcPr>
            <w:tcW w:w="200" w:type="dxa"/>
            <w:vAlign w:val="bottom"/>
          </w:tcPr>
          <w:p>
            <w:pPr>
              <w:spacing w:after="0"/>
              <w:rPr>
                <w:sz w:val="13"/>
                <w:szCs w:val="13"/>
                <w:color w:val="auto"/>
              </w:rPr>
            </w:pPr>
          </w:p>
        </w:tc>
        <w:tc>
          <w:tcPr>
            <w:tcW w:w="1160" w:type="dxa"/>
            <w:vAlign w:val="bottom"/>
          </w:tcPr>
          <w:p>
            <w:pPr>
              <w:jc w:val="right"/>
              <w:ind w:right="277"/>
              <w:spacing w:after="0" w:line="157" w:lineRule="exact"/>
              <w:rPr>
                <w:sz w:val="20"/>
                <w:szCs w:val="20"/>
                <w:color w:val="auto"/>
              </w:rPr>
            </w:pPr>
            <w:r>
              <w:rPr>
                <w:rFonts w:ascii="Arial" w:cs="Arial" w:eastAsia="Arial" w:hAnsi="Arial"/>
                <w:sz w:val="14"/>
                <w:szCs w:val="14"/>
                <w:b w:val="1"/>
                <w:bCs w:val="1"/>
                <w:color w:val="auto"/>
              </w:rPr>
              <w:t>Fair Market</w:t>
            </w:r>
          </w:p>
        </w:tc>
        <w:tc>
          <w:tcPr>
            <w:tcW w:w="13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5"/>
                <w:szCs w:val="15"/>
                <w:color w:val="auto"/>
              </w:rPr>
            </w:pPr>
          </w:p>
        </w:tc>
        <w:tc>
          <w:tcPr>
            <w:tcW w:w="1160" w:type="dxa"/>
            <w:vAlign w:val="bottom"/>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416"/>
        </w:trPr>
        <w:tc>
          <w:tcPr>
            <w:tcW w:w="50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Rating</w:t>
            </w: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municipal bonds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0"/>
              <w:spacing w:after="0"/>
              <w:rPr>
                <w:sz w:val="20"/>
                <w:szCs w:val="20"/>
                <w:color w:val="auto"/>
              </w:rPr>
            </w:pPr>
            <w:r>
              <w:rPr>
                <w:rFonts w:ascii="Arial" w:cs="Arial" w:eastAsia="Arial" w:hAnsi="Arial"/>
                <w:sz w:val="17"/>
                <w:szCs w:val="17"/>
                <w:color w:val="auto"/>
              </w:rPr>
              <w:t>AAA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1,571,341</w:t>
            </w:r>
          </w:p>
        </w:tc>
        <w:tc>
          <w:tcPr>
            <w:tcW w:w="1380" w:type="dxa"/>
            <w:vAlign w:val="bottom"/>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1,801,106</w:t>
            </w:r>
          </w:p>
        </w:tc>
        <w:tc>
          <w:tcPr>
            <w:tcW w:w="130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11,498,555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7,236,457</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20"/>
              <w:spacing w:after="0"/>
              <w:rPr>
                <w:sz w:val="20"/>
                <w:szCs w:val="20"/>
                <w:color w:val="auto"/>
              </w:rPr>
            </w:pPr>
            <w:r>
              <w:rPr>
                <w:rFonts w:ascii="Arial" w:cs="Arial" w:eastAsia="Arial" w:hAnsi="Arial"/>
                <w:sz w:val="17"/>
                <w:szCs w:val="17"/>
                <w:color w:val="auto"/>
              </w:rPr>
              <w:t>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17,319,455</w:t>
            </w:r>
          </w:p>
        </w:tc>
        <w:tc>
          <w:tcPr>
            <w:tcW w:w="1380" w:type="dxa"/>
            <w:vAlign w:val="bottom"/>
          </w:tcPr>
          <w:p>
            <w:pPr>
              <w:jc w:val="right"/>
              <w:spacing w:after="0"/>
              <w:rPr>
                <w:sz w:val="20"/>
                <w:szCs w:val="20"/>
                <w:color w:val="auto"/>
              </w:rPr>
            </w:pPr>
            <w:r>
              <w:rPr>
                <w:rFonts w:ascii="Arial" w:cs="Arial" w:eastAsia="Arial" w:hAnsi="Arial"/>
                <w:sz w:val="17"/>
                <w:szCs w:val="17"/>
                <w:color w:val="auto"/>
              </w:rPr>
              <w:t>15.6%</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13,944,784</w:t>
            </w:r>
          </w:p>
        </w:tc>
        <w:tc>
          <w:tcPr>
            <w:tcW w:w="1300" w:type="dxa"/>
            <w:vAlign w:val="bottom"/>
          </w:tcPr>
          <w:p>
            <w:pPr>
              <w:jc w:val="right"/>
              <w:spacing w:after="0"/>
              <w:rPr>
                <w:sz w:val="20"/>
                <w:szCs w:val="20"/>
                <w:color w:val="auto"/>
              </w:rPr>
            </w:pPr>
            <w:r>
              <w:rPr>
                <w:rFonts w:ascii="Arial" w:cs="Arial" w:eastAsia="Arial" w:hAnsi="Arial"/>
                <w:sz w:val="17"/>
                <w:szCs w:val="17"/>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BBB</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59,211,360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38,908,731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0"/>
              <w:spacing w:after="0"/>
              <w:rPr>
                <w:sz w:val="20"/>
                <w:szCs w:val="20"/>
                <w:color w:val="auto"/>
              </w:rPr>
            </w:pPr>
            <w:r>
              <w:rPr>
                <w:rFonts w:ascii="Arial" w:cs="Arial" w:eastAsia="Arial" w:hAnsi="Arial"/>
                <w:sz w:val="17"/>
                <w:szCs w:val="17"/>
                <w:color w:val="auto"/>
              </w:rPr>
              <w:t>BB</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929,350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corporate and municipal bonds</w:t>
            </w: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90,530,061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61,891,078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0"/>
              <w:spacing w:after="0"/>
              <w:rPr>
                <w:sz w:val="20"/>
                <w:szCs w:val="20"/>
                <w:color w:val="auto"/>
              </w:rPr>
            </w:pPr>
            <w:r>
              <w:rPr>
                <w:rFonts w:ascii="Arial" w:cs="Arial" w:eastAsia="Arial" w:hAnsi="Arial"/>
                <w:sz w:val="17"/>
                <w:szCs w:val="17"/>
                <w:color w:val="auto"/>
              </w:rPr>
              <w:t>AAA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2,021,700</w:t>
            </w:r>
          </w:p>
        </w:tc>
        <w:tc>
          <w:tcPr>
            <w:tcW w:w="1380" w:type="dxa"/>
            <w:vAlign w:val="bottom"/>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11,564,239</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14,143,828</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20"/>
              <w:spacing w:after="0"/>
              <w:rPr>
                <w:sz w:val="20"/>
                <w:szCs w:val="20"/>
                <w:color w:val="auto"/>
              </w:rPr>
            </w:pPr>
            <w:r>
              <w:rPr>
                <w:rFonts w:ascii="Arial" w:cs="Arial" w:eastAsia="Arial" w:hAnsi="Arial"/>
                <w:sz w:val="17"/>
                <w:szCs w:val="17"/>
                <w:color w:val="auto"/>
              </w:rPr>
              <w:t>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3,908,071</w:t>
            </w:r>
          </w:p>
        </w:tc>
        <w:tc>
          <w:tcPr>
            <w:tcW w:w="1380" w:type="dxa"/>
            <w:vAlign w:val="bottom"/>
          </w:tcPr>
          <w:p>
            <w:pPr>
              <w:jc w:val="right"/>
              <w:spacing w:after="0"/>
              <w:rPr>
                <w:sz w:val="20"/>
                <w:szCs w:val="20"/>
                <w:color w:val="auto"/>
              </w:rPr>
            </w:pPr>
            <w:r>
              <w:rPr>
                <w:rFonts w:ascii="Arial" w:cs="Arial" w:eastAsia="Arial" w:hAnsi="Arial"/>
                <w:sz w:val="17"/>
                <w:szCs w:val="17"/>
                <w:color w:val="auto"/>
              </w:rPr>
              <w:t>3.5%</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173,973</w:t>
            </w:r>
          </w:p>
        </w:tc>
        <w:tc>
          <w:tcPr>
            <w:tcW w:w="1300" w:type="dxa"/>
            <w:vAlign w:val="bottom"/>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CCC</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1,415,748</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513,369</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0"/>
              <w:spacing w:after="0"/>
              <w:rPr>
                <w:sz w:val="20"/>
                <w:szCs w:val="20"/>
                <w:color w:val="auto"/>
              </w:rPr>
            </w:pPr>
            <w:r>
              <w:rPr>
                <w:rFonts w:ascii="Arial" w:cs="Arial" w:eastAsia="Arial" w:hAnsi="Arial"/>
                <w:sz w:val="17"/>
                <w:szCs w:val="17"/>
                <w:color w:val="auto"/>
              </w:rPr>
              <w:t>CC</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126,335</w:t>
            </w:r>
          </w:p>
        </w:tc>
        <w:tc>
          <w:tcPr>
            <w:tcW w:w="1380" w:type="dxa"/>
            <w:vAlign w:val="bottom"/>
          </w:tcPr>
          <w:p>
            <w:pPr>
              <w:jc w:val="right"/>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30,318</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112,136</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20"/>
              <w:spacing w:after="0"/>
              <w:rPr>
                <w:sz w:val="20"/>
                <w:szCs w:val="20"/>
                <w:color w:val="auto"/>
              </w:rPr>
            </w:pPr>
            <w:r>
              <w:rPr>
                <w:rFonts w:ascii="Arial" w:cs="Arial" w:eastAsia="Arial" w:hAnsi="Arial"/>
                <w:sz w:val="17"/>
                <w:szCs w:val="17"/>
                <w:color w:val="auto"/>
              </w:rPr>
              <w:t>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1,811,320</w:t>
            </w:r>
          </w:p>
        </w:tc>
        <w:tc>
          <w:tcPr>
            <w:tcW w:w="138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3,594,444</w:t>
            </w:r>
          </w:p>
        </w:tc>
        <w:tc>
          <w:tcPr>
            <w:tcW w:w="130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Not rated</w:t>
            </w: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381,960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360"/>
              <w:spacing w:after="0"/>
              <w:rPr>
                <w:sz w:val="20"/>
                <w:szCs w:val="20"/>
                <w:color w:val="auto"/>
              </w:rPr>
            </w:pPr>
            <w:r>
              <w:rPr>
                <w:rFonts w:ascii="Arial" w:cs="Arial" w:eastAsia="Arial" w:hAnsi="Arial"/>
                <w:sz w:val="17"/>
                <w:szCs w:val="17"/>
                <w:color w:val="auto"/>
              </w:rPr>
              <w:t>Total residential mortgage and other asset backed securities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21,259,691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18,537,750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200"/>
              <w:spacing w:after="0"/>
              <w:rPr>
                <w:sz w:val="20"/>
                <w:szCs w:val="20"/>
                <w:color w:val="auto"/>
              </w:rPr>
            </w:pPr>
            <w:r>
              <w:rPr>
                <w:rFonts w:ascii="Arial" w:cs="Arial" w:eastAsia="Arial" w:hAnsi="Arial"/>
                <w:sz w:val="17"/>
                <w:szCs w:val="17"/>
                <w:b w:val="1"/>
                <w:bCs w:val="1"/>
                <w:color w:val="auto"/>
              </w:rPr>
              <w:t>Total</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111,789,752</w:t>
            </w:r>
          </w:p>
        </w:tc>
        <w:tc>
          <w:tcPr>
            <w:tcW w:w="1380" w:type="dxa"/>
            <w:vAlign w:val="bottom"/>
          </w:tcPr>
          <w:p>
            <w:pPr>
              <w:jc w:val="right"/>
              <w:spacing w:after="0"/>
              <w:rPr>
                <w:sz w:val="20"/>
                <w:szCs w:val="20"/>
                <w:color w:val="auto"/>
              </w:rPr>
            </w:pPr>
            <w:r>
              <w:rPr>
                <w:rFonts w:ascii="Arial" w:cs="Arial" w:eastAsia="Arial" w:hAnsi="Arial"/>
                <w:sz w:val="17"/>
                <w:szCs w:val="17"/>
                <w:color w:val="auto"/>
              </w:rPr>
              <w:t>100.0%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17"/>
              <w:spacing w:after="0"/>
              <w:rPr>
                <w:sz w:val="20"/>
                <w:szCs w:val="20"/>
                <w:color w:val="auto"/>
              </w:rPr>
            </w:pPr>
            <w:r>
              <w:rPr>
                <w:rFonts w:ascii="Arial" w:cs="Arial" w:eastAsia="Arial" w:hAnsi="Arial"/>
                <w:sz w:val="17"/>
                <w:szCs w:val="17"/>
                <w:color w:val="auto"/>
              </w:rPr>
              <w:t>80,428,828</w:t>
            </w:r>
          </w:p>
        </w:tc>
        <w:tc>
          <w:tcPr>
            <w:tcW w:w="1300" w:type="dxa"/>
            <w:vAlign w:val="bottom"/>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vMerge w:val="restart"/>
          </w:tcPr>
          <w:p>
            <w:pPr>
              <w:jc w:val="right"/>
              <w:ind w:right="55"/>
              <w:spacing w:after="0"/>
              <w:rPr>
                <w:sz w:val="20"/>
                <w:szCs w:val="20"/>
                <w:color w:val="auto"/>
              </w:rPr>
            </w:pPr>
            <w:r>
              <w:rPr>
                <w:rFonts w:ascii="Arial" w:cs="Arial" w:eastAsia="Arial" w:hAnsi="Arial"/>
                <w:sz w:val="17"/>
                <w:szCs w:val="17"/>
                <w:color w:val="auto"/>
              </w:rPr>
              <w:t>58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2" w:right="239" w:bottom="1440" w:gutter="0" w:footer="0" w:header="0"/>
          <w:type w:val="continuous"/>
        </w:sectPr>
      </w:pPr>
    </w:p>
    <w:bookmarkStart w:id="60" w:name="page61"/>
    <w:bookmarkEnd w:id="60"/>
    <w:p>
      <w:pPr>
        <w:ind w:left="640"/>
        <w:spacing w:after="0"/>
        <w:rPr>
          <w:sz w:val="20"/>
          <w:szCs w:val="20"/>
          <w:color w:val="auto"/>
        </w:rPr>
      </w:pPr>
      <w:r>
        <w:rPr>
          <w:rFonts w:ascii="Arial" w:cs="Arial" w:eastAsia="Arial" w:hAnsi="Arial"/>
          <w:sz w:val="17"/>
          <w:szCs w:val="17"/>
          <w:color w:val="auto"/>
        </w:rPr>
        <w:t>The table below summarizes the average yield by type of fixed-maturity security as of September 30, 2017 and December 31,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880" w:type="dxa"/>
            <w:vAlign w:val="bottom"/>
          </w:tcPr>
          <w:p>
            <w:pPr>
              <w:jc w:val="right"/>
              <w:ind w:right="299"/>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Category</w:t>
            </w:r>
          </w:p>
        </w:tc>
        <w:tc>
          <w:tcPr>
            <w:tcW w:w="38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U.S. Treasury securities and</w:t>
            </w:r>
          </w:p>
        </w:tc>
        <w:tc>
          <w:tcPr>
            <w:tcW w:w="3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7"/>
                <w:szCs w:val="17"/>
                <w:color w:val="auto"/>
              </w:rPr>
              <w:t>obligations of U.S. government</w:t>
            </w: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corporations and agencies</w:t>
            </w:r>
          </w:p>
        </w:tc>
        <w:tc>
          <w:tcPr>
            <w:tcW w:w="38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3.44%</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3880" w:type="dxa"/>
            <w:vAlign w:val="bottom"/>
          </w:tcPr>
          <w:p>
            <w:pPr>
              <w:jc w:val="right"/>
              <w:ind w:right="59"/>
              <w:spacing w:after="0"/>
              <w:rPr>
                <w:sz w:val="20"/>
                <w:szCs w:val="20"/>
                <w:color w:val="auto"/>
              </w:rPr>
            </w:pPr>
            <w:r>
              <w:rPr>
                <w:rFonts w:ascii="Arial" w:cs="Arial" w:eastAsia="Arial" w:hAnsi="Arial"/>
                <w:sz w:val="17"/>
                <w:szCs w:val="17"/>
                <w:color w:val="auto"/>
              </w:rPr>
              <w:t>3.56%</w:t>
            </w:r>
          </w:p>
        </w:tc>
        <w:tc>
          <w:tcPr>
            <w:tcW w:w="1220" w:type="dxa"/>
            <w:vAlign w:val="bottom"/>
          </w:tcPr>
          <w:p>
            <w:pPr>
              <w:jc w:val="right"/>
              <w:spacing w:after="0"/>
              <w:rPr>
                <w:sz w:val="20"/>
                <w:szCs w:val="20"/>
                <w:color w:val="auto"/>
              </w:rPr>
            </w:pPr>
            <w:r>
              <w:rPr>
                <w:rFonts w:ascii="Arial" w:cs="Arial" w:eastAsia="Arial" w:hAnsi="Arial"/>
                <w:sz w:val="17"/>
                <w:szCs w:val="17"/>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38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4.02%</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w:t>
            </w:r>
          </w:p>
        </w:tc>
        <w:tc>
          <w:tcPr>
            <w:tcW w:w="38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1.68%</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8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3.54%</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160" w:firstLine="628"/>
        <w:spacing w:after="0" w:line="281" w:lineRule="auto"/>
        <w:rPr>
          <w:sz w:val="20"/>
          <w:szCs w:val="20"/>
          <w:color w:val="auto"/>
        </w:rPr>
      </w:pPr>
      <w:r>
        <w:rPr>
          <w:rFonts w:ascii="Arial" w:cs="Arial" w:eastAsia="Arial" w:hAnsi="Arial"/>
          <w:sz w:val="17"/>
          <w:szCs w:val="17"/>
          <w:color w:val="auto"/>
        </w:rPr>
        <w:t>The table below lists the weighted average maturity and effective duration in years on our fixed-maturity securities as of September 30, 2017 and December 31, 2016: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20" w:type="dxa"/>
            <w:vAlign w:val="bottom"/>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8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effective maturity</w:t>
            </w:r>
          </w:p>
        </w:tc>
        <w:tc>
          <w:tcPr>
            <w:tcW w:w="442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5.5</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final maturity</w:t>
            </w:r>
          </w:p>
        </w:tc>
        <w:tc>
          <w:tcPr>
            <w:tcW w:w="442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7.9</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Effective duration</w:t>
            </w:r>
          </w:p>
        </w:tc>
        <w:tc>
          <w:tcPr>
            <w:tcW w:w="442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4.8</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158"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2017 and December 31, 2016, 70% and 65%, respectively, of the investment portfolio recorded at fair value was priced based upon quoted market prices.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1" w:name="page62"/>
    <w:bookmarkEnd w:id="61"/>
    <w:p>
      <w:pPr>
        <w:jc w:val="both"/>
        <w:ind w:firstLine="628"/>
        <w:spacing w:after="0" w:line="298" w:lineRule="auto"/>
        <w:rPr>
          <w:sz w:val="20"/>
          <w:szCs w:val="20"/>
          <w:color w:val="auto"/>
        </w:rPr>
      </w:pPr>
      <w:r>
        <w:rPr>
          <w:rFonts w:ascii="Arial" w:cs="Arial" w:eastAsia="Arial" w:hAnsi="Arial"/>
          <w:sz w:val="15"/>
          <w:szCs w:val="15"/>
          <w:color w:val="auto"/>
        </w:rPr>
        <w:t>As more fully described in Note 3 to our Condensed Consolidated Financial Statements, “Investments—Impairment Review,” we completed a detailed review of all our securities in a continuous loss position as of September 30, 2017 and December 31, 2016. As of September 30, 2017, our held-to-maturity debt securities included an investment in one bond issued by the Commonwealth of Puerto Rico (“PR”). In July 2016, PR defaulted on its interest payment to bondholders. Due to the credit deterioration of PR, we recorded the first credit loss component of other-than-temporary impairment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PR and, as a result, we recorded an additional credit loss component of OTTI on this investment in the amount of $50,000 during the three months ended September 30, 2017. The total of the two OTTI write-downs of this investment as of September 30, 2017 was $119,911. We concluded that the other unrealized losses in these asset classes are temporary in nature and the result of a decrease in value due to technical spread widening and broader market sentiment, rather than fundamental collateral deterioration.</w:t>
      </w:r>
    </w:p>
    <w:p>
      <w:pPr>
        <w:spacing w:after="0" w:line="100" w:lineRule="exact"/>
        <w:rPr>
          <w:sz w:val="20"/>
          <w:szCs w:val="20"/>
          <w:color w:val="auto"/>
        </w:rPr>
      </w:pPr>
    </w:p>
    <w:p>
      <w:pPr>
        <w:ind w:right="120" w:firstLine="628"/>
        <w:spacing w:after="0" w:line="281"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September 30, 2017 and December 31, 2016:</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September 30, 2017</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18"/>
              <w:spacing w:after="0" w:line="157" w:lineRule="exact"/>
              <w:rPr>
                <w:sz w:val="20"/>
                <w:szCs w:val="20"/>
                <w:color w:val="auto"/>
              </w:rPr>
            </w:pPr>
            <w:r>
              <w:rPr>
                <w:rFonts w:ascii="Arial" w:cs="Arial" w:eastAsia="Arial" w:hAnsi="Arial"/>
                <w:sz w:val="14"/>
                <w:szCs w:val="14"/>
                <w:b w:val="1"/>
                <w:bCs w:val="1"/>
                <w:color w:val="auto"/>
                <w:w w:val="90"/>
              </w:rPr>
              <w:t>Less than 12 months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59"/>
              <w:spacing w:after="0" w:line="144"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900" w:type="dxa"/>
            <w:vAlign w:val="bottom"/>
          </w:tcPr>
          <w:p>
            <w:pPr>
              <w:jc w:val="center"/>
              <w:ind w:right="139"/>
              <w:spacing w:after="0" w:line="144"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00" w:type="dxa"/>
            <w:vAlign w:val="bottom"/>
          </w:tcPr>
          <w:p>
            <w:pPr>
              <w:jc w:val="center"/>
              <w:ind w:right="298"/>
              <w:spacing w:after="0" w:line="157"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380" w:type="dxa"/>
            <w:vAlign w:val="bottom"/>
          </w:tcPr>
          <w:p>
            <w:pPr>
              <w:spacing w:after="0"/>
              <w:rPr>
                <w:sz w:val="13"/>
                <w:szCs w:val="13"/>
                <w:color w:val="auto"/>
              </w:rPr>
            </w:pPr>
          </w:p>
        </w:tc>
        <w:tc>
          <w:tcPr>
            <w:tcW w:w="800" w:type="dxa"/>
            <w:vAlign w:val="bottom"/>
          </w:tcPr>
          <w:p>
            <w:pPr>
              <w:jc w:val="right"/>
              <w:ind w:right="279"/>
              <w:spacing w:after="0" w:line="15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80" w:type="dxa"/>
            <w:vAlign w:val="bottom"/>
          </w:tcPr>
          <w:p>
            <w:pPr>
              <w:jc w:val="center"/>
              <w:ind w:right="278"/>
              <w:spacing w:after="0" w:line="157"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900" w:type="dxa"/>
            <w:vAlign w:val="bottom"/>
          </w:tcPr>
          <w:p>
            <w:pPr>
              <w:jc w:val="center"/>
              <w:ind w:right="159"/>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4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100" w:type="dxa"/>
            <w:vAlign w:val="bottom"/>
          </w:tcPr>
          <w:p>
            <w:pPr>
              <w:jc w:val="center"/>
              <w:ind w:right="298"/>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38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80" w:type="dxa"/>
            <w:vAlign w:val="bottom"/>
          </w:tcPr>
          <w:p>
            <w:pPr>
              <w:jc w:val="center"/>
              <w:ind w:right="27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Pr>
          <w:p>
            <w:pPr>
              <w:spacing w:after="0"/>
              <w:rPr>
                <w:sz w:val="15"/>
                <w:szCs w:val="15"/>
                <w:color w:val="auto"/>
              </w:rPr>
            </w:pPr>
          </w:p>
        </w:tc>
        <w:tc>
          <w:tcPr>
            <w:tcW w:w="90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920" w:type="dxa"/>
            <w:vAlign w:val="bottom"/>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Political subdivisions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States, Territories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Possessions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2,183,221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8"/>
              <w:spacing w:after="0"/>
              <w:rPr>
                <w:sz w:val="20"/>
                <w:szCs w:val="20"/>
                <w:color w:val="auto"/>
              </w:rPr>
            </w:pPr>
            <w:r>
              <w:rPr>
                <w:rFonts w:ascii="Arial" w:cs="Arial" w:eastAsia="Arial" w:hAnsi="Arial"/>
                <w:sz w:val="17"/>
                <w:szCs w:val="17"/>
                <w:color w:val="auto"/>
              </w:rPr>
              <w:t>(21,223)</w:t>
            </w: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2,183,221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(21,223)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Corporate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bonds industrial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miscellaneous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11,306,993</w:t>
            </w:r>
          </w:p>
        </w:tc>
        <w:tc>
          <w:tcPr>
            <w:tcW w:w="300" w:type="dxa"/>
            <w:vAlign w:val="bottom"/>
          </w:tcPr>
          <w:p>
            <w:pPr>
              <w:spacing w:after="0"/>
              <w:rPr>
                <w:sz w:val="18"/>
                <w:szCs w:val="18"/>
                <w:color w:val="auto"/>
              </w:rPr>
            </w:pPr>
          </w:p>
        </w:tc>
        <w:tc>
          <w:tcPr>
            <w:tcW w:w="1100" w:type="dxa"/>
            <w:vAlign w:val="bottom"/>
          </w:tcPr>
          <w:p>
            <w:pPr>
              <w:jc w:val="right"/>
              <w:ind w:right="138"/>
              <w:spacing w:after="0"/>
              <w:rPr>
                <w:sz w:val="20"/>
                <w:szCs w:val="20"/>
                <w:color w:val="auto"/>
              </w:rPr>
            </w:pPr>
            <w:r>
              <w:rPr>
                <w:rFonts w:ascii="Arial" w:cs="Arial" w:eastAsia="Arial" w:hAnsi="Arial"/>
                <w:sz w:val="17"/>
                <w:szCs w:val="17"/>
                <w:color w:val="auto"/>
              </w:rPr>
              <w:t>(204,904)</w:t>
            </w: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7"/>
              </w:rPr>
              <w:t>4,967,629</w:t>
            </w:r>
          </w:p>
        </w:tc>
        <w:tc>
          <w:tcPr>
            <w:tcW w:w="28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(109,623)</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7"/>
                <w:szCs w:val="17"/>
                <w:color w:val="auto"/>
                <w:w w:val="91"/>
              </w:rPr>
              <w:t>16,274,622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(314,527)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w w:val="95"/>
              </w:rPr>
              <w:t>Residential mortgage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asset backed securities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13,999,289</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(120,346)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1,241,754</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(63,542)</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15,241,043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(183,888)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 fixed-maturity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27,489,503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(346,473)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6,209,383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(173,165)</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1"/>
              </w:rPr>
              <w:t>33,698,886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(519,638)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1,738,380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(26,360)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1,786,150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(107,477)</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3,524,530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Common stocks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2"/>
              </w:rPr>
              <w:t>exchange traded mutual funds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1,612,300</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(77,429)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299,250</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(59,168)</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1,911,550</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3,350,680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(103,789)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2,085,400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(166,645)</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5,436,080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(270,434)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30,840,183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(450,262)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8,294,783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(339,810)</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39,134,966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(790,072)</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61</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3"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7"/>
                <w:szCs w:val="17"/>
                <w:b w:val="1"/>
                <w:bCs w:val="1"/>
                <w:color w:val="auto"/>
                <w:w w:val="99"/>
              </w:rPr>
              <w:t>December 31, 2016</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7"/>
                <w:szCs w:val="17"/>
                <w:b w:val="1"/>
                <w:bCs w:val="1"/>
                <w:color w:val="auto"/>
                <w:w w:val="88"/>
              </w:rPr>
              <w:t>Less than 12 months</w:t>
            </w: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7"/>
                <w:szCs w:val="17"/>
                <w:b w:val="1"/>
                <w:bCs w:val="1"/>
                <w:color w:val="auto"/>
                <w:w w:val="88"/>
              </w:rPr>
              <w:t>12 months or more</w:t>
            </w: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Total</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jc w:val="center"/>
              <w:ind w:right="15"/>
              <w:spacing w:after="0"/>
              <w:rPr>
                <w:sz w:val="20"/>
                <w:szCs w:val="20"/>
                <w:color w:val="auto"/>
              </w:rPr>
            </w:pPr>
            <w:r>
              <w:rPr>
                <w:rFonts w:ascii="Arial" w:cs="Arial" w:eastAsia="Arial" w:hAnsi="Arial"/>
                <w:sz w:val="17"/>
                <w:szCs w:val="17"/>
                <w:b w:val="1"/>
                <w:bCs w:val="1"/>
                <w:color w:val="auto"/>
                <w:w w:val="91"/>
              </w:rPr>
              <w:t>No. of</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No. of</w:t>
            </w:r>
          </w:p>
        </w:tc>
        <w:tc>
          <w:tcPr>
            <w:tcW w:w="200" w:type="dxa"/>
            <w:vAlign w:val="bottom"/>
          </w:tcPr>
          <w:p>
            <w:pPr>
              <w:spacing w:after="0"/>
              <w:rPr>
                <w:sz w:val="17"/>
                <w:szCs w:val="17"/>
                <w:color w:val="auto"/>
              </w:rPr>
            </w:pPr>
          </w:p>
        </w:tc>
        <w:tc>
          <w:tcPr>
            <w:tcW w:w="940" w:type="dxa"/>
            <w:vAlign w:val="bottom"/>
          </w:tcPr>
          <w:p>
            <w:pPr>
              <w:jc w:val="center"/>
              <w:ind w:right="115"/>
              <w:spacing w:after="0"/>
              <w:rPr>
                <w:sz w:val="20"/>
                <w:szCs w:val="20"/>
                <w:color w:val="auto"/>
              </w:rPr>
            </w:pPr>
            <w:r>
              <w:rPr>
                <w:rFonts w:ascii="Arial" w:cs="Arial" w:eastAsia="Arial" w:hAnsi="Arial"/>
                <w:sz w:val="17"/>
                <w:szCs w:val="17"/>
                <w:b w:val="1"/>
                <w:bCs w:val="1"/>
                <w:color w:val="auto"/>
                <w:w w:val="87"/>
              </w:rPr>
              <w:t>Aggregate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b w:val="1"/>
                <w:bCs w:val="1"/>
                <w:color w:val="auto"/>
              </w:rPr>
              <w:t>Fair</w:t>
            </w:r>
          </w:p>
        </w:tc>
        <w:tc>
          <w:tcPr>
            <w:tcW w:w="1360" w:type="dxa"/>
            <w:vAlign w:val="bottom"/>
            <w:gridSpan w:val="2"/>
          </w:tcPr>
          <w:p>
            <w:pPr>
              <w:jc w:val="center"/>
              <w:ind w:right="115"/>
              <w:spacing w:after="0"/>
              <w:rPr>
                <w:sz w:val="20"/>
                <w:szCs w:val="20"/>
                <w:color w:val="auto"/>
              </w:rPr>
            </w:pPr>
            <w:r>
              <w:rPr>
                <w:rFonts w:ascii="Arial" w:cs="Arial" w:eastAsia="Arial" w:hAnsi="Arial"/>
                <w:sz w:val="17"/>
                <w:szCs w:val="17"/>
                <w:b w:val="1"/>
                <w:bCs w:val="1"/>
                <w:color w:val="auto"/>
                <w:w w:val="92"/>
              </w:rPr>
              <w:t>Unrealized</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86"/>
              </w:rPr>
              <w:t>Positions</w:t>
            </w:r>
          </w:p>
        </w:tc>
        <w:tc>
          <w:tcPr>
            <w:tcW w:w="38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Arial" w:cs="Arial" w:eastAsia="Arial" w:hAnsi="Arial"/>
                <w:sz w:val="17"/>
                <w:szCs w:val="17"/>
                <w:b w:val="1"/>
                <w:bCs w:val="1"/>
                <w:color w:val="auto"/>
              </w:rPr>
              <w:t>Fair</w:t>
            </w:r>
          </w:p>
        </w:tc>
        <w:tc>
          <w:tcPr>
            <w:tcW w:w="1300" w:type="dxa"/>
            <w:vAlign w:val="bottom"/>
            <w:gridSpan w:val="2"/>
          </w:tcPr>
          <w:p>
            <w:pPr>
              <w:jc w:val="center"/>
              <w:ind w:right="95"/>
              <w:spacing w:after="0"/>
              <w:rPr>
                <w:sz w:val="20"/>
                <w:szCs w:val="20"/>
                <w:color w:val="auto"/>
              </w:rPr>
            </w:pPr>
            <w:r>
              <w:rPr>
                <w:rFonts w:ascii="Arial" w:cs="Arial" w:eastAsia="Arial" w:hAnsi="Arial"/>
                <w:sz w:val="17"/>
                <w:szCs w:val="17"/>
                <w:b w:val="1"/>
                <w:bCs w:val="1"/>
                <w:color w:val="auto"/>
                <w:w w:val="92"/>
              </w:rPr>
              <w:t>Unrealized</w:t>
            </w:r>
          </w:p>
        </w:tc>
        <w:tc>
          <w:tcPr>
            <w:tcW w:w="960" w:type="dxa"/>
            <w:vAlign w:val="bottom"/>
          </w:tcPr>
          <w:p>
            <w:pPr>
              <w:jc w:val="center"/>
              <w:ind w:right="75"/>
              <w:spacing w:after="0"/>
              <w:rPr>
                <w:sz w:val="20"/>
                <w:szCs w:val="20"/>
                <w:color w:val="auto"/>
              </w:rPr>
            </w:pPr>
            <w:r>
              <w:rPr>
                <w:rFonts w:ascii="Arial" w:cs="Arial" w:eastAsia="Arial" w:hAnsi="Arial"/>
                <w:sz w:val="17"/>
                <w:szCs w:val="17"/>
                <w:b w:val="1"/>
                <w:bCs w:val="1"/>
                <w:color w:val="auto"/>
                <w:w w:val="83"/>
              </w:rPr>
              <w:t>Positions</w:t>
            </w:r>
          </w:p>
        </w:tc>
        <w:tc>
          <w:tcPr>
            <w:tcW w:w="200" w:type="dxa"/>
            <w:vAlign w:val="bottom"/>
          </w:tcPr>
          <w:p>
            <w:pPr>
              <w:spacing w:after="0"/>
              <w:rPr>
                <w:sz w:val="18"/>
                <w:szCs w:val="18"/>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rPr>
              <w:t>Fair</w:t>
            </w:r>
          </w:p>
        </w:tc>
        <w:tc>
          <w:tcPr>
            <w:tcW w:w="114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Unrealized</w:t>
            </w:r>
          </w:p>
        </w:tc>
        <w:tc>
          <w:tcPr>
            <w:tcW w:w="0" w:type="dxa"/>
            <w:vAlign w:val="bottom"/>
          </w:tcPr>
          <w:p>
            <w:pPr>
              <w:spacing w:after="0"/>
              <w:rPr>
                <w:sz w:val="1"/>
                <w:szCs w:val="1"/>
                <w:color w:val="auto"/>
              </w:rPr>
            </w:pPr>
          </w:p>
        </w:tc>
      </w:tr>
      <w:tr>
        <w:trPr>
          <w:trHeight w:val="228"/>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Pr>
          <w:p>
            <w:pPr>
              <w:spacing w:after="0"/>
              <w:rPr>
                <w:sz w:val="19"/>
                <w:szCs w:val="19"/>
                <w:color w:val="auto"/>
              </w:rPr>
            </w:pPr>
          </w:p>
        </w:tc>
        <w:tc>
          <w:tcPr>
            <w:tcW w:w="920" w:type="dxa"/>
            <w:vAlign w:val="bottom"/>
          </w:tcPr>
          <w:p>
            <w:pPr>
              <w:jc w:val="right"/>
              <w:ind w:right="275"/>
              <w:spacing w:after="0"/>
              <w:rPr>
                <w:sz w:val="20"/>
                <w:szCs w:val="20"/>
                <w:color w:val="auto"/>
              </w:rPr>
            </w:pPr>
            <w:r>
              <w:rPr>
                <w:rFonts w:ascii="Arial" w:cs="Arial" w:eastAsia="Arial" w:hAnsi="Arial"/>
                <w:sz w:val="17"/>
                <w:szCs w:val="17"/>
                <w:b w:val="1"/>
                <w:bCs w:val="1"/>
                <w:color w:val="auto"/>
              </w:rPr>
              <w:t>Value</w:t>
            </w:r>
          </w:p>
        </w:tc>
        <w:tc>
          <w:tcPr>
            <w:tcW w:w="260" w:type="dxa"/>
            <w:vAlign w:val="bottom"/>
          </w:tcPr>
          <w:p>
            <w:pPr>
              <w:spacing w:after="0"/>
              <w:rPr>
                <w:sz w:val="19"/>
                <w:szCs w:val="19"/>
                <w:color w:val="auto"/>
              </w:rPr>
            </w:pPr>
          </w:p>
        </w:tc>
        <w:tc>
          <w:tcPr>
            <w:tcW w:w="1100" w:type="dxa"/>
            <w:vAlign w:val="bottom"/>
          </w:tcPr>
          <w:p>
            <w:pPr>
              <w:jc w:val="center"/>
              <w:ind w:right="375"/>
              <w:spacing w:after="0"/>
              <w:rPr>
                <w:sz w:val="20"/>
                <w:szCs w:val="20"/>
                <w:color w:val="auto"/>
              </w:rPr>
            </w:pPr>
            <w:r>
              <w:rPr>
                <w:rFonts w:ascii="Arial" w:cs="Arial" w:eastAsia="Arial" w:hAnsi="Arial"/>
                <w:sz w:val="17"/>
                <w:szCs w:val="17"/>
                <w:b w:val="1"/>
                <w:bCs w:val="1"/>
                <w:color w:val="auto"/>
                <w:w w:val="81"/>
              </w:rPr>
              <w:t>Losses</w:t>
            </w:r>
          </w:p>
        </w:tc>
        <w:tc>
          <w:tcPr>
            <w:tcW w:w="820" w:type="dxa"/>
            <w:vAlign w:val="bottom"/>
          </w:tcPr>
          <w:p>
            <w:pPr>
              <w:jc w:val="center"/>
              <w:ind w:right="15"/>
              <w:spacing w:after="0"/>
              <w:rPr>
                <w:sz w:val="20"/>
                <w:szCs w:val="20"/>
                <w:color w:val="auto"/>
              </w:rPr>
            </w:pPr>
            <w:r>
              <w:rPr>
                <w:rFonts w:ascii="Arial" w:cs="Arial" w:eastAsia="Arial" w:hAnsi="Arial"/>
                <w:sz w:val="17"/>
                <w:szCs w:val="17"/>
                <w:b w:val="1"/>
                <w:bCs w:val="1"/>
                <w:color w:val="auto"/>
                <w:w w:val="97"/>
              </w:rPr>
              <w:t>Held</w:t>
            </w:r>
          </w:p>
        </w:tc>
        <w:tc>
          <w:tcPr>
            <w:tcW w:w="38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Value</w:t>
            </w:r>
          </w:p>
        </w:tc>
        <w:tc>
          <w:tcPr>
            <w:tcW w:w="260" w:type="dxa"/>
            <w:vAlign w:val="bottom"/>
          </w:tcPr>
          <w:p>
            <w:pPr>
              <w:spacing w:after="0"/>
              <w:rPr>
                <w:sz w:val="19"/>
                <w:szCs w:val="19"/>
                <w:color w:val="auto"/>
              </w:rPr>
            </w:pPr>
          </w:p>
        </w:tc>
        <w:tc>
          <w:tcPr>
            <w:tcW w:w="1040" w:type="dxa"/>
            <w:vAlign w:val="bottom"/>
          </w:tcPr>
          <w:p>
            <w:pPr>
              <w:jc w:val="center"/>
              <w:ind w:right="355"/>
              <w:spacing w:after="0"/>
              <w:rPr>
                <w:sz w:val="20"/>
                <w:szCs w:val="20"/>
                <w:color w:val="auto"/>
              </w:rPr>
            </w:pPr>
            <w:r>
              <w:rPr>
                <w:rFonts w:ascii="Arial" w:cs="Arial" w:eastAsia="Arial" w:hAnsi="Arial"/>
                <w:sz w:val="17"/>
                <w:szCs w:val="17"/>
                <w:b w:val="1"/>
                <w:bCs w:val="1"/>
                <w:color w:val="auto"/>
                <w:w w:val="81"/>
              </w:rPr>
              <w:t>Losses</w:t>
            </w:r>
          </w:p>
        </w:tc>
        <w:tc>
          <w:tcPr>
            <w:tcW w:w="960" w:type="dxa"/>
            <w:vAlign w:val="bottom"/>
          </w:tcPr>
          <w:p>
            <w:pPr>
              <w:jc w:val="center"/>
              <w:ind w:right="75"/>
              <w:spacing w:after="0"/>
              <w:rPr>
                <w:sz w:val="20"/>
                <w:szCs w:val="20"/>
                <w:color w:val="auto"/>
              </w:rPr>
            </w:pPr>
            <w:r>
              <w:rPr>
                <w:rFonts w:ascii="Arial" w:cs="Arial" w:eastAsia="Arial" w:hAnsi="Arial"/>
                <w:sz w:val="17"/>
                <w:szCs w:val="17"/>
                <w:b w:val="1"/>
                <w:bCs w:val="1"/>
                <w:color w:val="auto"/>
                <w:w w:val="97"/>
              </w:rPr>
              <w:t>Held</w:t>
            </w:r>
          </w:p>
        </w:tc>
        <w:tc>
          <w:tcPr>
            <w:tcW w:w="200" w:type="dxa"/>
            <w:vAlign w:val="bottom"/>
          </w:tcPr>
          <w:p>
            <w:pPr>
              <w:spacing w:after="0"/>
              <w:rPr>
                <w:sz w:val="19"/>
                <w:szCs w:val="19"/>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88"/>
              </w:rPr>
              <w:t>Value</w:t>
            </w:r>
          </w:p>
        </w:tc>
        <w:tc>
          <w:tcPr>
            <w:tcW w:w="240" w:type="dxa"/>
            <w:vAlign w:val="bottom"/>
          </w:tcPr>
          <w:p>
            <w:pPr>
              <w:spacing w:after="0"/>
              <w:rPr>
                <w:sz w:val="19"/>
                <w:szCs w:val="19"/>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w w:val="95"/>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Political subdivisions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States, Territories and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Possessions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1,067,574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(46,589)</w:t>
            </w: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1,067,574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(46,589)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Corporate and other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bonds industrial and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miscellaneous</w:t>
            </w:r>
          </w:p>
        </w:tc>
        <w:tc>
          <w:tcPr>
            <w:tcW w:w="22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w w:val="91"/>
              </w:rPr>
              <w:t>19,859,293</w:t>
            </w:r>
          </w:p>
        </w:tc>
        <w:tc>
          <w:tcPr>
            <w:tcW w:w="26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(638,113)</w:t>
            </w:r>
          </w:p>
        </w:tc>
        <w:tc>
          <w:tcPr>
            <w:tcW w:w="820" w:type="dxa"/>
            <w:vAlign w:val="bottom"/>
          </w:tcPr>
          <w:p>
            <w:pPr>
              <w:jc w:val="right"/>
              <w:spacing w:after="0"/>
              <w:rPr>
                <w:sz w:val="20"/>
                <w:szCs w:val="20"/>
                <w:color w:val="auto"/>
              </w:rPr>
            </w:pPr>
            <w:r>
              <w:rPr>
                <w:rFonts w:ascii="Arial" w:cs="Arial" w:eastAsia="Arial" w:hAnsi="Arial"/>
                <w:sz w:val="17"/>
                <w:szCs w:val="17"/>
                <w:color w:val="auto"/>
              </w:rPr>
              <w:t>34</w:t>
            </w:r>
          </w:p>
        </w:tc>
        <w:tc>
          <w:tcPr>
            <w:tcW w:w="38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239,970</w:t>
            </w:r>
          </w:p>
        </w:tc>
        <w:tc>
          <w:tcPr>
            <w:tcW w:w="260" w:type="dxa"/>
            <w:vAlign w:val="bottom"/>
          </w:tcPr>
          <w:p>
            <w:pPr>
              <w:spacing w:after="0"/>
              <w:rPr>
                <w:sz w:val="18"/>
                <w:szCs w:val="18"/>
                <w:color w:val="auto"/>
              </w:rPr>
            </w:pPr>
          </w:p>
        </w:tc>
        <w:tc>
          <w:tcPr>
            <w:tcW w:w="1040" w:type="dxa"/>
            <w:vAlign w:val="bottom"/>
          </w:tcPr>
          <w:p>
            <w:pPr>
              <w:jc w:val="right"/>
              <w:ind w:right="135"/>
              <w:spacing w:after="0"/>
              <w:rPr>
                <w:sz w:val="20"/>
                <w:szCs w:val="20"/>
                <w:color w:val="auto"/>
              </w:rPr>
            </w:pPr>
            <w:r>
              <w:rPr>
                <w:rFonts w:ascii="Arial" w:cs="Arial" w:eastAsia="Arial" w:hAnsi="Arial"/>
                <w:sz w:val="17"/>
                <w:szCs w:val="17"/>
                <w:color w:val="auto"/>
              </w:rPr>
              <w:t>(5,612)</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w w:val="96"/>
              </w:rPr>
              <w:t>20,099,263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(643,725)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Residential mortgage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backed securities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1"/>
              </w:rPr>
              <w:t>15,918,090</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(309,273)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675,316</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(38,442)</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6"/>
              </w:rPr>
              <w:t>16,593,406</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(347,715)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 fixed-maturity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1"/>
              </w:rPr>
              <w:t>36,844,957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(993,975)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915,286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(44,054)</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6"/>
              </w:rPr>
              <w:t>37,760,243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(1,038,029)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3,759,850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(241,333)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660,750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(70,571)</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4,420,600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(311,904)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Common stocks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2"/>
              </w:rPr>
              <w:t>exchange traded mutual funds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288,075</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(13,968)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424,550</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(97,468)</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712,625</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4,047,925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(255,301)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7"/>
              </w:rPr>
              <w:t>1,085,300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(168,039)</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5,133,225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(423,340)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1"/>
              </w:rPr>
              <w:t>40,892,882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94"/>
              </w:rPr>
              <w:t>(1,249,276)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7"/>
              </w:rPr>
              <w:t>2,000,586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(212,093)</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6"/>
              </w:rPr>
              <w:t>42,893,468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(1,461,369)</w:t>
            </w: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62</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8" w:right="239" w:bottom="1440" w:gutter="0" w:footer="0" w:header="0"/>
        </w:sectPr>
      </w:pPr>
    </w:p>
    <w:bookmarkStart w:id="64" w:name="page65"/>
    <w:bookmarkEnd w:id="64"/>
    <w:p>
      <w:pPr>
        <w:jc w:val="both"/>
        <w:ind w:firstLine="628"/>
        <w:spacing w:after="0" w:line="263" w:lineRule="auto"/>
        <w:rPr>
          <w:sz w:val="20"/>
          <w:szCs w:val="20"/>
          <w:color w:val="auto"/>
        </w:rPr>
      </w:pPr>
      <w:r>
        <w:rPr>
          <w:rFonts w:ascii="Arial" w:cs="Arial" w:eastAsia="Arial" w:hAnsi="Arial"/>
          <w:sz w:val="17"/>
          <w:szCs w:val="17"/>
          <w:color w:val="auto"/>
        </w:rPr>
        <w:t>There were 67 securities at September 30, 2017 that accounted for the gross unrealized loss, none of which were deemed by us to be other than temporarily impaired. There were 85 securities at December 31, 2016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Cash Flows</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19"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of the offering to contribute capital to KICO, to support its ratings upgrade plan and additional growth. The remainder of the net proceeds will be used for general corporate purposes.</w:t>
      </w:r>
    </w:p>
    <w:p>
      <w:pPr>
        <w:spacing w:after="0" w:line="87"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Through the quarter ended September 30, 2017, the primary source of cash flow for our holding company are dividends received from KICO, subject to statutory restrictions. For the nine months ended September 30, 2017, KICO paid dividends of $2,100,000 to us.</w:t>
      </w:r>
    </w:p>
    <w:p>
      <w:pPr>
        <w:spacing w:after="0" w:line="105" w:lineRule="exact"/>
        <w:rPr>
          <w:sz w:val="20"/>
          <w:szCs w:val="20"/>
          <w:color w:val="auto"/>
        </w:rPr>
      </w:pPr>
    </w:p>
    <w:p>
      <w:pPr>
        <w:jc w:val="both"/>
        <w:ind w:firstLine="628"/>
        <w:spacing w:after="0" w:line="303" w:lineRule="auto"/>
        <w:rPr>
          <w:sz w:val="20"/>
          <w:szCs w:val="20"/>
          <w:color w:val="auto"/>
        </w:rPr>
      </w:pPr>
      <w:r>
        <w:rPr>
          <w:rFonts w:ascii="Arial" w:cs="Arial" w:eastAsia="Arial" w:hAnsi="Arial"/>
          <w:sz w:val="15"/>
          <w:szCs w:val="15"/>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the condensed consolidated financial statements – Investments, for eligible collateral held in a designated custodian account available for future advances. Advances are limited to 5% of KICO’s net admitted assets as of December 31, 2016 and are due and payable within one year of borrowing. The maximum allowable advance as of September 30, 2017 is approximately $6,212,000. There were no borrowings under this facility during the three months ended September 30, 2017.</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If the aforementioned sources of cash flow currently available are insufficient to cover our holding company cash requirements, we will seek to obtain additional financing.</w:t>
      </w:r>
    </w:p>
    <w:p>
      <w:pPr>
        <w:spacing w:after="0" w:line="17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5" w:name="page66"/>
    <w:bookmarkEnd w:id="65"/>
    <w:p>
      <w:pPr>
        <w:jc w:val="both"/>
        <w:ind w:firstLine="628"/>
        <w:spacing w:after="0" w:line="281"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Nine Months Ended September 30,</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r>
      <w:tr>
        <w:trPr>
          <w:trHeight w:val="417"/>
        </w:trPr>
        <w:tc>
          <w:tcPr>
            <w:tcW w:w="8680" w:type="dxa"/>
            <w:vAlign w:val="bottom"/>
            <w:gridSpan w:val="2"/>
          </w:tcPr>
          <w:p>
            <w:pPr>
              <w:spacing w:after="0"/>
              <w:rPr>
                <w:sz w:val="20"/>
                <w:szCs w:val="20"/>
                <w:color w:val="auto"/>
              </w:rPr>
            </w:pPr>
            <w:r>
              <w:rPr>
                <w:rFonts w:ascii="Arial" w:cs="Arial" w:eastAsia="Arial" w:hAnsi="Arial"/>
                <w:sz w:val="17"/>
                <w:szCs w:val="17"/>
                <w:color w:val="auto"/>
              </w:rPr>
              <w:t>Cash flows provided by (used in):</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20,889,623</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13,474,432</w:t>
            </w: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Investing activities</w:t>
            </w:r>
          </w:p>
        </w:tc>
        <w:tc>
          <w:tcPr>
            <w:tcW w:w="32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7"/>
                <w:szCs w:val="17"/>
                <w:color w:val="auto"/>
                <w:w w:val="99"/>
              </w:rPr>
              <w:t>(34,698,530)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w w:val="97"/>
              </w:rPr>
              <w:t>(17,855,522)</w:t>
            </w: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27,644,693</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3,260,405</w:t>
            </w: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320" w:type="dxa"/>
            <w:vAlign w:val="bottom"/>
          </w:tcPr>
          <w:p>
            <w:pPr>
              <w:spacing w:after="0"/>
              <w:rPr>
                <w:sz w:val="18"/>
                <w:szCs w:val="18"/>
                <w:color w:val="auto"/>
              </w:rPr>
            </w:pPr>
          </w:p>
        </w:tc>
        <w:tc>
          <w:tcPr>
            <w:tcW w:w="1100" w:type="dxa"/>
            <w:vAlign w:val="bottom"/>
          </w:tcPr>
          <w:p>
            <w:pPr>
              <w:jc w:val="right"/>
              <w:ind w:right="97"/>
              <w:spacing w:after="0"/>
              <w:rPr>
                <w:sz w:val="20"/>
                <w:szCs w:val="20"/>
                <w:color w:val="auto"/>
              </w:rPr>
            </w:pPr>
            <w:r>
              <w:rPr>
                <w:rFonts w:ascii="Arial" w:cs="Arial" w:eastAsia="Arial" w:hAnsi="Arial"/>
                <w:sz w:val="17"/>
                <w:szCs w:val="17"/>
                <w:color w:val="auto"/>
              </w:rPr>
              <w:t>13,835,786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(1,120,685)</w:t>
            </w: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12,044,520</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13,551,372</w:t>
            </w: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25,880,306</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12,430,687</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Net cash provided by operating activities was $20,889,000 in 2017 as compared to $13,474,000 in 2016. The $7,415,000 increase in cash flows provided by operating activities in 2017 was primarily a result of an increase in cash arising from net fluctuations in assets and liabilities relating to operating activities of KICO as affected by the growth in its operations which are described above, and by an increase in net income (adjusted for non-cash items) of $2,606,000.</w:t>
      </w:r>
    </w:p>
    <w:p>
      <w:pPr>
        <w:spacing w:after="0" w:line="80"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cash used in investing activities was $34,699,000 in 2017 compared to $17,856,000 in 2016. The $16,843,000 increase in net cash used in investing activities is the result of a $3,900,000 increase in acquisitions of invested assets, an $11,283,000 decrease in sales or maturities of invested assets and a $1,423,000 increase in the amount of fixed asset acquisitions in 2017.</w:t>
      </w:r>
    </w:p>
    <w:p>
      <w:pPr>
        <w:spacing w:after="0" w:line="114"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cash provided by financing activities was $27,645,000 in 2017 compared to $3,260,000 provided in 2016. The $24,385,000 increase in net cash provided by financing activities is the result of the $30,137,000 net proceeds we received from the public offering of our common stock in January/February 2017, offset partially by the $4,808,000 net proceeds we received from the private placement of our common stock in April 2016 and a $917,000 increase in dividends paid due to an increase in the shares outstanding and dividend paid per share.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162"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quota share reinsurance treaties are on a July 1 through June 30 fiscal year basis; therefore, for year to date fiscal periods after June 30, two separate treaties will be included in such periods.</w:t>
      </w:r>
    </w:p>
    <w:p>
      <w:pPr>
        <w:spacing w:after="0" w:line="170"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Our quota share reinsurance treaty in effect for 2017 for our personal lines business, which primarily consists of homeowners’ policies, was covered under the 2016/2017 Treaty and the 2017/2019 Treaty. Our quota share reinsurance treaty in effect for 2016 for our personal lines business, which primarily consists of homeowners’ policies, was covered under the 2015/2016 Treaty and 2016/2017 Treaty.</w:t>
      </w:r>
    </w:p>
    <w:p>
      <w:pPr>
        <w:spacing w:after="0" w:line="18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In March 2017, we bound our personal lines quota share reinsurance treaty effective July 1, 2017. The treaty provides for a reduction in the quota share ceding rate to 20%, from the 40% in the 2016/2017 Treaty, and an increase in the provisional ceding commission rate to 53%, from the 52% in the 2016/2017 Treaty. The new treaty covers a two year period from July 1, 2017 through June 30, 2019 (“2017/2019 Treaty”). We have the option under certain circumstances to reduce the quota share ceding rate or terminate the 2017/2019 Treaty effective July 1, 2018 by giving advance notice to the two reinsurers who participate in the quota share reinsurance treaty. Such two reinsurers who participate in the quota share reinsurance treaty have the option under limited circumstances to reduce the quota share ceding rate or terminate the 2017/2019 Treaty effective July 1, 2018 by giving advance notice to us.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2015/2016 Treaty, 2016/2017 Treaty, and 2017/2019 Treaty provide for the following material terms: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6"/>
              </w:rPr>
              <w:t>Treaty Year</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236"/>
              <w:spacing w:after="0" w:line="144" w:lineRule="exact"/>
              <w:rPr>
                <w:sz w:val="20"/>
                <w:szCs w:val="20"/>
                <w:color w:val="auto"/>
              </w:rPr>
            </w:pPr>
            <w:r>
              <w:rPr>
                <w:rFonts w:ascii="Arial" w:cs="Arial" w:eastAsia="Arial" w:hAnsi="Arial"/>
                <w:sz w:val="14"/>
                <w:szCs w:val="14"/>
                <w:b w:val="1"/>
                <w:bCs w:val="1"/>
                <w:color w:val="auto"/>
                <w:w w:val="91"/>
              </w:rPr>
              <w:t>July 1, 2017</w:t>
            </w:r>
          </w:p>
        </w:tc>
        <w:tc>
          <w:tcPr>
            <w:tcW w:w="180" w:type="dxa"/>
            <w:vAlign w:val="bottom"/>
          </w:tcPr>
          <w:p>
            <w:pPr>
              <w:spacing w:after="0"/>
              <w:rPr>
                <w:sz w:val="12"/>
                <w:szCs w:val="12"/>
                <w:color w:val="auto"/>
              </w:rPr>
            </w:pPr>
          </w:p>
        </w:tc>
        <w:tc>
          <w:tcPr>
            <w:tcW w:w="1200" w:type="dxa"/>
            <w:vAlign w:val="bottom"/>
          </w:tcPr>
          <w:p>
            <w:pPr>
              <w:jc w:val="center"/>
              <w:ind w:right="236"/>
              <w:spacing w:after="0" w:line="144" w:lineRule="exact"/>
              <w:rPr>
                <w:sz w:val="20"/>
                <w:szCs w:val="20"/>
                <w:color w:val="auto"/>
              </w:rPr>
            </w:pPr>
            <w:r>
              <w:rPr>
                <w:rFonts w:ascii="Arial" w:cs="Arial" w:eastAsia="Arial" w:hAnsi="Arial"/>
                <w:sz w:val="14"/>
                <w:szCs w:val="14"/>
                <w:b w:val="1"/>
                <w:bCs w:val="1"/>
                <w:color w:val="auto"/>
                <w:w w:val="91"/>
              </w:rPr>
              <w:t>July 1, 2016</w:t>
            </w:r>
          </w:p>
        </w:tc>
        <w:tc>
          <w:tcPr>
            <w:tcW w:w="160" w:type="dxa"/>
            <w:vAlign w:val="bottom"/>
          </w:tcPr>
          <w:p>
            <w:pPr>
              <w:spacing w:after="0"/>
              <w:rPr>
                <w:sz w:val="12"/>
                <w:szCs w:val="12"/>
                <w:color w:val="auto"/>
              </w:rPr>
            </w:pPr>
          </w:p>
        </w:tc>
        <w:tc>
          <w:tcPr>
            <w:tcW w:w="1120" w:type="dxa"/>
            <w:vAlign w:val="bottom"/>
          </w:tcPr>
          <w:p>
            <w:pPr>
              <w:jc w:val="center"/>
              <w:ind w:right="156"/>
              <w:spacing w:after="0" w:line="144" w:lineRule="exact"/>
              <w:rPr>
                <w:sz w:val="20"/>
                <w:szCs w:val="20"/>
                <w:color w:val="auto"/>
              </w:rPr>
            </w:pPr>
            <w:r>
              <w:rPr>
                <w:rFonts w:ascii="Arial" w:cs="Arial" w:eastAsia="Arial" w:hAnsi="Arial"/>
                <w:sz w:val="14"/>
                <w:szCs w:val="14"/>
                <w:b w:val="1"/>
                <w:bCs w:val="1"/>
                <w:color w:val="auto"/>
                <w:w w:val="91"/>
              </w:rPr>
              <w:t>July 1, 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236"/>
              <w:spacing w:after="0" w:line="157"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3"/>
                <w:szCs w:val="13"/>
                <w:color w:val="auto"/>
              </w:rPr>
            </w:pPr>
          </w:p>
        </w:tc>
        <w:tc>
          <w:tcPr>
            <w:tcW w:w="1200" w:type="dxa"/>
            <w:vAlign w:val="bottom"/>
          </w:tcPr>
          <w:p>
            <w:pPr>
              <w:jc w:val="center"/>
              <w:ind w:right="236"/>
              <w:spacing w:after="0" w:line="157"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5580" w:type="dxa"/>
            <w:vAlign w:val="bottom"/>
            <w:gridSpan w:val="5"/>
          </w:tcPr>
          <w:p>
            <w:pPr>
              <w:spacing w:after="0"/>
              <w:rPr>
                <w:sz w:val="20"/>
                <w:szCs w:val="20"/>
                <w:color w:val="auto"/>
              </w:rPr>
            </w:pPr>
            <w:r>
              <w:rPr>
                <w:rFonts w:ascii="Arial" w:cs="Arial" w:eastAsia="Arial" w:hAnsi="Arial"/>
                <w:sz w:val="14"/>
                <w:szCs w:val="14"/>
                <w:b w:val="1"/>
                <w:bCs w:val="1"/>
                <w:color w:val="auto"/>
              </w:rPr>
              <w:t>Line of Business</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15"/>
                <w:szCs w:val="15"/>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6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Personal Lines:</w:t>
            </w:r>
          </w:p>
        </w:tc>
        <w:tc>
          <w:tcPr>
            <w:tcW w:w="1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833,333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0"/>
              </w:rPr>
              <w:t>Excess of loss coverage and facultative facility above quota share coverage (1)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3,666,667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36"/>
              <w:spacing w:after="0"/>
              <w:rPr>
                <w:sz w:val="20"/>
                <w:szCs w:val="20"/>
                <w:color w:val="auto"/>
              </w:rPr>
            </w:pPr>
            <w:r>
              <w:rPr>
                <w:rFonts w:ascii="Arial" w:cs="Arial" w:eastAsia="Arial" w:hAnsi="Arial"/>
                <w:sz w:val="17"/>
                <w:szCs w:val="17"/>
                <w:color w:val="auto"/>
                <w:w w:val="89"/>
              </w:rPr>
              <w:t>in excess of</w:t>
            </w:r>
          </w:p>
        </w:tc>
        <w:tc>
          <w:tcPr>
            <w:tcW w:w="180" w:type="dxa"/>
            <w:vAlign w:val="bottom"/>
          </w:tcPr>
          <w:p>
            <w:pPr>
              <w:spacing w:after="0"/>
              <w:rPr>
                <w:sz w:val="18"/>
                <w:szCs w:val="18"/>
                <w:color w:val="auto"/>
              </w:rPr>
            </w:pPr>
          </w:p>
        </w:tc>
        <w:tc>
          <w:tcPr>
            <w:tcW w:w="1200" w:type="dxa"/>
            <w:vAlign w:val="bottom"/>
          </w:tcPr>
          <w:p>
            <w:pPr>
              <w:jc w:val="center"/>
              <w:ind w:right="216"/>
              <w:spacing w:after="0"/>
              <w:rPr>
                <w:sz w:val="20"/>
                <w:szCs w:val="20"/>
                <w:color w:val="auto"/>
              </w:rPr>
            </w:pPr>
            <w:r>
              <w:rPr>
                <w:rFonts w:ascii="Arial" w:cs="Arial" w:eastAsia="Arial" w:hAnsi="Arial"/>
                <w:sz w:val="17"/>
                <w:szCs w:val="17"/>
                <w:color w:val="auto"/>
                <w:w w:val="91"/>
              </w:rPr>
              <w:t>in excess of</w:t>
            </w:r>
          </w:p>
        </w:tc>
        <w:tc>
          <w:tcPr>
            <w:tcW w:w="16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833,333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9,200,000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ind w:left="240"/>
              <w:spacing w:after="0"/>
              <w:rPr>
                <w:sz w:val="20"/>
                <w:szCs w:val="20"/>
                <w:color w:val="auto"/>
              </w:rPr>
            </w:pPr>
            <w:r>
              <w:rPr>
                <w:rFonts w:ascii="Arial" w:cs="Arial" w:eastAsia="Arial" w:hAnsi="Arial"/>
                <w:sz w:val="17"/>
                <w:szCs w:val="17"/>
                <w:color w:val="auto"/>
              </w:rPr>
              <w:t>June 30,</w:t>
            </w:r>
          </w:p>
        </w:tc>
        <w:tc>
          <w:tcPr>
            <w:tcW w:w="180" w:type="dxa"/>
            <w:vAlign w:val="bottom"/>
          </w:tcPr>
          <w:p>
            <w:pPr>
              <w:spacing w:after="0"/>
              <w:rPr>
                <w:sz w:val="17"/>
                <w:szCs w:val="17"/>
                <w:color w:val="auto"/>
              </w:rPr>
            </w:pPr>
          </w:p>
        </w:tc>
        <w:tc>
          <w:tcPr>
            <w:tcW w:w="1200" w:type="dxa"/>
            <w:vAlign w:val="bottom"/>
          </w:tcPr>
          <w:p>
            <w:pPr>
              <w:jc w:val="center"/>
              <w:ind w:right="116"/>
              <w:spacing w:after="0"/>
              <w:rPr>
                <w:sz w:val="20"/>
                <w:szCs w:val="20"/>
                <w:color w:val="auto"/>
              </w:rPr>
            </w:pPr>
            <w:r>
              <w:rPr>
                <w:rFonts w:ascii="Arial" w:cs="Arial" w:eastAsia="Arial" w:hAnsi="Arial"/>
                <w:sz w:val="17"/>
                <w:szCs w:val="17"/>
                <w:color w:val="auto"/>
                <w:w w:val="85"/>
              </w:rPr>
              <w:t>June 30,</w:t>
            </w:r>
          </w:p>
        </w:tc>
        <w:tc>
          <w:tcPr>
            <w:tcW w:w="160" w:type="dxa"/>
            <w:vAlign w:val="bottom"/>
          </w:tcPr>
          <w:p>
            <w:pPr>
              <w:spacing w:after="0"/>
              <w:rPr>
                <w:sz w:val="17"/>
                <w:szCs w:val="17"/>
                <w:color w:val="auto"/>
              </w:rPr>
            </w:pPr>
          </w:p>
        </w:tc>
        <w:tc>
          <w:tcPr>
            <w:tcW w:w="1120" w:type="dxa"/>
            <w:vAlign w:val="bottom"/>
          </w:tcPr>
          <w:p>
            <w:pPr>
              <w:jc w:val="right"/>
              <w:ind w:right="256"/>
              <w:spacing w:after="0"/>
              <w:rPr>
                <w:sz w:val="20"/>
                <w:szCs w:val="20"/>
                <w:color w:val="auto"/>
              </w:rPr>
            </w:pPr>
            <w:r>
              <w:rPr>
                <w:rFonts w:ascii="Arial" w:cs="Arial" w:eastAsia="Arial" w:hAnsi="Arial"/>
                <w:sz w:val="17"/>
                <w:szCs w:val="17"/>
                <w:color w:val="auto"/>
              </w:rPr>
              <w:t>June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Expiration date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6"/>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1200" w:type="dxa"/>
            <w:vAlign w:val="bottom"/>
          </w:tcPr>
          <w:p>
            <w:pPr>
              <w:jc w:val="center"/>
              <w:ind w:right="136"/>
              <w:spacing w:after="0"/>
              <w:rPr>
                <w:sz w:val="20"/>
                <w:szCs w:val="20"/>
                <w:color w:val="auto"/>
              </w:rPr>
            </w:pPr>
            <w:r>
              <w:rPr>
                <w:rFonts w:ascii="Arial" w:cs="Arial" w:eastAsia="Arial" w:hAnsi="Arial"/>
                <w:sz w:val="17"/>
                <w:szCs w:val="17"/>
                <w:color w:val="auto"/>
                <w:w w:val="89"/>
              </w:rPr>
              <w:t>2017</w:t>
            </w:r>
          </w:p>
        </w:tc>
        <w:tc>
          <w:tcPr>
            <w:tcW w:w="160" w:type="dxa"/>
            <w:vAlign w:val="bottom"/>
          </w:tcPr>
          <w:p>
            <w:pPr>
              <w:spacing w:after="0"/>
              <w:rPr>
                <w:sz w:val="18"/>
                <w:szCs w:val="18"/>
                <w:color w:val="auto"/>
              </w:rPr>
            </w:pPr>
          </w:p>
        </w:tc>
        <w:tc>
          <w:tcPr>
            <w:tcW w:w="1120" w:type="dxa"/>
            <w:vAlign w:val="bottom"/>
          </w:tcPr>
          <w:p>
            <w:pPr>
              <w:jc w:val="right"/>
              <w:ind w:right="356"/>
              <w:spacing w:after="0"/>
              <w:rPr>
                <w:sz w:val="20"/>
                <w:szCs w:val="20"/>
                <w:color w:val="auto"/>
              </w:rPr>
            </w:pPr>
            <w:r>
              <w:rPr>
                <w:rFonts w:ascii="Arial" w:cs="Arial" w:eastAsia="Arial" w:hAnsi="Arial"/>
                <w:sz w:val="17"/>
                <w:szCs w:val="17"/>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Personal Umbrella</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 excess of $1,000,000 dollars of coverage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Risk retained</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4,900,000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56"/>
              <w:spacing w:after="0"/>
              <w:rPr>
                <w:sz w:val="20"/>
                <w:szCs w:val="20"/>
                <w:color w:val="auto"/>
              </w:rPr>
            </w:pPr>
            <w:r>
              <w:rPr>
                <w:rFonts w:ascii="Arial" w:cs="Arial" w:eastAsia="Arial" w:hAnsi="Arial"/>
                <w:sz w:val="17"/>
                <w:szCs w:val="17"/>
                <w:color w:val="auto"/>
                <w:w w:val="87"/>
              </w:rPr>
              <w:t>June 30, 2019</w:t>
            </w:r>
          </w:p>
        </w:tc>
        <w:tc>
          <w:tcPr>
            <w:tcW w:w="1380" w:type="dxa"/>
            <w:vAlign w:val="bottom"/>
            <w:gridSpan w:val="2"/>
            <w:shd w:val="clear" w:color="auto" w:fill="CCEEFF"/>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June 30,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6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Commercial Lines:</w:t>
            </w:r>
          </w:p>
        </w:tc>
        <w:tc>
          <w:tcPr>
            <w:tcW w:w="1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General liability commercial policies, except for commercial auto</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 (terminated effective July 1, 2014)</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ind w:left="240"/>
              <w:spacing w:after="0"/>
              <w:rPr>
                <w:sz w:val="20"/>
                <w:szCs w:val="20"/>
                <w:color w:val="auto"/>
              </w:rPr>
            </w:pPr>
            <w:r>
              <w:rPr>
                <w:rFonts w:ascii="Arial" w:cs="Arial" w:eastAsia="Arial" w:hAnsi="Arial"/>
                <w:sz w:val="17"/>
                <w:szCs w:val="17"/>
                <w:color w:val="auto"/>
              </w:rPr>
              <w:t>None</w:t>
            </w:r>
          </w:p>
        </w:tc>
        <w:tc>
          <w:tcPr>
            <w:tcW w:w="180" w:type="dxa"/>
            <w:vAlign w:val="bottom"/>
          </w:tcPr>
          <w:p>
            <w:pPr>
              <w:spacing w:after="0"/>
              <w:rPr>
                <w:sz w:val="18"/>
                <w:szCs w:val="18"/>
                <w:color w:val="auto"/>
              </w:rPr>
            </w:pPr>
          </w:p>
        </w:tc>
        <w:tc>
          <w:tcPr>
            <w:tcW w:w="1200" w:type="dxa"/>
            <w:vAlign w:val="bottom"/>
          </w:tcPr>
          <w:p>
            <w:pPr>
              <w:jc w:val="center"/>
              <w:ind w:right="236"/>
              <w:spacing w:after="0"/>
              <w:rPr>
                <w:sz w:val="20"/>
                <w:szCs w:val="20"/>
                <w:color w:val="auto"/>
              </w:rPr>
            </w:pPr>
            <w:r>
              <w:rPr>
                <w:rFonts w:ascii="Arial" w:cs="Arial" w:eastAsia="Arial" w:hAnsi="Arial"/>
                <w:sz w:val="17"/>
                <w:szCs w:val="17"/>
                <w:color w:val="auto"/>
                <w:w w:val="88"/>
              </w:rPr>
              <w:t>None</w:t>
            </w:r>
          </w:p>
        </w:tc>
        <w:tc>
          <w:tcPr>
            <w:tcW w:w="160" w:type="dxa"/>
            <w:vAlign w:val="bottom"/>
          </w:tcPr>
          <w:p>
            <w:pPr>
              <w:spacing w:after="0"/>
              <w:rPr>
                <w:sz w:val="18"/>
                <w:szCs w:val="18"/>
                <w:color w:val="auto"/>
              </w:rPr>
            </w:pPr>
          </w:p>
        </w:tc>
        <w:tc>
          <w:tcPr>
            <w:tcW w:w="1120" w:type="dxa"/>
            <w:vAlign w:val="bottom"/>
          </w:tcPr>
          <w:p>
            <w:pPr>
              <w:jc w:val="center"/>
              <w:ind w:right="156"/>
              <w:spacing w:after="0"/>
              <w:rPr>
                <w:sz w:val="20"/>
                <w:szCs w:val="20"/>
                <w:color w:val="auto"/>
              </w:rPr>
            </w:pPr>
            <w:r>
              <w:rPr>
                <w:rFonts w:ascii="Arial" w:cs="Arial" w:eastAsia="Arial" w:hAnsi="Arial"/>
                <w:sz w:val="17"/>
                <w:szCs w:val="17"/>
                <w:color w:val="auto"/>
                <w:w w:val="88"/>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36"/>
              <w:spacing w:after="0"/>
              <w:rPr>
                <w:sz w:val="20"/>
                <w:szCs w:val="20"/>
                <w:color w:val="auto"/>
              </w:rPr>
            </w:pPr>
            <w:r>
              <w:rPr>
                <w:rFonts w:ascii="Arial" w:cs="Arial" w:eastAsia="Arial" w:hAnsi="Arial"/>
                <w:sz w:val="17"/>
                <w:szCs w:val="17"/>
                <w:color w:val="auto"/>
                <w:w w:val="88"/>
              </w:rPr>
              <w:t>None</w:t>
            </w:r>
          </w:p>
        </w:tc>
        <w:tc>
          <w:tcPr>
            <w:tcW w:w="180" w:type="dxa"/>
            <w:vAlign w:val="bottom"/>
          </w:tcPr>
          <w:p>
            <w:pPr>
              <w:spacing w:after="0"/>
              <w:rPr>
                <w:sz w:val="18"/>
                <w:szCs w:val="18"/>
                <w:color w:val="auto"/>
              </w:rPr>
            </w:pPr>
          </w:p>
        </w:tc>
        <w:tc>
          <w:tcPr>
            <w:tcW w:w="1200" w:type="dxa"/>
            <w:vAlign w:val="bottom"/>
          </w:tcPr>
          <w:p>
            <w:pPr>
              <w:jc w:val="center"/>
              <w:ind w:right="236"/>
              <w:spacing w:after="0"/>
              <w:rPr>
                <w:sz w:val="20"/>
                <w:szCs w:val="20"/>
                <w:color w:val="auto"/>
              </w:rPr>
            </w:pPr>
            <w:r>
              <w:rPr>
                <w:rFonts w:ascii="Arial" w:cs="Arial" w:eastAsia="Arial" w:hAnsi="Arial"/>
                <w:sz w:val="17"/>
                <w:szCs w:val="17"/>
                <w:color w:val="auto"/>
                <w:w w:val="88"/>
              </w:rPr>
              <w:t>None</w:t>
            </w:r>
          </w:p>
        </w:tc>
        <w:tc>
          <w:tcPr>
            <w:tcW w:w="160" w:type="dxa"/>
            <w:vAlign w:val="bottom"/>
          </w:tcPr>
          <w:p>
            <w:pPr>
              <w:spacing w:after="0"/>
              <w:rPr>
                <w:sz w:val="18"/>
                <w:szCs w:val="18"/>
                <w:color w:val="auto"/>
              </w:rPr>
            </w:pPr>
          </w:p>
        </w:tc>
        <w:tc>
          <w:tcPr>
            <w:tcW w:w="1120" w:type="dxa"/>
            <w:vAlign w:val="bottom"/>
          </w:tcPr>
          <w:p>
            <w:pPr>
              <w:jc w:val="center"/>
              <w:ind w:right="156"/>
              <w:spacing w:after="0"/>
              <w:rPr>
                <w:sz w:val="20"/>
                <w:szCs w:val="20"/>
                <w:color w:val="auto"/>
              </w:rPr>
            </w:pPr>
            <w:r>
              <w:rPr>
                <w:rFonts w:ascii="Arial" w:cs="Arial" w:eastAsia="Arial" w:hAnsi="Arial"/>
                <w:sz w:val="17"/>
                <w:szCs w:val="17"/>
                <w:color w:val="auto"/>
                <w:w w:val="88"/>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Excess of loss coverage above quota share coverage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4,075,000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36"/>
              <w:spacing w:after="0"/>
              <w:rPr>
                <w:sz w:val="20"/>
                <w:szCs w:val="20"/>
                <w:color w:val="auto"/>
              </w:rPr>
            </w:pPr>
            <w:r>
              <w:rPr>
                <w:rFonts w:ascii="Arial" w:cs="Arial" w:eastAsia="Arial" w:hAnsi="Arial"/>
                <w:sz w:val="17"/>
                <w:szCs w:val="17"/>
                <w:color w:val="auto"/>
                <w:w w:val="89"/>
              </w:rPr>
              <w:t>in excess of</w:t>
            </w:r>
          </w:p>
        </w:tc>
        <w:tc>
          <w:tcPr>
            <w:tcW w:w="180" w:type="dxa"/>
            <w:vAlign w:val="bottom"/>
          </w:tcPr>
          <w:p>
            <w:pPr>
              <w:spacing w:after="0"/>
              <w:rPr>
                <w:sz w:val="18"/>
                <w:szCs w:val="18"/>
                <w:color w:val="auto"/>
              </w:rPr>
            </w:pPr>
          </w:p>
        </w:tc>
        <w:tc>
          <w:tcPr>
            <w:tcW w:w="1200" w:type="dxa"/>
            <w:vAlign w:val="bottom"/>
          </w:tcPr>
          <w:p>
            <w:pPr>
              <w:jc w:val="center"/>
              <w:ind w:right="116"/>
              <w:spacing w:after="0"/>
              <w:rPr>
                <w:sz w:val="20"/>
                <w:szCs w:val="20"/>
                <w:color w:val="auto"/>
              </w:rPr>
            </w:pPr>
            <w:r>
              <w:rPr>
                <w:rFonts w:ascii="Arial" w:cs="Arial" w:eastAsia="Arial" w:hAnsi="Arial"/>
                <w:sz w:val="17"/>
                <w:szCs w:val="17"/>
                <w:color w:val="auto"/>
                <w:w w:val="89"/>
              </w:rPr>
              <w:t>in excess of</w:t>
            </w:r>
          </w:p>
        </w:tc>
        <w:tc>
          <w:tcPr>
            <w:tcW w:w="16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3,750,000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 - excess of $1,000,000 of coverage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4,900,000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4,900,000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Expiration date</w:t>
            </w:r>
          </w:p>
        </w:tc>
        <w:tc>
          <w:tcPr>
            <w:tcW w:w="17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7"/>
                <w:szCs w:val="17"/>
                <w:color w:val="auto"/>
                <w:w w:val="89"/>
              </w:rPr>
              <w:t>June 30, 2018</w:t>
            </w:r>
          </w:p>
        </w:tc>
        <w:tc>
          <w:tcPr>
            <w:tcW w:w="1380" w:type="dxa"/>
            <w:vAlign w:val="bottom"/>
            <w:gridSpan w:val="2"/>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560" w:type="dxa"/>
            <w:vAlign w:val="bottom"/>
            <w:gridSpan w:val="4"/>
          </w:tcPr>
          <w:p>
            <w:pPr>
              <w:spacing w:after="0" w:line="170" w:lineRule="exact"/>
              <w:rPr>
                <w:sz w:val="20"/>
                <w:szCs w:val="20"/>
                <w:color w:val="auto"/>
              </w:rPr>
            </w:pPr>
            <w:r>
              <w:rPr>
                <w:rFonts w:ascii="Arial" w:cs="Arial" w:eastAsia="Arial" w:hAnsi="Arial"/>
                <w:sz w:val="17"/>
                <w:szCs w:val="17"/>
                <w:color w:val="auto"/>
              </w:rPr>
              <w:t>Commercial Auto:</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Borders>
              <w:top w:val="single" w:sz="8" w:color="auto"/>
              <w:right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Risk retained</w:t>
            </w:r>
          </w:p>
        </w:tc>
        <w:tc>
          <w:tcPr>
            <w:tcW w:w="4320" w:type="dxa"/>
            <w:vAlign w:val="bottom"/>
            <w:gridSpan w:val="2"/>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Excess of loss coverage in excess of risk retained</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9"/>
              </w:rPr>
              <w:t>in excess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6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Catastrophe Reinsurance:</w:t>
            </w:r>
          </w:p>
        </w:tc>
        <w:tc>
          <w:tcPr>
            <w:tcW w:w="1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Initial loss subject to personal lines quota share treaty</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Risk retained per catastrophe occurrence (2)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Catastrophe loss coverage in excess of quota share coverage (3) (4)</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315,000,000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247,000,000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176,000,000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Severe winter weather aggregate (4)</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91"/>
              </w:rPr>
              <w:t>No</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1"/>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Reinstatement premium protection (5)</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76"/>
              <w:spacing w:after="0"/>
              <w:rPr>
                <w:sz w:val="20"/>
                <w:szCs w:val="20"/>
                <w:color w:val="auto"/>
              </w:rPr>
            </w:pPr>
            <w:r>
              <w:rPr>
                <w:rFonts w:ascii="Arial" w:cs="Arial" w:eastAsia="Arial" w:hAnsi="Arial"/>
                <w:sz w:val="17"/>
                <w:szCs w:val="17"/>
                <w:color w:val="auto"/>
              </w:rPr>
              <w:t>Yes</w:t>
            </w:r>
          </w:p>
        </w:tc>
        <w:tc>
          <w:tcPr>
            <w:tcW w:w="180" w:type="dxa"/>
            <w:vAlign w:val="bottom"/>
          </w:tcPr>
          <w:p>
            <w:pPr>
              <w:spacing w:after="0"/>
              <w:rPr>
                <w:sz w:val="18"/>
                <w:szCs w:val="18"/>
                <w:color w:val="auto"/>
              </w:rPr>
            </w:pPr>
          </w:p>
        </w:tc>
        <w:tc>
          <w:tcPr>
            <w:tcW w:w="1200" w:type="dxa"/>
            <w:vAlign w:val="bottom"/>
          </w:tcPr>
          <w:p>
            <w:pPr>
              <w:jc w:val="center"/>
              <w:ind w:right="236"/>
              <w:spacing w:after="0"/>
              <w:rPr>
                <w:sz w:val="20"/>
                <w:szCs w:val="20"/>
                <w:color w:val="auto"/>
              </w:rPr>
            </w:pPr>
            <w:r>
              <w:rPr>
                <w:rFonts w:ascii="Arial" w:cs="Arial" w:eastAsia="Arial" w:hAnsi="Arial"/>
                <w:sz w:val="17"/>
                <w:szCs w:val="17"/>
                <w:color w:val="auto"/>
                <w:w w:val="81"/>
              </w:rPr>
              <w:t>Yes</w:t>
            </w:r>
          </w:p>
        </w:tc>
        <w:tc>
          <w:tcPr>
            <w:tcW w:w="160" w:type="dxa"/>
            <w:vAlign w:val="bottom"/>
          </w:tcPr>
          <w:p>
            <w:pPr>
              <w:spacing w:after="0"/>
              <w:rPr>
                <w:sz w:val="18"/>
                <w:szCs w:val="18"/>
                <w:color w:val="auto"/>
              </w:rPr>
            </w:pPr>
          </w:p>
        </w:tc>
        <w:tc>
          <w:tcPr>
            <w:tcW w:w="1120" w:type="dxa"/>
            <w:vAlign w:val="bottom"/>
          </w:tcPr>
          <w:p>
            <w:pPr>
              <w:jc w:val="center"/>
              <w:ind w:right="156"/>
              <w:spacing w:after="0"/>
              <w:rPr>
                <w:sz w:val="20"/>
                <w:szCs w:val="20"/>
                <w:color w:val="auto"/>
              </w:rPr>
            </w:pPr>
            <w:r>
              <w:rPr>
                <w:rFonts w:ascii="Arial" w:cs="Arial" w:eastAsia="Arial" w:hAnsi="Arial"/>
                <w:sz w:val="17"/>
                <w:szCs w:val="17"/>
                <w:color w:val="auto"/>
                <w:w w:val="81"/>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435"/>
              <w:spacing w:after="0"/>
              <w:rPr>
                <w:sz w:val="20"/>
                <w:szCs w:val="20"/>
                <w:color w:val="auto"/>
              </w:rPr>
            </w:pPr>
            <w:r>
              <w:rPr>
                <w:rFonts w:ascii="Arial" w:cs="Arial" w:eastAsia="Arial" w:hAnsi="Arial"/>
                <w:sz w:val="17"/>
                <w:szCs w:val="17"/>
                <w:color w:val="auto"/>
              </w:rPr>
              <w:t>65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2" w:right="239" w:bottom="1440" w:gutter="0" w:footer="0" w:header="0"/>
        </w:sectPr>
      </w:pPr>
    </w:p>
    <w:bookmarkStart w:id="67" w:name="page68"/>
    <w:bookmarkEnd w:id="67"/>
    <w:p>
      <w:pPr>
        <w:ind w:left="640" w:hanging="321"/>
        <w:spacing w:after="0" w:line="260"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640" w:hanging="321"/>
        <w:spacing w:after="0" w:line="27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640" w:hanging="321"/>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From July 1, 2015 through June 30, 2016, catastrophe treaty also covered losses caused by severe winter weather during any consecutive 28 day period.</w:t>
      </w:r>
    </w:p>
    <w:p>
      <w:pPr>
        <w:spacing w:after="0" w:line="36" w:lineRule="exact"/>
        <w:rPr>
          <w:rFonts w:ascii="Arial" w:cs="Arial" w:eastAsia="Arial" w:hAnsi="Arial"/>
          <w:sz w:val="15"/>
          <w:szCs w:val="15"/>
          <w:color w:val="auto"/>
        </w:rPr>
      </w:pPr>
    </w:p>
    <w:p>
      <w:pPr>
        <w:jc w:val="both"/>
        <w:ind w:left="640" w:hanging="321"/>
        <w:spacing w:after="0" w:line="265"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 Effective July 1, 2016, reinstatement premium protection for $20,000,000 of catastrophe coverage in excess of $5,000,000. Effective July 1, 2017, reinstatement premium protection for $145,000,000 of catastrophe coverage in excess of $5,000,000.</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we are subject under the new treaties effective July 1, 2017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40" w:type="dxa"/>
            <w:vAlign w:val="bottom"/>
            <w:tcBorders>
              <w:bottom w:val="single" w:sz="8" w:color="auto"/>
            </w:tcBorders>
          </w:tcPr>
          <w:p>
            <w:pPr>
              <w:ind w:left="3000"/>
              <w:spacing w:after="0"/>
              <w:rPr>
                <w:sz w:val="20"/>
                <w:szCs w:val="20"/>
                <w:color w:val="auto"/>
              </w:rPr>
            </w:pPr>
            <w:r>
              <w:rPr>
                <w:rFonts w:ascii="Arial" w:cs="Arial" w:eastAsia="Arial" w:hAnsi="Arial"/>
                <w:sz w:val="17"/>
                <w:szCs w:val="17"/>
                <w:b w:val="1"/>
                <w:bCs w:val="1"/>
                <w:color w:val="auto"/>
                <w:w w:val="95"/>
              </w:rPr>
              <w:t>July 1, 2017 - June 30, 2018</w:t>
            </w:r>
          </w:p>
        </w:tc>
        <w:tc>
          <w:tcPr>
            <w:tcW w:w="5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tcBorders>
              <w:bottom w:val="single" w:sz="8" w:color="auto"/>
            </w:tcBorders>
          </w:tcPr>
          <w:p>
            <w:pPr>
              <w:ind w:left="1180"/>
              <w:spacing w:after="0"/>
              <w:rPr>
                <w:sz w:val="20"/>
                <w:szCs w:val="20"/>
                <w:color w:val="auto"/>
              </w:rPr>
            </w:pPr>
            <w:r>
              <w:rPr>
                <w:rFonts w:ascii="Arial" w:cs="Arial" w:eastAsia="Arial" w:hAnsi="Arial"/>
                <w:sz w:val="17"/>
                <w:szCs w:val="17"/>
                <w:b w:val="1"/>
                <w:bCs w:val="1"/>
                <w:color w:val="auto"/>
              </w:rPr>
              <w:t>Treaty</w:t>
            </w:r>
          </w:p>
        </w:tc>
        <w:tc>
          <w:tcPr>
            <w:tcW w:w="580" w:type="dxa"/>
            <w:vAlign w:val="bottom"/>
          </w:tcPr>
          <w:p>
            <w:pPr>
              <w:spacing w:after="0"/>
              <w:rPr>
                <w:sz w:val="18"/>
                <w:szCs w:val="18"/>
                <w:color w:val="auto"/>
              </w:rPr>
            </w:pPr>
          </w:p>
        </w:tc>
        <w:tc>
          <w:tcPr>
            <w:tcW w:w="5140" w:type="dxa"/>
            <w:vAlign w:val="bottom"/>
            <w:tcBorders>
              <w:bottom w:val="single" w:sz="8" w:color="auto"/>
            </w:tcBorders>
          </w:tcPr>
          <w:p>
            <w:pPr>
              <w:ind w:left="2080"/>
              <w:spacing w:after="0"/>
              <w:rPr>
                <w:sz w:val="20"/>
                <w:szCs w:val="20"/>
                <w:color w:val="auto"/>
              </w:rPr>
            </w:pPr>
            <w:r>
              <w:rPr>
                <w:rFonts w:ascii="Arial" w:cs="Arial" w:eastAsia="Arial" w:hAnsi="Arial"/>
                <w:sz w:val="17"/>
                <w:szCs w:val="17"/>
                <w:b w:val="1"/>
                <w:bCs w:val="1"/>
                <w:color w:val="auto"/>
              </w:rPr>
              <w:t>Extent of Loss</w:t>
            </w:r>
          </w:p>
        </w:tc>
        <w:tc>
          <w:tcPr>
            <w:tcW w:w="560" w:type="dxa"/>
            <w:vAlign w:val="bottom"/>
          </w:tcPr>
          <w:p>
            <w:pPr>
              <w:spacing w:after="0"/>
              <w:rPr>
                <w:sz w:val="18"/>
                <w:szCs w:val="18"/>
                <w:color w:val="auto"/>
              </w:rPr>
            </w:pPr>
          </w:p>
        </w:tc>
        <w:tc>
          <w:tcPr>
            <w:tcW w:w="22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Risk 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 (1)</w:t>
            </w: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7"/>
                <w:szCs w:val="17"/>
                <w:color w:val="auto"/>
              </w:rPr>
              <w:t>$1,000,000 - $10,000,000</w:t>
            </w: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$10,00,000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7"/>
                <w:szCs w:val="17"/>
                <w:color w:val="auto"/>
              </w:rPr>
              <w:t>$750,000 - $4,500,000</w:t>
            </w: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(4)</w:t>
            </w: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7"/>
                <w:szCs w:val="17"/>
                <w:color w:val="auto"/>
              </w:rPr>
              <w:t>$5,000,000 - $320,000,000</w:t>
            </w:r>
          </w:p>
        </w:tc>
        <w:tc>
          <w:tcPr>
            <w:tcW w:w="5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$320,000,000</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hanging="321"/>
        <w:spacing w:after="0" w:line="281"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Two year treaty with expiration date of June 30, 2019. We and the reinsurers have the option to reduce quota share rate or terminate on June 30, 2018 as discussed above.</w:t>
      </w:r>
    </w:p>
    <w:p>
      <w:pPr>
        <w:spacing w:after="0" w:line="104" w:lineRule="exact"/>
        <w:rPr>
          <w:rFonts w:ascii="Arial" w:cs="Arial" w:eastAsia="Arial" w:hAnsi="Arial"/>
          <w:sz w:val="17"/>
          <w:szCs w:val="17"/>
          <w:color w:val="auto"/>
        </w:rPr>
      </w:pPr>
    </w:p>
    <w:p>
      <w:pPr>
        <w:ind w:left="640" w:hanging="321"/>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57" w:lineRule="exact"/>
        <w:rPr>
          <w:rFonts w:ascii="Arial" w:cs="Arial" w:eastAsia="Arial" w:hAnsi="Arial"/>
          <w:sz w:val="17"/>
          <w:szCs w:val="17"/>
          <w:color w:val="auto"/>
        </w:rPr>
      </w:pPr>
    </w:p>
    <w:p>
      <w:pPr>
        <w:ind w:left="640" w:hanging="321"/>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57" w:lineRule="exact"/>
        <w:rPr>
          <w:rFonts w:ascii="Arial" w:cs="Arial" w:eastAsia="Arial" w:hAnsi="Arial"/>
          <w:sz w:val="17"/>
          <w:szCs w:val="17"/>
          <w:color w:val="auto"/>
        </w:rPr>
      </w:pPr>
    </w:p>
    <w:p>
      <w:pPr>
        <w:ind w:left="640" w:hanging="321"/>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The single maximum risks per occurrence to which we are subject under the new treaties that expired on June 30, 2017 and 2016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tcBorders>
              <w:bottom w:val="single" w:sz="8" w:color="auto"/>
            </w:tcBorders>
            <w:gridSpan w:val="3"/>
          </w:tcPr>
          <w:p>
            <w:pPr>
              <w:ind w:left="1280"/>
              <w:spacing w:after="0"/>
              <w:rPr>
                <w:sz w:val="20"/>
                <w:szCs w:val="20"/>
                <w:color w:val="auto"/>
              </w:rPr>
            </w:pPr>
            <w:r>
              <w:rPr>
                <w:rFonts w:ascii="Arial" w:cs="Arial" w:eastAsia="Arial" w:hAnsi="Arial"/>
                <w:sz w:val="17"/>
                <w:szCs w:val="17"/>
                <w:b w:val="1"/>
                <w:bCs w:val="1"/>
                <w:color w:val="auto"/>
              </w:rPr>
              <w:t>July 1, 2016 - June 30, 2017</w:t>
            </w: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gridSpan w:val="4"/>
          </w:tcPr>
          <w:p>
            <w:pPr>
              <w:ind w:left="1340"/>
              <w:spacing w:after="0"/>
              <w:rPr>
                <w:sz w:val="20"/>
                <w:szCs w:val="20"/>
                <w:color w:val="auto"/>
              </w:rPr>
            </w:pPr>
            <w:r>
              <w:rPr>
                <w:rFonts w:ascii="Arial" w:cs="Arial" w:eastAsia="Arial" w:hAnsi="Arial"/>
                <w:sz w:val="17"/>
                <w:szCs w:val="17"/>
                <w:b w:val="1"/>
                <w:bCs w:val="1"/>
                <w:color w:val="auto"/>
              </w:rPr>
              <w:t>July 1, 2015 - June 30, 2016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auto"/>
              </w:rPr>
              <w:t>Treaty</w:t>
            </w:r>
          </w:p>
        </w:tc>
        <w:tc>
          <w:tcPr>
            <w:tcW w:w="240" w:type="dxa"/>
            <w:vAlign w:val="bottom"/>
          </w:tcPr>
          <w:p>
            <w:pPr>
              <w:spacing w:after="0"/>
              <w:rPr>
                <w:sz w:val="18"/>
                <w:szCs w:val="18"/>
                <w:color w:val="auto"/>
              </w:rPr>
            </w:pPr>
          </w:p>
        </w:tc>
        <w:tc>
          <w:tcPr>
            <w:tcW w:w="2620" w:type="dxa"/>
            <w:vAlign w:val="bottom"/>
            <w:tcBorders>
              <w:bottom w:val="single" w:sz="8" w:color="auto"/>
            </w:tcBorders>
          </w:tcPr>
          <w:p>
            <w:pPr>
              <w:ind w:left="800"/>
              <w:spacing w:after="0"/>
              <w:rPr>
                <w:sz w:val="20"/>
                <w:szCs w:val="20"/>
                <w:color w:val="auto"/>
              </w:rPr>
            </w:pPr>
            <w:r>
              <w:rPr>
                <w:rFonts w:ascii="Arial" w:cs="Arial" w:eastAsia="Arial" w:hAnsi="Arial"/>
                <w:sz w:val="17"/>
                <w:szCs w:val="17"/>
                <w:b w:val="1"/>
                <w:bCs w:val="1"/>
                <w:color w:val="auto"/>
              </w:rPr>
              <w:t>Extent of Loss</w:t>
            </w:r>
          </w:p>
        </w:tc>
        <w:tc>
          <w:tcPr>
            <w:tcW w:w="240" w:type="dxa"/>
            <w:vAlign w:val="bottom"/>
          </w:tcPr>
          <w:p>
            <w:pPr>
              <w:spacing w:after="0"/>
              <w:rPr>
                <w:sz w:val="18"/>
                <w:szCs w:val="18"/>
                <w:color w:val="auto"/>
              </w:rPr>
            </w:pPr>
          </w:p>
        </w:tc>
        <w:tc>
          <w:tcPr>
            <w:tcW w:w="172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7"/>
                <w:szCs w:val="17"/>
                <w:b w:val="1"/>
                <w:bCs w:val="1"/>
                <w:color w:val="auto"/>
              </w:rPr>
              <w:t>Risk Retained</w:t>
            </w:r>
          </w:p>
        </w:tc>
        <w:tc>
          <w:tcPr>
            <w:tcW w:w="220" w:type="dxa"/>
            <w:vAlign w:val="bottom"/>
          </w:tcPr>
          <w:p>
            <w:pPr>
              <w:spacing w:after="0"/>
              <w:rPr>
                <w:sz w:val="18"/>
                <w:szCs w:val="18"/>
                <w:color w:val="auto"/>
              </w:rPr>
            </w:pPr>
          </w:p>
        </w:tc>
        <w:tc>
          <w:tcPr>
            <w:tcW w:w="2640" w:type="dxa"/>
            <w:vAlign w:val="bottom"/>
            <w:tcBorders>
              <w:bottom w:val="single" w:sz="8" w:color="auto"/>
            </w:tcBorders>
          </w:tcPr>
          <w:p>
            <w:pPr>
              <w:ind w:left="820"/>
              <w:spacing w:after="0"/>
              <w:rPr>
                <w:sz w:val="20"/>
                <w:szCs w:val="20"/>
                <w:color w:val="auto"/>
              </w:rPr>
            </w:pPr>
            <w:r>
              <w:rPr>
                <w:rFonts w:ascii="Arial" w:cs="Arial" w:eastAsia="Arial" w:hAnsi="Arial"/>
                <w:sz w:val="17"/>
                <w:szCs w:val="17"/>
                <w:b w:val="1"/>
                <w:bCs w:val="1"/>
                <w:color w:val="auto"/>
              </w:rPr>
              <w:t>Extent of Loss</w:t>
            </w: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Risk Retained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$833,333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7"/>
                <w:szCs w:val="17"/>
                <w:color w:val="auto"/>
              </w:rPr>
              <w:t>$833,333 - $4,500,000</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None(1)</w:t>
            </w:r>
          </w:p>
        </w:tc>
        <w:tc>
          <w:tcPr>
            <w:tcW w:w="2640" w:type="dxa"/>
            <w:vAlign w:val="bottom"/>
          </w:tcPr>
          <w:p>
            <w:pPr>
              <w:ind w:left="40"/>
              <w:spacing w:after="0"/>
              <w:rPr>
                <w:sz w:val="20"/>
                <w:szCs w:val="20"/>
                <w:color w:val="auto"/>
              </w:rPr>
            </w:pPr>
            <w:r>
              <w:rPr>
                <w:rFonts w:ascii="Arial" w:cs="Arial" w:eastAsia="Arial" w:hAnsi="Arial"/>
                <w:sz w:val="17"/>
                <w:szCs w:val="17"/>
                <w:color w:val="auto"/>
              </w:rPr>
              <w:t>$750,000 - $4,500,000</w:t>
            </w:r>
          </w:p>
        </w:tc>
        <w:tc>
          <w:tcPr>
            <w:tcW w:w="2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2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None</w:t>
            </w:r>
          </w:p>
        </w:tc>
        <w:tc>
          <w:tcPr>
            <w:tcW w:w="2640" w:type="dxa"/>
            <w:vAlign w:val="bottom"/>
          </w:tcPr>
          <w:p>
            <w:pPr>
              <w:ind w:left="40"/>
              <w:spacing w:after="0"/>
              <w:rPr>
                <w:sz w:val="20"/>
                <w:szCs w:val="20"/>
                <w:color w:val="auto"/>
              </w:rPr>
            </w:pPr>
            <w:r>
              <w:rPr>
                <w:rFonts w:ascii="Arial" w:cs="Arial" w:eastAsia="Arial" w:hAnsi="Arial"/>
                <w:sz w:val="17"/>
                <w:szCs w:val="17"/>
                <w:color w:val="auto"/>
              </w:rPr>
              <w:t>$1,000,000 - $3,000,000</w:t>
            </w:r>
          </w:p>
        </w:tc>
        <w:tc>
          <w:tcPr>
            <w:tcW w:w="220" w:type="dxa"/>
            <w:vAlign w:val="bottom"/>
          </w:tcPr>
          <w:p>
            <w:pPr>
              <w:spacing w:after="0"/>
              <w:rPr>
                <w:sz w:val="18"/>
                <w:szCs w:val="18"/>
                <w:color w:val="auto"/>
              </w:rPr>
            </w:pPr>
          </w:p>
        </w:tc>
        <w:tc>
          <w:tcPr>
            <w:tcW w:w="1800" w:type="dxa"/>
            <w:vAlign w:val="bottom"/>
            <w:gridSpan w:val="2"/>
          </w:tcPr>
          <w:p>
            <w:pPr>
              <w:ind w:left="134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2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$425,000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7"/>
                <w:szCs w:val="17"/>
                <w:color w:val="auto"/>
              </w:rPr>
              <w:t>$500,000 - $4,500,000</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None(1)</w:t>
            </w:r>
          </w:p>
        </w:tc>
        <w:tc>
          <w:tcPr>
            <w:tcW w:w="2640" w:type="dxa"/>
            <w:vAlign w:val="bottom"/>
          </w:tcPr>
          <w:p>
            <w:pPr>
              <w:ind w:left="40"/>
              <w:spacing w:after="0"/>
              <w:rPr>
                <w:sz w:val="20"/>
                <w:szCs w:val="20"/>
                <w:color w:val="auto"/>
              </w:rPr>
            </w:pPr>
            <w:r>
              <w:rPr>
                <w:rFonts w:ascii="Arial" w:cs="Arial" w:eastAsia="Arial" w:hAnsi="Arial"/>
                <w:sz w:val="17"/>
                <w:szCs w:val="17"/>
                <w:color w:val="auto"/>
              </w:rPr>
              <w:t>$425,000 - $4,500,000</w:t>
            </w:r>
          </w:p>
        </w:tc>
        <w:tc>
          <w:tcPr>
            <w:tcW w:w="2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2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None</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ind w:left="40"/>
              <w:spacing w:after="0"/>
              <w:rPr>
                <w:sz w:val="20"/>
                <w:szCs w:val="20"/>
                <w:color w:val="auto"/>
              </w:rPr>
            </w:pPr>
            <w:r>
              <w:rPr>
                <w:rFonts w:ascii="Arial" w:cs="Arial" w:eastAsia="Arial" w:hAnsi="Arial"/>
                <w:sz w:val="17"/>
                <w:szCs w:val="17"/>
                <w:color w:val="auto"/>
              </w:rPr>
              <w:t>$5,000,000 - $252,000,000</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None</w:t>
            </w:r>
          </w:p>
        </w:tc>
        <w:tc>
          <w:tcPr>
            <w:tcW w:w="2640" w:type="dxa"/>
            <w:vAlign w:val="bottom"/>
          </w:tcPr>
          <w:p>
            <w:pPr>
              <w:ind w:left="40"/>
              <w:spacing w:after="0"/>
              <w:rPr>
                <w:sz w:val="20"/>
                <w:szCs w:val="20"/>
                <w:color w:val="auto"/>
              </w:rPr>
            </w:pPr>
            <w:r>
              <w:rPr>
                <w:rFonts w:ascii="Arial" w:cs="Arial" w:eastAsia="Arial" w:hAnsi="Arial"/>
                <w:sz w:val="17"/>
                <w:szCs w:val="17"/>
                <w:color w:val="auto"/>
              </w:rPr>
              <w:t>$4,000,000 - $180,000,000</w:t>
            </w:r>
          </w:p>
        </w:tc>
        <w:tc>
          <w:tcPr>
            <w:tcW w:w="220" w:type="dxa"/>
            <w:vAlign w:val="bottom"/>
          </w:tcPr>
          <w:p>
            <w:pPr>
              <w:spacing w:after="0"/>
              <w:rPr>
                <w:sz w:val="18"/>
                <w:szCs w:val="18"/>
                <w:color w:val="auto"/>
              </w:rPr>
            </w:pPr>
          </w:p>
        </w:tc>
        <w:tc>
          <w:tcPr>
            <w:tcW w:w="1800" w:type="dxa"/>
            <w:vAlign w:val="bottom"/>
            <w:gridSpan w:val="2"/>
          </w:tcPr>
          <w:p>
            <w:pPr>
              <w:ind w:left="134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$252,000,000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26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$180,000,000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40" w:hanging="308"/>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57" w:lineRule="exact"/>
        <w:rPr>
          <w:rFonts w:ascii="Arial" w:cs="Arial" w:eastAsia="Arial" w:hAnsi="Arial"/>
          <w:sz w:val="17"/>
          <w:szCs w:val="17"/>
          <w:color w:val="auto"/>
        </w:rPr>
      </w:pPr>
    </w:p>
    <w:p>
      <w:pPr>
        <w:ind w:left="940" w:hanging="308"/>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2"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 and Financial Condition</w:t>
      </w:r>
    </w:p>
    <w:p>
      <w:pPr>
        <w:spacing w:after="0" w:line="162"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Based upon the factors set forth under “Factors That May Affect Future Results and Financial Condition” in Item 7 of our Annual Report on Form 10-K for the year ended December 31, 2016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23"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18"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September 30, 2017.</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27" w:lineRule="exact"/>
        <w:rPr>
          <w:sz w:val="20"/>
          <w:szCs w:val="20"/>
          <w:color w:val="auto"/>
        </w:rPr>
      </w:pPr>
    </w:p>
    <w:p>
      <w:pPr>
        <w:jc w:val="center"/>
        <w:ind w:right="978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-7620</wp:posOffset>
            </wp:positionV>
            <wp:extent cx="27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162" w:lineRule="exact"/>
        <w:rPr>
          <w:sz w:val="20"/>
          <w:szCs w:val="20"/>
          <w:color w:val="auto"/>
        </w:rPr>
      </w:pPr>
    </w:p>
    <w:p>
      <w:pPr>
        <w:ind w:left="900" w:hanging="268"/>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None</w:t>
      </w:r>
    </w:p>
    <w:p>
      <w:pPr>
        <w:spacing w:after="0" w:line="223" w:lineRule="exact"/>
        <w:rPr>
          <w:rFonts w:ascii="Arial" w:cs="Arial" w:eastAsia="Arial" w:hAnsi="Arial"/>
          <w:sz w:val="17"/>
          <w:szCs w:val="17"/>
          <w:color w:val="auto"/>
        </w:rPr>
      </w:pPr>
    </w:p>
    <w:p>
      <w:pPr>
        <w:ind w:left="920" w:hanging="28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23" w:lineRule="exact"/>
        <w:rPr>
          <w:rFonts w:ascii="Arial" w:cs="Arial" w:eastAsia="Arial" w:hAnsi="Arial"/>
          <w:sz w:val="17"/>
          <w:szCs w:val="17"/>
          <w:color w:val="auto"/>
        </w:rPr>
      </w:pPr>
    </w:p>
    <w:p>
      <w:pPr>
        <w:ind w:firstLine="632"/>
        <w:spacing w:after="0" w:line="281" w:lineRule="auto"/>
        <w:tabs>
          <w:tab w:leader="none" w:pos="8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table sets forth certain information with respect to purchases of common stock made by us or any “affiliated purchaser” during the quarter ended September 30, 2017:</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3"/>
                <w:szCs w:val="13"/>
                <w:color w:val="auto"/>
              </w:rPr>
            </w:pPr>
          </w:p>
        </w:tc>
        <w:tc>
          <w:tcPr>
            <w:tcW w:w="1080" w:type="dxa"/>
            <w:vAlign w:val="bottom"/>
          </w:tcPr>
          <w:p>
            <w:pPr>
              <w:jc w:val="center"/>
              <w:ind w:right="221"/>
              <w:spacing w:after="0" w:line="157" w:lineRule="exact"/>
              <w:rPr>
                <w:sz w:val="20"/>
                <w:szCs w:val="20"/>
                <w:color w:val="auto"/>
              </w:rPr>
            </w:pPr>
            <w:r>
              <w:rPr>
                <w:rFonts w:ascii="Arial" w:cs="Arial" w:eastAsia="Arial" w:hAnsi="Arial"/>
                <w:sz w:val="14"/>
                <w:szCs w:val="14"/>
                <w:b w:val="1"/>
                <w:bCs w:val="1"/>
                <w:color w:val="auto"/>
                <w:w w:val="90"/>
              </w:rPr>
              <w:t>Average</w:t>
            </w:r>
          </w:p>
        </w:tc>
        <w:tc>
          <w:tcPr>
            <w:tcW w:w="2280" w:type="dxa"/>
            <w:vAlign w:val="bottom"/>
          </w:tcPr>
          <w:p>
            <w:pPr>
              <w:jc w:val="right"/>
              <w:ind w:right="162"/>
              <w:spacing w:after="0" w:line="157" w:lineRule="exact"/>
              <w:rPr>
                <w:sz w:val="20"/>
                <w:szCs w:val="20"/>
                <w:color w:val="auto"/>
              </w:rPr>
            </w:pPr>
            <w:r>
              <w:rPr>
                <w:rFonts w:ascii="Arial" w:cs="Arial" w:eastAsia="Arial" w:hAnsi="Arial"/>
                <w:sz w:val="14"/>
                <w:szCs w:val="14"/>
                <w:b w:val="1"/>
                <w:bCs w:val="1"/>
                <w:color w:val="auto"/>
              </w:rPr>
              <w:t>Purchased as Part of Publicly</w:t>
            </w:r>
          </w:p>
        </w:tc>
        <w:tc>
          <w:tcPr>
            <w:tcW w:w="2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Period</w:t>
            </w: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3"/>
                <w:szCs w:val="13"/>
                <w:color w:val="auto"/>
              </w:rPr>
            </w:pPr>
          </w:p>
        </w:tc>
        <w:tc>
          <w:tcPr>
            <w:tcW w:w="1080" w:type="dxa"/>
            <w:vAlign w:val="bottom"/>
          </w:tcPr>
          <w:p>
            <w:pPr>
              <w:jc w:val="center"/>
              <w:ind w:right="201"/>
              <w:spacing w:after="0" w:line="157" w:lineRule="exact"/>
              <w:rPr>
                <w:sz w:val="20"/>
                <w:szCs w:val="20"/>
                <w:color w:val="auto"/>
              </w:rPr>
            </w:pPr>
            <w:r>
              <w:rPr>
                <w:rFonts w:ascii="Arial" w:cs="Arial" w:eastAsia="Arial" w:hAnsi="Arial"/>
                <w:sz w:val="14"/>
                <w:szCs w:val="14"/>
                <w:b w:val="1"/>
                <w:bCs w:val="1"/>
                <w:color w:val="auto"/>
                <w:w w:val="94"/>
              </w:rPr>
              <w:t>Price Paid</w:t>
            </w:r>
          </w:p>
        </w:tc>
        <w:tc>
          <w:tcPr>
            <w:tcW w:w="22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Announced Plans or</w:t>
            </w:r>
          </w:p>
        </w:tc>
        <w:tc>
          <w:tcPr>
            <w:tcW w:w="2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that May Be Purchased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0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2"/>
              </w:rPr>
              <w:t>per Share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7/1/17 – 7/31/17</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28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226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8/1/17 – 8/31/17</w:t>
            </w:r>
          </w:p>
        </w:tc>
        <w:tc>
          <w:tcPr>
            <w:tcW w:w="1380" w:type="dxa"/>
            <w:vAlign w:val="bottom"/>
          </w:tcPr>
          <w:p>
            <w:pPr>
              <w:jc w:val="right"/>
              <w:ind w:right="62"/>
              <w:spacing w:after="0"/>
              <w:rPr>
                <w:sz w:val="20"/>
                <w:szCs w:val="20"/>
                <w:color w:val="auto"/>
              </w:rPr>
            </w:pPr>
            <w:r>
              <w:rPr>
                <w:rFonts w:ascii="Arial" w:cs="Arial" w:eastAsia="Arial" w:hAnsi="Arial"/>
                <w:sz w:val="17"/>
                <w:szCs w:val="17"/>
                <w:color w:val="auto"/>
              </w:rPr>
              <w:t>1,012</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1"/>
              <w:spacing w:after="0"/>
              <w:rPr>
                <w:sz w:val="20"/>
                <w:szCs w:val="20"/>
                <w:color w:val="auto"/>
              </w:rPr>
            </w:pPr>
            <w:r>
              <w:rPr>
                <w:rFonts w:ascii="Arial" w:cs="Arial" w:eastAsia="Arial" w:hAnsi="Arial"/>
                <w:sz w:val="17"/>
                <w:szCs w:val="17"/>
                <w:color w:val="auto"/>
              </w:rPr>
              <w:t>15.14</w:t>
            </w:r>
          </w:p>
        </w:tc>
        <w:tc>
          <w:tcPr>
            <w:tcW w:w="2280" w:type="dxa"/>
            <w:vAlign w:val="bottom"/>
          </w:tcPr>
          <w:p>
            <w:pPr>
              <w:jc w:val="right"/>
              <w:ind w:right="162"/>
              <w:spacing w:after="0"/>
              <w:rPr>
                <w:sz w:val="20"/>
                <w:szCs w:val="20"/>
                <w:color w:val="auto"/>
              </w:rPr>
            </w:pPr>
            <w:r>
              <w:rPr>
                <w:rFonts w:ascii="Arial" w:cs="Arial" w:eastAsia="Arial" w:hAnsi="Arial"/>
                <w:sz w:val="17"/>
                <w:szCs w:val="17"/>
                <w:color w:val="auto"/>
              </w:rPr>
              <w:t>-</w:t>
            </w:r>
          </w:p>
        </w:tc>
        <w:tc>
          <w:tcPr>
            <w:tcW w:w="2260" w:type="dxa"/>
            <w:vAlign w:val="bottom"/>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9/1/17 – 9/30/17</w:t>
            </w: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7"/>
                <w:szCs w:val="17"/>
                <w:color w:val="auto"/>
              </w:rPr>
              <w:t>8,000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14.08</w:t>
            </w:r>
          </w:p>
        </w:tc>
        <w:tc>
          <w:tcPr>
            <w:tcW w:w="22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Total</w:t>
            </w: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color w:val="auto"/>
              </w:rPr>
              <w:t>9,012</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1"/>
              <w:spacing w:after="0"/>
              <w:rPr>
                <w:sz w:val="20"/>
                <w:szCs w:val="20"/>
                <w:color w:val="auto"/>
              </w:rPr>
            </w:pPr>
            <w:r>
              <w:rPr>
                <w:rFonts w:ascii="Arial" w:cs="Arial" w:eastAsia="Arial" w:hAnsi="Arial"/>
                <w:sz w:val="17"/>
                <w:szCs w:val="17"/>
                <w:color w:val="auto"/>
              </w:rPr>
              <w:t>14.20</w:t>
            </w:r>
          </w:p>
        </w:tc>
        <w:tc>
          <w:tcPr>
            <w:tcW w:w="2280" w:type="dxa"/>
            <w:vAlign w:val="bottom"/>
            <w:tcBorders>
              <w:bottom w:val="single" w:sz="8" w:color="auto"/>
            </w:tcBorders>
          </w:tcPr>
          <w:p>
            <w:pPr>
              <w:jc w:val="right"/>
              <w:ind w:right="162"/>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Purchases were made by us in open market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Defaults Upon Senior Securities</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Mine Safety Disclosures</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u w:val="single" w:color="auto"/>
          <w:color w:val="auto"/>
        </w:rPr>
        <w:t>Other Information</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u w:val="single" w:color="auto"/>
          <w:color w:val="auto"/>
        </w:rPr>
        <w:t>Exhibits</w:t>
      </w:r>
      <w:r>
        <w:rPr>
          <w:rFonts w:ascii="Arial" w:cs="Arial" w:eastAsia="Arial" w:hAnsi="Arial"/>
          <w:sz w:val="17"/>
          <w:szCs w:val="17"/>
          <w:color w:val="auto"/>
        </w:rPr>
        <w:t>.</w:t>
      </w:r>
    </w:p>
    <w:p>
      <w:pPr>
        <w:spacing w:after="0" w:line="224"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7"/>
          <w:szCs w:val="17"/>
          <w:u w:val="single" w:color="auto"/>
          <w:color w:val="0000EE"/>
        </w:rPr>
        <w:t>3(a)</w:t>
      </w:r>
      <w:r>
        <w:rPr>
          <w:sz w:val="20"/>
          <w:szCs w:val="20"/>
          <w:color w:val="auto"/>
        </w:rPr>
        <w:tab/>
      </w:r>
      <w:r>
        <w:rPr>
          <w:rFonts w:ascii="Arial" w:cs="Arial" w:eastAsia="Arial" w:hAnsi="Arial"/>
          <w:sz w:val="17"/>
          <w:szCs w:val="17"/>
          <w:color w:val="auto"/>
        </w:rPr>
        <w:t>Restated Certificate of Incorporation, as amended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1065" cy="132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34"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7"/>
          <w:szCs w:val="17"/>
          <w:u w:val="single" w:color="auto"/>
          <w:color w:val="0000EE"/>
        </w:rPr>
        <w:t>3(b)</w:t>
      </w:r>
      <w:r>
        <w:rPr>
          <w:sz w:val="20"/>
          <w:szCs w:val="20"/>
          <w:color w:val="auto"/>
        </w:rPr>
        <w:tab/>
      </w:r>
      <w:r>
        <w:rPr>
          <w:rFonts w:ascii="Arial" w:cs="Arial" w:eastAsia="Arial" w:hAnsi="Arial"/>
          <w:sz w:val="17"/>
          <w:szCs w:val="17"/>
          <w:color w:val="auto"/>
        </w:rPr>
        <w:t>By-laws, as amended</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1065" cy="132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37"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6"/>
          <w:szCs w:val="16"/>
          <w:u w:val="single" w:color="auto"/>
          <w:color w:val="0000EE"/>
        </w:rPr>
        <w:t>31(a)</w:t>
      </w:r>
      <w:r>
        <w:rPr>
          <w:sz w:val="20"/>
          <w:szCs w:val="20"/>
          <w:color w:val="auto"/>
        </w:rPr>
        <w:tab/>
      </w:r>
      <w:r>
        <w:rPr>
          <w:rFonts w:ascii="Arial" w:cs="Arial" w:eastAsia="Arial" w:hAnsi="Arial"/>
          <w:sz w:val="16"/>
          <w:szCs w:val="16"/>
          <w:color w:val="auto"/>
        </w:rPr>
        <w:t>Rule 13a-14(a)/15d-14(a) Certification of Principal Executive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1065" cy="132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15"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6"/>
          <w:szCs w:val="16"/>
          <w:u w:val="single" w:color="auto"/>
          <w:color w:val="0000EE"/>
        </w:rPr>
        <w:t>31(b)</w:t>
      </w:r>
      <w:r>
        <w:rPr>
          <w:sz w:val="20"/>
          <w:szCs w:val="20"/>
          <w:color w:val="auto"/>
        </w:rPr>
        <w:tab/>
      </w:r>
      <w:r>
        <w:rPr>
          <w:rFonts w:ascii="Arial" w:cs="Arial" w:eastAsia="Arial" w:hAnsi="Arial"/>
          <w:sz w:val="16"/>
          <w:szCs w:val="16"/>
          <w:color w:val="auto"/>
        </w:rPr>
        <w:t>Rule 13a-14(a)/15d-14(a) Certification of Principal Financial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1065" cy="132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129540</wp:posOffset>
            </wp:positionV>
            <wp:extent cx="27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15" w:lineRule="exact"/>
        <w:rPr>
          <w:sz w:val="20"/>
          <w:szCs w:val="20"/>
          <w:color w:val="auto"/>
        </w:rPr>
      </w:pPr>
    </w:p>
    <w:p>
      <w:pPr>
        <w:ind w:left="1160" w:right="100" w:hanging="606"/>
        <w:spacing w:after="0" w:line="281" w:lineRule="auto"/>
        <w:tabs>
          <w:tab w:leader="none" w:pos="1160" w:val="left"/>
        </w:tabs>
        <w:numPr>
          <w:ilvl w:val="0"/>
          <w:numId w:val="20"/>
        </w:numPr>
        <w:rPr>
          <w:rFonts w:ascii="Arial" w:cs="Arial" w:eastAsia="Arial" w:hAnsi="Arial"/>
          <w:sz w:val="17"/>
          <w:szCs w:val="17"/>
          <w:u w:val="single" w:color="auto"/>
          <w:color w:val="0000EE"/>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1065" cy="266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065" cy="26606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101.INS</w:t>
            </w:r>
          </w:p>
        </w:tc>
        <w:tc>
          <w:tcPr>
            <w:tcW w:w="10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XBRL Instance Document</w:t>
            </w:r>
          </w:p>
        </w:tc>
      </w:tr>
      <w:tr>
        <w:trPr>
          <w:trHeight w:val="209"/>
        </w:trPr>
        <w:tc>
          <w:tcPr>
            <w:tcW w:w="94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209"/>
        </w:trPr>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101.SCH</w:t>
            </w:r>
          </w:p>
        </w:tc>
        <w:tc>
          <w:tcPr>
            <w:tcW w:w="10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101.SCH XBRL Taxonomy Extension Schema.</w:t>
            </w:r>
          </w:p>
        </w:tc>
      </w:tr>
      <w:tr>
        <w:trPr>
          <w:trHeight w:val="209"/>
        </w:trPr>
        <w:tc>
          <w:tcPr>
            <w:tcW w:w="94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209"/>
        </w:trPr>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101.CAL</w:t>
            </w:r>
          </w:p>
        </w:tc>
        <w:tc>
          <w:tcPr>
            <w:tcW w:w="10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101.CAL XBRL Taxonomy Extension Calculation Linkbase.</w:t>
            </w:r>
          </w:p>
        </w:tc>
      </w:tr>
      <w:tr>
        <w:trPr>
          <w:trHeight w:val="209"/>
        </w:trPr>
        <w:tc>
          <w:tcPr>
            <w:tcW w:w="94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209"/>
        </w:trPr>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101.DEF</w:t>
            </w:r>
          </w:p>
        </w:tc>
        <w:tc>
          <w:tcPr>
            <w:tcW w:w="10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101.DEF XBRL Taxonomy Extension Definition Linkbase.</w:t>
            </w:r>
          </w:p>
        </w:tc>
      </w:tr>
      <w:tr>
        <w:trPr>
          <w:trHeight w:val="209"/>
        </w:trPr>
        <w:tc>
          <w:tcPr>
            <w:tcW w:w="94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209"/>
        </w:trPr>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101.LAB</w:t>
            </w:r>
          </w:p>
        </w:tc>
        <w:tc>
          <w:tcPr>
            <w:tcW w:w="10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101.LAB XBRL Taxonomy Extension Label Linkbase.</w:t>
            </w:r>
          </w:p>
        </w:tc>
      </w:tr>
      <w:tr>
        <w:trPr>
          <w:trHeight w:val="209"/>
        </w:trPr>
        <w:tc>
          <w:tcPr>
            <w:tcW w:w="94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209"/>
        </w:trPr>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101.PRE</w:t>
            </w:r>
          </w:p>
        </w:tc>
        <w:tc>
          <w:tcPr>
            <w:tcW w:w="10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101.PRE XBRL Taxonomy Extension Presentation Linkbase.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6"/>
          <w:szCs w:val="16"/>
          <w:color w:val="auto"/>
        </w:rPr>
        <w:t>Denotes document filed as Exhibit 3 (a) to our Quarterly Report on Form 10-Q for the period ended March 31, 2014 and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7"/>
          <w:szCs w:val="17"/>
          <w:color w:val="auto"/>
        </w:rPr>
        <w:t>Denotes document filed Exhibit 3.1 to our Current Report on Form 8-K for an event dated November 5, 2009 and incorporated herein by reference.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u w:val="single" w:color="auto"/>
          <w:color w:val="auto"/>
        </w:rPr>
        <w:t>SIGNATURES</w:t>
      </w:r>
    </w:p>
    <w:p>
      <w:pPr>
        <w:spacing w:after="0" w:line="200" w:lineRule="exact"/>
        <w:rPr>
          <w:sz w:val="20"/>
          <w:szCs w:val="20"/>
          <w:color w:val="auto"/>
        </w:rPr>
      </w:pPr>
    </w:p>
    <w:p>
      <w:pPr>
        <w:spacing w:after="0" w:line="236" w:lineRule="exact"/>
        <w:rPr>
          <w:sz w:val="20"/>
          <w:szCs w:val="20"/>
          <w:color w:val="auto"/>
        </w:rPr>
      </w:pPr>
    </w:p>
    <w:p>
      <w:pPr>
        <w:ind w:firstLine="628"/>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6400" w:type="dxa"/>
            <w:vAlign w:val="bottom"/>
            <w:gridSpan w:val="2"/>
          </w:tcPr>
          <w:p>
            <w:pPr>
              <w:ind w:left="2060"/>
              <w:spacing w:after="0"/>
              <w:rPr>
                <w:sz w:val="20"/>
                <w:szCs w:val="20"/>
                <w:color w:val="auto"/>
              </w:rPr>
            </w:pPr>
            <w:r>
              <w:rPr>
                <w:rFonts w:ascii="Arial" w:cs="Arial" w:eastAsia="Arial" w:hAnsi="Arial"/>
                <w:sz w:val="17"/>
                <w:szCs w:val="17"/>
                <w:b w:val="1"/>
                <w:bCs w:val="1"/>
                <w:color w:val="auto"/>
              </w:rPr>
              <w:t>KINGSTONE COMPANIES, INC.</w:t>
            </w:r>
          </w:p>
        </w:tc>
        <w:tc>
          <w:tcPr>
            <w:tcW w:w="1360" w:type="dxa"/>
            <w:vAlign w:val="bottom"/>
          </w:tcPr>
          <w:p>
            <w:pPr>
              <w:spacing w:after="0"/>
              <w:rPr>
                <w:sz w:val="19"/>
                <w:szCs w:val="19"/>
                <w:color w:val="auto"/>
              </w:rPr>
            </w:pPr>
          </w:p>
        </w:tc>
      </w:tr>
      <w:tr>
        <w:trPr>
          <w:trHeight w:val="702"/>
        </w:trPr>
        <w:tc>
          <w:tcPr>
            <w:tcW w:w="3660" w:type="dxa"/>
            <w:vAlign w:val="bottom"/>
          </w:tcPr>
          <w:p>
            <w:pPr>
              <w:spacing w:after="0"/>
              <w:rPr>
                <w:sz w:val="20"/>
                <w:szCs w:val="20"/>
                <w:color w:val="auto"/>
              </w:rPr>
            </w:pPr>
            <w:r>
              <w:rPr>
                <w:rFonts w:ascii="Arial" w:cs="Arial" w:eastAsia="Arial" w:hAnsi="Arial"/>
                <w:sz w:val="17"/>
                <w:szCs w:val="17"/>
                <w:color w:val="auto"/>
              </w:rPr>
              <w:t>Date: November 9, 2017</w:t>
            </w:r>
          </w:p>
        </w:tc>
        <w:tc>
          <w:tcPr>
            <w:tcW w:w="6400" w:type="dxa"/>
            <w:vAlign w:val="bottom"/>
            <w:gridSpan w:val="2"/>
          </w:tcPr>
          <w:p>
            <w:pPr>
              <w:ind w:left="2060"/>
              <w:spacing w:after="0"/>
              <w:rPr>
                <w:sz w:val="20"/>
                <w:szCs w:val="20"/>
                <w:color w:val="auto"/>
              </w:rPr>
            </w:pPr>
            <w:r>
              <w:rPr>
                <w:rFonts w:ascii="Arial" w:cs="Arial" w:eastAsia="Arial" w:hAnsi="Arial"/>
                <w:sz w:val="17"/>
                <w:szCs w:val="17"/>
                <w:color w:val="auto"/>
              </w:rPr>
              <w:t>By:  /s/ Barry B. Goldstein</w:t>
            </w:r>
          </w:p>
        </w:tc>
        <w:tc>
          <w:tcPr>
            <w:tcW w:w="1360" w:type="dxa"/>
            <w:vAlign w:val="bottom"/>
          </w:tcPr>
          <w:p>
            <w:pPr>
              <w:spacing w:after="0"/>
              <w:rPr>
                <w:sz w:val="24"/>
                <w:szCs w:val="24"/>
                <w:color w:val="auto"/>
              </w:rPr>
            </w:pPr>
          </w:p>
        </w:tc>
      </w:tr>
      <w:tr>
        <w:trPr>
          <w:trHeight w:val="201"/>
        </w:trPr>
        <w:tc>
          <w:tcPr>
            <w:tcW w:w="3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Barry B. Goldstein</w:t>
            </w:r>
          </w:p>
        </w:tc>
        <w:tc>
          <w:tcPr>
            <w:tcW w:w="1360" w:type="dxa"/>
            <w:vAlign w:val="bottom"/>
          </w:tcPr>
          <w:p>
            <w:pPr>
              <w:spacing w:after="0"/>
              <w:rPr>
                <w:sz w:val="17"/>
                <w:szCs w:val="17"/>
                <w:color w:val="auto"/>
              </w:rPr>
            </w:pP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President</w:t>
            </w:r>
          </w:p>
        </w:tc>
        <w:tc>
          <w:tcPr>
            <w:tcW w:w="1360" w:type="dxa"/>
            <w:vAlign w:val="bottom"/>
          </w:tcPr>
          <w:p>
            <w:pPr>
              <w:spacing w:after="0"/>
              <w:rPr>
                <w:sz w:val="18"/>
                <w:szCs w:val="18"/>
                <w:color w:val="auto"/>
              </w:rPr>
            </w:pPr>
          </w:p>
        </w:tc>
      </w:tr>
      <w:tr>
        <w:trPr>
          <w:trHeight w:val="676"/>
        </w:trPr>
        <w:tc>
          <w:tcPr>
            <w:tcW w:w="3660" w:type="dxa"/>
            <w:vAlign w:val="bottom"/>
          </w:tcPr>
          <w:p>
            <w:pPr>
              <w:spacing w:after="0"/>
              <w:rPr>
                <w:sz w:val="20"/>
                <w:szCs w:val="20"/>
                <w:color w:val="auto"/>
              </w:rPr>
            </w:pPr>
            <w:r>
              <w:rPr>
                <w:rFonts w:ascii="Arial" w:cs="Arial" w:eastAsia="Arial" w:hAnsi="Arial"/>
                <w:sz w:val="17"/>
                <w:szCs w:val="17"/>
                <w:color w:val="auto"/>
              </w:rPr>
              <w:t>Date: November 9, 2017</w:t>
            </w:r>
          </w:p>
        </w:tc>
        <w:tc>
          <w:tcPr>
            <w:tcW w:w="6400" w:type="dxa"/>
            <w:vAlign w:val="bottom"/>
            <w:gridSpan w:val="2"/>
          </w:tcPr>
          <w:p>
            <w:pPr>
              <w:ind w:left="2060"/>
              <w:spacing w:after="0"/>
              <w:rPr>
                <w:sz w:val="20"/>
                <w:szCs w:val="20"/>
                <w:color w:val="auto"/>
              </w:rPr>
            </w:pPr>
            <w:r>
              <w:rPr>
                <w:rFonts w:ascii="Arial" w:cs="Arial" w:eastAsia="Arial" w:hAnsi="Arial"/>
                <w:sz w:val="17"/>
                <w:szCs w:val="17"/>
                <w:color w:val="auto"/>
              </w:rPr>
              <w:t>By:  /s/ Victor Brodsky</w:t>
            </w:r>
          </w:p>
        </w:tc>
        <w:tc>
          <w:tcPr>
            <w:tcW w:w="1360" w:type="dxa"/>
            <w:vAlign w:val="bottom"/>
          </w:tcPr>
          <w:p>
            <w:pPr>
              <w:spacing w:after="0"/>
              <w:rPr>
                <w:sz w:val="24"/>
                <w:szCs w:val="24"/>
                <w:color w:val="auto"/>
              </w:rPr>
            </w:pPr>
          </w:p>
        </w:tc>
      </w:tr>
      <w:tr>
        <w:trPr>
          <w:trHeight w:val="201"/>
        </w:trPr>
        <w:tc>
          <w:tcPr>
            <w:tcW w:w="3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Victor Brodsky</w:t>
            </w:r>
          </w:p>
        </w:tc>
        <w:tc>
          <w:tcPr>
            <w:tcW w:w="1360" w:type="dxa"/>
            <w:vAlign w:val="bottom"/>
          </w:tcPr>
          <w:p>
            <w:pPr>
              <w:spacing w:after="0"/>
              <w:rPr>
                <w:sz w:val="17"/>
                <w:szCs w:val="17"/>
                <w:color w:val="auto"/>
              </w:rPr>
            </w:pP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1360" w:type="dxa"/>
            <w:vAlign w:val="bottom"/>
          </w:tcPr>
          <w:p>
            <w:pPr>
              <w:spacing w:after="0"/>
              <w:rPr>
                <w:sz w:val="18"/>
                <w:szCs w:val="18"/>
                <w:color w:val="auto"/>
              </w:rPr>
            </w:pPr>
          </w:p>
        </w:tc>
      </w:tr>
      <w:tr>
        <w:trPr>
          <w:trHeight w:val="838"/>
        </w:trPr>
        <w:tc>
          <w:tcPr>
            <w:tcW w:w="3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71</w:t>
            </w:r>
          </w:p>
        </w:tc>
        <w:tc>
          <w:tcPr>
            <w:tcW w:w="3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93"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1"/>
          <w:szCs w:val="21"/>
          <w:b w:val="1"/>
          <w:bCs w:val="1"/>
          <w:u w:val="single" w:color="auto"/>
          <w:color w:val="auto"/>
        </w:rPr>
        <w:t>CERTIFICATION</w:t>
      </w:r>
    </w:p>
    <w:p>
      <w:pPr>
        <w:spacing w:after="0" w:line="3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 Barry B. Goldstein, certify that:</w:t>
      </w:r>
    </w:p>
    <w:p>
      <w:pPr>
        <w:spacing w:after="0" w:line="249" w:lineRule="exact"/>
        <w:rPr>
          <w:sz w:val="20"/>
          <w:szCs w:val="20"/>
          <w:color w:val="auto"/>
        </w:rPr>
      </w:pPr>
    </w:p>
    <w:p>
      <w:pPr>
        <w:ind w:left="340" w:hanging="335"/>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49" w:lineRule="exact"/>
        <w:rPr>
          <w:rFonts w:ascii="Arial" w:cs="Arial" w:eastAsia="Arial" w:hAnsi="Arial"/>
          <w:sz w:val="17"/>
          <w:szCs w:val="17"/>
          <w:color w:val="auto"/>
        </w:rPr>
      </w:pPr>
    </w:p>
    <w:p>
      <w:pPr>
        <w:ind w:right="420" w:firstLine="5"/>
        <w:spacing w:after="0" w:line="314" w:lineRule="auto"/>
        <w:tabs>
          <w:tab w:leader="none" w:pos="3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6"/>
          <w:szCs w:val="16"/>
          <w:color w:val="auto"/>
        </w:rPr>
      </w:pPr>
    </w:p>
    <w:p>
      <w:pPr>
        <w:ind w:right="520" w:firstLine="5"/>
        <w:spacing w:after="0" w:line="314" w:lineRule="auto"/>
        <w:tabs>
          <w:tab w:leader="none" w:pos="3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72" w:lineRule="exact"/>
        <w:rPr>
          <w:rFonts w:ascii="Arial" w:cs="Arial" w:eastAsia="Arial" w:hAnsi="Arial"/>
          <w:sz w:val="16"/>
          <w:szCs w:val="16"/>
          <w:color w:val="auto"/>
        </w:rPr>
      </w:pPr>
    </w:p>
    <w:p>
      <w:pPr>
        <w:ind w:left="340" w:hanging="335"/>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are responsible for establishing and maintaining disclosure controls and procedures (as defined in</w:t>
      </w:r>
    </w:p>
    <w:p>
      <w:pPr>
        <w:spacing w:after="0" w:line="31" w:lineRule="exact"/>
        <w:rPr>
          <w:rFonts w:ascii="Arial" w:cs="Arial" w:eastAsia="Arial" w:hAnsi="Arial"/>
          <w:sz w:val="16"/>
          <w:szCs w:val="16"/>
          <w:color w:val="auto"/>
        </w:rPr>
      </w:pPr>
    </w:p>
    <w:p>
      <w:pPr>
        <w:ind w:right="180"/>
        <w:spacing w:after="0" w:line="273" w:lineRule="auto"/>
        <w:rPr>
          <w:rFonts w:ascii="Arial" w:cs="Arial" w:eastAsia="Arial" w:hAnsi="Arial"/>
          <w:sz w:val="16"/>
          <w:szCs w:val="16"/>
          <w:color w:val="auto"/>
        </w:rPr>
      </w:pPr>
      <w:r>
        <w:rPr>
          <w:rFonts w:ascii="Arial" w:cs="Arial" w:eastAsia="Arial" w:hAnsi="Arial"/>
          <w:sz w:val="17"/>
          <w:szCs w:val="17"/>
          <w:color w:val="auto"/>
        </w:rPr>
        <w:t>Exchange Act Rules 13a-15(e) and 15d-15-(e)) and internal control over financial reporting (as defined in Exchange Act Rules 13a-15(f) and 15d-15(f)) for the small business issuer and have:</w:t>
      </w:r>
    </w:p>
    <w:p>
      <w:pPr>
        <w:spacing w:after="0" w:line="176" w:lineRule="exact"/>
        <w:rPr>
          <w:rFonts w:ascii="Arial" w:cs="Arial" w:eastAsia="Arial" w:hAnsi="Arial"/>
          <w:sz w:val="16"/>
          <w:szCs w:val="16"/>
          <w:color w:val="auto"/>
        </w:rPr>
      </w:pPr>
    </w:p>
    <w:p>
      <w:pPr>
        <w:jc w:val="both"/>
        <w:ind w:left="1260" w:hanging="628"/>
        <w:spacing w:after="0" w:line="269" w:lineRule="auto"/>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jc w:val="both"/>
        <w:ind w:left="1260" w:hanging="628"/>
        <w:spacing w:after="0" w:line="269" w:lineRule="auto"/>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hanging="628"/>
        <w:spacing w:after="0" w:line="351" w:lineRule="auto"/>
        <w:tabs>
          <w:tab w:leader="none" w:pos="126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5"/>
          <w:szCs w:val="15"/>
          <w:color w:val="auto"/>
        </w:rPr>
      </w:pPr>
    </w:p>
    <w:p>
      <w:pPr>
        <w:jc w:val="both"/>
        <w:ind w:left="1260" w:hanging="628"/>
        <w:spacing w:after="0" w:line="269" w:lineRule="auto"/>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205" w:lineRule="exact"/>
        <w:rPr>
          <w:rFonts w:ascii="Arial" w:cs="Arial" w:eastAsia="Arial" w:hAnsi="Arial"/>
          <w:sz w:val="17"/>
          <w:szCs w:val="17"/>
          <w:color w:val="auto"/>
        </w:rPr>
      </w:pPr>
    </w:p>
    <w:p>
      <w:pPr>
        <w:ind w:right="120" w:firstLine="5"/>
        <w:spacing w:after="0" w:line="351" w:lineRule="auto"/>
        <w:tabs>
          <w:tab w:leader="none" w:pos="33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23" w:lineRule="exact"/>
        <w:rPr>
          <w:rFonts w:ascii="Arial" w:cs="Arial" w:eastAsia="Arial" w:hAnsi="Arial"/>
          <w:sz w:val="15"/>
          <w:szCs w:val="15"/>
          <w:color w:val="auto"/>
        </w:rPr>
      </w:pPr>
    </w:p>
    <w:p>
      <w:pPr>
        <w:ind w:left="1260" w:hanging="628"/>
        <w:spacing w:after="0" w:line="314" w:lineRule="auto"/>
        <w:tabs>
          <w:tab w:leader="none" w:pos="12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46" w:lineRule="exact"/>
        <w:rPr>
          <w:rFonts w:ascii="Arial" w:cs="Arial" w:eastAsia="Arial" w:hAnsi="Arial"/>
          <w:sz w:val="16"/>
          <w:szCs w:val="16"/>
          <w:color w:val="auto"/>
        </w:rPr>
      </w:pPr>
    </w:p>
    <w:p>
      <w:pPr>
        <w:ind w:left="1260" w:hanging="628"/>
        <w:spacing w:after="0" w:line="281" w:lineRule="auto"/>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389"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November 9, 2017</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31115</wp:posOffset>
            </wp:positionV>
            <wp:extent cx="254127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41270" cy="16510"/>
                    </a:xfrm>
                    <a:prstGeom prst="rect">
                      <a:avLst/>
                    </a:prstGeom>
                    <a:noFill/>
                  </pic:spPr>
                </pic:pic>
              </a:graphicData>
            </a:graphic>
          </wp:anchor>
        </w:drawing>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408940</wp:posOffset>
            </wp:positionV>
            <wp:extent cx="72510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1"/>
          <w:szCs w:val="21"/>
          <w:b w:val="1"/>
          <w:bCs w:val="1"/>
          <w:u w:val="single" w:color="auto"/>
          <w:color w:val="auto"/>
        </w:rPr>
        <w:t>CERTIFICATION</w:t>
      </w:r>
    </w:p>
    <w:p>
      <w:pPr>
        <w:spacing w:after="0" w:line="3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 Victor Brodsky, certify that:</w:t>
      </w:r>
    </w:p>
    <w:p>
      <w:pPr>
        <w:spacing w:after="0" w:line="249" w:lineRule="exact"/>
        <w:rPr>
          <w:sz w:val="20"/>
          <w:szCs w:val="20"/>
          <w:color w:val="auto"/>
        </w:rPr>
      </w:pPr>
    </w:p>
    <w:p>
      <w:pPr>
        <w:ind w:left="340" w:hanging="335"/>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49" w:lineRule="exact"/>
        <w:rPr>
          <w:rFonts w:ascii="Arial" w:cs="Arial" w:eastAsia="Arial" w:hAnsi="Arial"/>
          <w:sz w:val="17"/>
          <w:szCs w:val="17"/>
          <w:color w:val="auto"/>
        </w:rPr>
      </w:pPr>
    </w:p>
    <w:p>
      <w:pPr>
        <w:ind w:right="420" w:firstLine="5"/>
        <w:spacing w:after="0" w:line="314" w:lineRule="auto"/>
        <w:tabs>
          <w:tab w:leader="none" w:pos="337"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6"/>
          <w:szCs w:val="16"/>
          <w:color w:val="auto"/>
        </w:rPr>
      </w:pPr>
    </w:p>
    <w:p>
      <w:pPr>
        <w:ind w:right="520" w:firstLine="5"/>
        <w:spacing w:after="0" w:line="314" w:lineRule="auto"/>
        <w:tabs>
          <w:tab w:leader="none" w:pos="337"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72" w:lineRule="exact"/>
        <w:rPr>
          <w:rFonts w:ascii="Arial" w:cs="Arial" w:eastAsia="Arial" w:hAnsi="Arial"/>
          <w:sz w:val="16"/>
          <w:szCs w:val="16"/>
          <w:color w:val="auto"/>
        </w:rPr>
      </w:pPr>
    </w:p>
    <w:p>
      <w:pPr>
        <w:ind w:left="340" w:hanging="335"/>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are responsible for establishing and maintaining disclosure controls and procedures (as defined in</w:t>
      </w:r>
    </w:p>
    <w:p>
      <w:pPr>
        <w:spacing w:after="0" w:line="31" w:lineRule="exact"/>
        <w:rPr>
          <w:rFonts w:ascii="Arial" w:cs="Arial" w:eastAsia="Arial" w:hAnsi="Arial"/>
          <w:sz w:val="16"/>
          <w:szCs w:val="16"/>
          <w:color w:val="auto"/>
        </w:rPr>
      </w:pPr>
    </w:p>
    <w:p>
      <w:pPr>
        <w:ind w:right="180"/>
        <w:spacing w:after="0" w:line="273" w:lineRule="auto"/>
        <w:rPr>
          <w:rFonts w:ascii="Arial" w:cs="Arial" w:eastAsia="Arial" w:hAnsi="Arial"/>
          <w:sz w:val="16"/>
          <w:szCs w:val="16"/>
          <w:color w:val="auto"/>
        </w:rPr>
      </w:pPr>
      <w:r>
        <w:rPr>
          <w:rFonts w:ascii="Arial" w:cs="Arial" w:eastAsia="Arial" w:hAnsi="Arial"/>
          <w:sz w:val="17"/>
          <w:szCs w:val="17"/>
          <w:color w:val="auto"/>
        </w:rPr>
        <w:t>Exchange Act Rules 13a-15(e) and 15d-15-(e)) and internal control over financial reporting (as defined in Exchange Act Rules 13a-15(f) and 15d-15(f)) for the small business issuer and have:</w:t>
      </w:r>
    </w:p>
    <w:p>
      <w:pPr>
        <w:spacing w:after="0" w:line="176" w:lineRule="exact"/>
        <w:rPr>
          <w:rFonts w:ascii="Arial" w:cs="Arial" w:eastAsia="Arial" w:hAnsi="Arial"/>
          <w:sz w:val="16"/>
          <w:szCs w:val="16"/>
          <w:color w:val="auto"/>
        </w:rPr>
      </w:pPr>
    </w:p>
    <w:p>
      <w:pPr>
        <w:jc w:val="both"/>
        <w:ind w:left="1260" w:hanging="628"/>
        <w:spacing w:after="0" w:line="269" w:lineRule="auto"/>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jc w:val="both"/>
        <w:ind w:left="1260" w:hanging="628"/>
        <w:spacing w:after="0" w:line="269" w:lineRule="auto"/>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hanging="628"/>
        <w:spacing w:after="0" w:line="351" w:lineRule="auto"/>
        <w:tabs>
          <w:tab w:leader="none" w:pos="126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5"/>
          <w:szCs w:val="15"/>
          <w:color w:val="auto"/>
        </w:rPr>
      </w:pPr>
    </w:p>
    <w:p>
      <w:pPr>
        <w:jc w:val="both"/>
        <w:ind w:left="1260" w:hanging="628"/>
        <w:spacing w:after="0" w:line="269" w:lineRule="auto"/>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205" w:lineRule="exact"/>
        <w:rPr>
          <w:rFonts w:ascii="Arial" w:cs="Arial" w:eastAsia="Arial" w:hAnsi="Arial"/>
          <w:sz w:val="17"/>
          <w:szCs w:val="17"/>
          <w:color w:val="auto"/>
        </w:rPr>
      </w:pPr>
    </w:p>
    <w:p>
      <w:pPr>
        <w:ind w:right="120" w:firstLine="5"/>
        <w:spacing w:after="0" w:line="351" w:lineRule="auto"/>
        <w:tabs>
          <w:tab w:leader="none" w:pos="33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23" w:lineRule="exact"/>
        <w:rPr>
          <w:rFonts w:ascii="Arial" w:cs="Arial" w:eastAsia="Arial" w:hAnsi="Arial"/>
          <w:sz w:val="15"/>
          <w:szCs w:val="15"/>
          <w:color w:val="auto"/>
        </w:rPr>
      </w:pPr>
    </w:p>
    <w:p>
      <w:pPr>
        <w:ind w:left="1260" w:hanging="628"/>
        <w:spacing w:after="0" w:line="314" w:lineRule="auto"/>
        <w:tabs>
          <w:tab w:leader="none" w:pos="12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46" w:lineRule="exact"/>
        <w:rPr>
          <w:rFonts w:ascii="Arial" w:cs="Arial" w:eastAsia="Arial" w:hAnsi="Arial"/>
          <w:sz w:val="16"/>
          <w:szCs w:val="16"/>
          <w:color w:val="auto"/>
        </w:rPr>
      </w:pPr>
    </w:p>
    <w:p>
      <w:pPr>
        <w:ind w:left="1260" w:hanging="628"/>
        <w:spacing w:after="0" w:line="281" w:lineRule="auto"/>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November 9, 2017</w:t>
      </w:r>
      <w:r>
        <w:rPr>
          <w:sz w:val="20"/>
          <w:szCs w:val="20"/>
          <w:color w:val="auto"/>
        </w:rPr>
        <w:tab/>
      </w:r>
      <w:r>
        <w:rPr>
          <w:rFonts w:ascii="Arial" w:cs="Arial" w:eastAsia="Arial" w:hAnsi="Arial"/>
          <w:sz w:val="16"/>
          <w:szCs w:val="16"/>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22225</wp:posOffset>
            </wp:positionV>
            <wp:extent cx="254127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41270" cy="16510"/>
                    </a:xfrm>
                    <a:prstGeom prst="rect">
                      <a:avLst/>
                    </a:prstGeom>
                    <a:noFill/>
                  </pic:spPr>
                </pic:pic>
              </a:graphicData>
            </a:graphic>
          </wp:anchor>
        </w:drawing>
      </w:r>
    </w:p>
    <w:p>
      <w:pPr>
        <w:spacing w:after="0" w:line="3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425450</wp:posOffset>
            </wp:positionV>
            <wp:extent cx="72510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1"/>
          <w:szCs w:val="21"/>
          <w:b w:val="1"/>
          <w:bCs w:val="1"/>
          <w:color w:val="auto"/>
        </w:rPr>
        <w:t>CERTIFICATION OF CHIEF EXECUTIVE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 CHIEF FINANCIAL OFFICER</w:t>
      </w:r>
    </w:p>
    <w:p>
      <w:pPr>
        <w:jc w:val="center"/>
        <w:spacing w:after="0" w:line="233" w:lineRule="auto"/>
        <w:rPr>
          <w:sz w:val="20"/>
          <w:szCs w:val="20"/>
          <w:color w:val="auto"/>
        </w:rPr>
      </w:pPr>
      <w:r>
        <w:rPr>
          <w:rFonts w:ascii="Arial" w:cs="Arial" w:eastAsia="Arial" w:hAnsi="Arial"/>
          <w:sz w:val="21"/>
          <w:szCs w:val="21"/>
          <w:b w:val="1"/>
          <w:bCs w:val="1"/>
          <w:color w:val="auto"/>
        </w:rPr>
        <w:t>PURSUANT TO</w:t>
      </w:r>
    </w:p>
    <w:p>
      <w:pPr>
        <w:jc w:val="center"/>
        <w:spacing w:after="0" w:line="234" w:lineRule="auto"/>
        <w:rPr>
          <w:sz w:val="20"/>
          <w:szCs w:val="20"/>
          <w:color w:val="auto"/>
        </w:rPr>
      </w:pPr>
      <w:r>
        <w:rPr>
          <w:rFonts w:ascii="Arial" w:cs="Arial" w:eastAsia="Arial" w:hAnsi="Arial"/>
          <w:sz w:val="21"/>
          <w:szCs w:val="21"/>
          <w:b w:val="1"/>
          <w:bCs w:val="1"/>
          <w:color w:val="auto"/>
        </w:rPr>
        <w:t>18 U.S.C. SECTION 1350,</w:t>
      </w:r>
    </w:p>
    <w:p>
      <w:pPr>
        <w:jc w:val="center"/>
        <w:spacing w:after="0" w:line="234" w:lineRule="auto"/>
        <w:rPr>
          <w:sz w:val="20"/>
          <w:szCs w:val="20"/>
          <w:color w:val="auto"/>
        </w:rPr>
      </w:pPr>
      <w:r>
        <w:rPr>
          <w:rFonts w:ascii="Arial" w:cs="Arial" w:eastAsia="Arial" w:hAnsi="Arial"/>
          <w:sz w:val="21"/>
          <w:szCs w:val="21"/>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19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2017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November 9, 2017</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31115</wp:posOffset>
            </wp:positionV>
            <wp:extent cx="254127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41270" cy="16510"/>
                    </a:xfrm>
                    <a:prstGeom prst="rect">
                      <a:avLst/>
                    </a:prstGeom>
                    <a:noFill/>
                  </pic:spPr>
                </pic:pic>
              </a:graphicData>
            </a:graphic>
          </wp:anchor>
        </w:drawing>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13970</wp:posOffset>
            </wp:positionV>
            <wp:extent cx="254127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1270" cy="16510"/>
                    </a:xfrm>
                    <a:prstGeom prst="rect">
                      <a:avLst/>
                    </a:prstGeom>
                    <a:noFill/>
                  </pic:spPr>
                </pic:pic>
              </a:graphicData>
            </a:graphic>
          </wp:anchor>
        </w:drawing>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72510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sectPr>
      <w:pgSz w:w="11900" w:h="16838" w:orient="portrait"/>
      <w:cols w:equalWidth="0" w:num="1">
        <w:col w:w="11420"/>
      </w:cols>
      <w:pgMar w:left="240" w:top="5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lowerRoman"/>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upperLetter"/>
      <w:start w:val="1"/>
    </w:lvl>
    <w:lvl w:ilvl="1">
      <w:lvlJc w:val="left"/>
      <w:lvlText w:val="(%2)"/>
      <w:numFmt w:val="decimal"/>
      <w:start w:val="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32"/>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2020-01-18T19:12:45Z</dcterms:created>
  <dcterms:modified xsi:type="dcterms:W3CDTF">2020-01-18T19:12:45Z</dcterms:modified>
</cp:coreProperties>
</file>