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t> </w:t>
      </w:r>
    </w:p>
    <w:tbl>
      <w:tblPr>
        <w:tblW w:w="169" w:type="dxa"/>
        <w:jc w:val="left"/>
        <w:tblInd w:w="0" w:type="dxa"/>
        <w:tblCellMar>
          <w:top w:w="0" w:type="dxa"/>
          <w:left w:w="0" w:type="dxa"/>
          <w:bottom w:w="28" w:type="dxa"/>
          <w:right w:w="0" w:type="dxa"/>
        </w:tblCellMar>
      </w:tblPr>
      <w:tblGrid>
        <w:gridCol w:w="169"/>
      </w:tblGrid>
      <w:tr>
        <w:trPr/>
        <w:tc>
          <w:tcPr>
            <w:tcW w:w="169" w:type="dxa"/>
            <w:tcBorders>
              <w:bottom w:val="single" w:sz="30" w:space="0" w:color="000000"/>
            </w:tcBorders>
            <w:shd w:fill="auto" w:val="clear"/>
            <w:vAlign w:val="center"/>
          </w:tcPr>
          <w:p>
            <w:pPr>
              <w:pStyle w:val="TableContents"/>
              <w:spacing w:before="0" w:after="283"/>
              <w:rPr>
                <w:sz w:val="4"/>
                <w:szCs w:val="4"/>
              </w:rPr>
            </w:pPr>
            <w:r>
              <w:rPr>
                <w:sz w:val="4"/>
                <w:szCs w:val="4"/>
              </w:rPr>
            </w:r>
          </w:p>
        </w:tc>
      </w:tr>
      <w:tr>
        <w:trPr/>
        <w:tc>
          <w:tcPr>
            <w:tcW w:w="169" w:type="dxa"/>
            <w:tcBorders>
              <w:bottom w:val="single" w:sz="12" w:space="0" w:color="000000"/>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 xml:space="preserve">UNITED STATES </w:t>
      </w:r>
    </w:p>
    <w:p>
      <w:pPr>
        <w:pStyle w:val="TextBody"/>
        <w:spacing w:before="0" w:after="0"/>
        <w:ind w:left="0" w:right="0" w:hanging="0"/>
        <w:jc w:val="center"/>
        <w:rPr/>
      </w:pPr>
      <w:r>
        <w:rPr>
          <w:rStyle w:val="StrongEmphasis"/>
          <w:rFonts w:ascii="times new roman" w:hAnsi="times new roman"/>
          <w:sz w:val="20"/>
        </w:rPr>
        <w:t>SECURITIES AND EXCHANGE COMMISSION</w:t>
      </w:r>
    </w:p>
    <w:p>
      <w:pPr>
        <w:pStyle w:val="TextBody"/>
        <w:spacing w:before="0" w:after="0"/>
        <w:ind w:left="0" w:right="0" w:hanging="0"/>
        <w:jc w:val="center"/>
        <w:rPr/>
      </w:pPr>
      <w:r>
        <w:rPr>
          <w:rStyle w:val="StrongEmphasis"/>
          <w:rFonts w:ascii="times new roman" w:hAnsi="times new roman"/>
          <w:sz w:val="20"/>
        </w:rPr>
        <w:t>WASHINGTON, D.C. 20549</w:t>
      </w:r>
    </w:p>
    <w:p>
      <w:pPr>
        <w:pStyle w:val="TextBody"/>
        <w:spacing w:before="0" w:after="0"/>
        <w:ind w:left="0" w:right="0" w:hanging="0"/>
        <w:jc w:val="center"/>
        <w:rPr/>
      </w:pPr>
      <w:r>
        <w:rPr/>
        <w:t> </w:t>
      </w:r>
    </w:p>
    <w:p>
      <w:pPr>
        <w:pStyle w:val="TextBody"/>
        <w:spacing w:before="0" w:after="0"/>
        <w:ind w:left="0" w:right="0" w:hanging="0"/>
        <w:jc w:val="center"/>
        <w:rPr/>
      </w:pPr>
      <w:r>
        <w:rPr>
          <w:rStyle w:val="StrongEmphasis"/>
          <w:rFonts w:ascii="times new roman" w:hAnsi="times new roman"/>
          <w:sz w:val="36"/>
        </w:rPr>
        <w:t>FORM 10-K</w:t>
      </w:r>
    </w:p>
    <w:p>
      <w:pPr>
        <w:pStyle w:val="TextBody"/>
        <w:spacing w:before="0" w:after="0"/>
        <w:ind w:left="0" w:right="0" w:hanging="0"/>
        <w:jc w:val="both"/>
        <w:rPr/>
      </w:pPr>
      <w:r>
        <w:rPr>
          <w:rStyle w:val="StrongEmphasis"/>
          <w:rFonts w:ascii="times new roman" w:hAnsi="times new roman"/>
          <w:sz w:val="20"/>
        </w:rPr>
        <w:t>(Mark one)</w:t>
      </w:r>
      <w:r>
        <w:rPr>
          <w:rFonts w:ascii="times new roman" w:hAnsi="times new roman"/>
          <w:sz w:val="20"/>
        </w:rPr>
        <w:t xml:space="preserve"> </w:t>
      </w:r>
    </w:p>
    <w:tbl>
      <w:tblPr>
        <w:tblW w:w="9805" w:type="dxa"/>
        <w:jc w:val="left"/>
        <w:tblInd w:w="0" w:type="dxa"/>
        <w:tblCellMar>
          <w:top w:w="0" w:type="dxa"/>
          <w:left w:w="0" w:type="dxa"/>
          <w:bottom w:w="0" w:type="dxa"/>
          <w:right w:w="0" w:type="dxa"/>
        </w:tblCellMar>
      </w:tblPr>
      <w:tblGrid>
        <w:gridCol w:w="275"/>
        <w:gridCol w:w="9530"/>
      </w:tblGrid>
      <w:tr>
        <w:trPr/>
        <w:tc>
          <w:tcPr>
            <w:tcW w:w="275" w:type="dxa"/>
            <w:tcBorders/>
            <w:shd w:fill="auto" w:val="clear"/>
            <w:vAlign w:val="center"/>
          </w:tcPr>
          <w:p>
            <w:pPr>
              <w:pStyle w:val="TableContents"/>
              <w:spacing w:before="0" w:after="0"/>
              <w:ind w:left="0" w:right="0" w:hanging="0"/>
              <w:jc w:val="left"/>
              <w:rPr/>
            </w:pPr>
            <w:r>
              <w:rPr/>
              <w:t>☒</w:t>
            </w:r>
          </w:p>
        </w:tc>
        <w:tc>
          <w:tcPr>
            <w:tcW w:w="9530" w:type="dxa"/>
            <w:tcBorders/>
            <w:shd w:fill="auto" w:val="clear"/>
            <w:vAlign w:val="center"/>
          </w:tcPr>
          <w:p>
            <w:pPr>
              <w:pStyle w:val="TableContents"/>
              <w:spacing w:before="0" w:after="0"/>
              <w:ind w:left="0" w:right="0" w:hanging="0"/>
              <w:rPr/>
            </w:pPr>
            <w:r>
              <w:rPr>
                <w:rStyle w:val="StrongEmphasis"/>
                <w:rFonts w:ascii="times new roman" w:hAnsi="times new roman"/>
                <w:sz w:val="20"/>
              </w:rPr>
              <w:t>ANNUAL REPORT PURSUANT TO SECTION 13 OR 15(d) OF THE SECURITIES EXCHANGE ACT OF 1934</w:t>
            </w:r>
          </w:p>
        </w:tc>
      </w:tr>
    </w:tbl>
    <w:p>
      <w:pPr>
        <w:pStyle w:val="TextBody"/>
        <w:spacing w:before="0" w:after="0"/>
        <w:ind w:left="0" w:right="0" w:hanging="0"/>
        <w:jc w:val="center"/>
        <w:rPr/>
      </w:pPr>
      <w:r>
        <w:rPr/>
        <w:t> </w:t>
      </w:r>
    </w:p>
    <w:p>
      <w:pPr>
        <w:pStyle w:val="TextBody"/>
        <w:spacing w:before="0" w:after="0"/>
        <w:ind w:left="0" w:right="0" w:hanging="0"/>
        <w:jc w:val="center"/>
        <w:rPr/>
      </w:pPr>
      <w:r>
        <w:rPr>
          <w:rStyle w:val="StrongEmphasis"/>
          <w:rFonts w:ascii="times new roman" w:hAnsi="times new roman"/>
          <w:sz w:val="20"/>
        </w:rPr>
        <w:t>For the fiscal year ended December 31, 2022</w:t>
      </w:r>
    </w:p>
    <w:p>
      <w:pPr>
        <w:pStyle w:val="TextBody"/>
        <w:spacing w:before="0" w:after="0"/>
        <w:ind w:left="0" w:right="0" w:hanging="0"/>
        <w:jc w:val="center"/>
        <w:rPr/>
      </w:pPr>
      <w:r>
        <w:rPr/>
        <w:t> </w:t>
      </w:r>
    </w:p>
    <w:p>
      <w:pPr>
        <w:pStyle w:val="TextBody"/>
        <w:spacing w:before="0" w:after="0"/>
        <w:ind w:left="0" w:right="0" w:hanging="0"/>
        <w:jc w:val="center"/>
        <w:rPr/>
      </w:pPr>
      <w:r>
        <w:rPr>
          <w:rStyle w:val="StrongEmphasis"/>
          <w:rFonts w:ascii="times new roman" w:hAnsi="times new roman"/>
          <w:sz w:val="20"/>
        </w:rPr>
        <w:t>OR</w:t>
      </w:r>
    </w:p>
    <w:p>
      <w:pPr>
        <w:pStyle w:val="TextBody"/>
        <w:spacing w:before="0" w:after="0"/>
        <w:ind w:left="0" w:right="0" w:hanging="0"/>
        <w:jc w:val="center"/>
        <w:rPr/>
      </w:pPr>
      <w:r>
        <w:rPr/>
        <w:t> </w:t>
      </w:r>
    </w:p>
    <w:tbl>
      <w:tblPr>
        <w:tblW w:w="10205" w:type="dxa"/>
        <w:jc w:val="left"/>
        <w:tblInd w:w="0" w:type="dxa"/>
        <w:tblCellMar>
          <w:top w:w="0" w:type="dxa"/>
          <w:left w:w="0" w:type="dxa"/>
          <w:bottom w:w="0" w:type="dxa"/>
          <w:right w:w="0" w:type="dxa"/>
        </w:tblCellMar>
      </w:tblPr>
      <w:tblGrid>
        <w:gridCol w:w="275"/>
        <w:gridCol w:w="9930"/>
      </w:tblGrid>
      <w:tr>
        <w:trPr/>
        <w:tc>
          <w:tcPr>
            <w:tcW w:w="275" w:type="dxa"/>
            <w:tcBorders/>
            <w:shd w:fill="auto" w:val="clear"/>
            <w:vAlign w:val="center"/>
          </w:tcPr>
          <w:p>
            <w:pPr>
              <w:pStyle w:val="TableContents"/>
              <w:spacing w:before="0" w:after="0"/>
              <w:ind w:left="0" w:right="0" w:hanging="0"/>
              <w:jc w:val="left"/>
              <w:rPr/>
            </w:pPr>
            <w:r>
              <w:rPr/>
              <w:t>☐</w:t>
            </w:r>
          </w:p>
        </w:tc>
        <w:tc>
          <w:tcPr>
            <w:tcW w:w="9930" w:type="dxa"/>
            <w:tcBorders/>
            <w:shd w:fill="auto" w:val="clear"/>
            <w:vAlign w:val="center"/>
          </w:tcPr>
          <w:p>
            <w:pPr>
              <w:pStyle w:val="TableContents"/>
              <w:spacing w:before="0" w:after="0"/>
              <w:ind w:left="0" w:right="0" w:hanging="0"/>
              <w:rPr/>
            </w:pPr>
            <w:r>
              <w:rPr>
                <w:rStyle w:val="StrongEmphasis"/>
                <w:rFonts w:ascii="times new roman" w:hAnsi="times new roman"/>
                <w:sz w:val="20"/>
              </w:rPr>
              <w:t>TRANSITION REPORT PURSUANT TO SECTION 13 OR 15(d) OF THE SECURITIES EXCHANGE ACT OF 1934</w:t>
            </w:r>
          </w:p>
        </w:tc>
      </w:tr>
    </w:tbl>
    <w:p>
      <w:pPr>
        <w:pStyle w:val="TextBody"/>
        <w:spacing w:before="0" w:after="0"/>
        <w:ind w:left="0" w:right="0" w:hanging="0"/>
        <w:jc w:val="center"/>
        <w:rPr/>
      </w:pPr>
      <w:r>
        <w:rPr/>
        <w:t> </w:t>
      </w:r>
    </w:p>
    <w:p>
      <w:pPr>
        <w:pStyle w:val="TextBody"/>
        <w:spacing w:before="0" w:after="0"/>
        <w:ind w:left="0" w:right="0" w:hanging="0"/>
        <w:jc w:val="center"/>
        <w:rPr/>
      </w:pPr>
      <w:r>
        <w:rPr>
          <w:rStyle w:val="StrongEmphasis"/>
          <w:rFonts w:ascii="times new roman" w:hAnsi="times new roman"/>
          <w:sz w:val="20"/>
        </w:rPr>
        <w:t>For the transition period from _________to _________</w:t>
      </w:r>
    </w:p>
    <w:p>
      <w:pPr>
        <w:pStyle w:val="TextBody"/>
        <w:spacing w:before="0" w:after="0"/>
        <w:ind w:left="0" w:right="0" w:hanging="0"/>
        <w:jc w:val="center"/>
        <w:rPr/>
      </w:pPr>
      <w:r>
        <w:rPr/>
        <w:t> </w:t>
      </w:r>
    </w:p>
    <w:p>
      <w:pPr>
        <w:pStyle w:val="TextBody"/>
        <w:spacing w:before="0" w:after="0"/>
        <w:ind w:left="0" w:right="0" w:hanging="0"/>
        <w:jc w:val="center"/>
        <w:rPr/>
      </w:pPr>
      <w:r>
        <w:rPr>
          <w:rStyle w:val="StrongEmphasis"/>
          <w:rFonts w:ascii="times new roman" w:hAnsi="times new roman"/>
          <w:sz w:val="20"/>
        </w:rPr>
        <w:t>Commission File Number 0-1665</w:t>
      </w:r>
    </w:p>
    <w:p>
      <w:pPr>
        <w:pStyle w:val="TextBody"/>
        <w:spacing w:before="0" w:after="0"/>
        <w:ind w:left="0" w:right="0" w:hanging="0"/>
        <w:jc w:val="center"/>
        <w:rPr/>
      </w:pPr>
      <w:r>
        <w:rPr/>
        <w:t> </w:t>
      </w:r>
    </w:p>
    <w:tbl>
      <w:tblPr>
        <w:tblW w:w="5570" w:type="dxa"/>
        <w:jc w:val="left"/>
        <w:tblInd w:w="0" w:type="dxa"/>
        <w:tblCellMar>
          <w:top w:w="0" w:type="dxa"/>
          <w:left w:w="0" w:type="dxa"/>
          <w:bottom w:w="28" w:type="dxa"/>
          <w:right w:w="0" w:type="dxa"/>
        </w:tblCellMar>
      </w:tblPr>
      <w:tblGrid>
        <w:gridCol w:w="5570"/>
      </w:tblGrid>
      <w:tr>
        <w:trPr/>
        <w:tc>
          <w:tcPr>
            <w:tcW w:w="5570" w:type="dxa"/>
            <w:tcBorders>
              <w:bottom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36"/>
              </w:rPr>
              <w:t>KINGSTONE COMPANIES, INC.</w:t>
            </w:r>
            <w:r>
              <w:rPr>
                <w:rFonts w:ascii="times new roman" w:hAnsi="times new roman"/>
                <w:sz w:val="36"/>
              </w:rPr>
              <w:t xml:space="preserve"> </w:t>
            </w:r>
          </w:p>
        </w:tc>
      </w:tr>
      <w:tr>
        <w:trPr/>
        <w:tc>
          <w:tcPr>
            <w:tcW w:w="5570" w:type="dxa"/>
            <w:tcBorders/>
            <w:shd w:fill="auto" w:val="clear"/>
            <w:tcMar>
              <w:bottom w:w="0" w:type="dxa"/>
            </w:tcMar>
            <w:vAlign w:val="center"/>
          </w:tcPr>
          <w:p>
            <w:pPr>
              <w:pStyle w:val="TableContents"/>
              <w:spacing w:before="0" w:after="0"/>
              <w:ind w:left="0" w:right="0" w:hanging="0"/>
              <w:jc w:val="center"/>
              <w:rPr/>
            </w:pPr>
            <w:r>
              <w:rPr>
                <w:rStyle w:val="StrongEmphasis"/>
                <w:rFonts w:ascii="times new roman" w:hAnsi="times new roman"/>
                <w:sz w:val="20"/>
              </w:rPr>
              <w:t>(Exact name of registrant as specified in its charter)</w:t>
            </w:r>
          </w:p>
        </w:tc>
      </w:tr>
    </w:tbl>
    <w:p>
      <w:pPr>
        <w:pStyle w:val="TextBody"/>
        <w:spacing w:before="0" w:after="0"/>
        <w:ind w:left="0" w:right="0" w:hanging="0"/>
        <w:rPr/>
      </w:pPr>
      <w:r>
        <w:rPr/>
        <w:t xml:space="preserve">  </w:t>
      </w:r>
    </w:p>
    <w:tbl>
      <w:tblPr>
        <w:tblW w:w="4570" w:type="dxa"/>
        <w:jc w:val="left"/>
        <w:tblInd w:w="0" w:type="dxa"/>
        <w:tblCellMar>
          <w:top w:w="0" w:type="dxa"/>
          <w:left w:w="0" w:type="dxa"/>
          <w:bottom w:w="28" w:type="dxa"/>
          <w:right w:w="0" w:type="dxa"/>
        </w:tblCellMar>
      </w:tblPr>
      <w:tblGrid>
        <w:gridCol w:w="2525"/>
        <w:gridCol w:w="90"/>
        <w:gridCol w:w="1955"/>
      </w:tblGrid>
      <w:tr>
        <w:trPr/>
        <w:tc>
          <w:tcPr>
            <w:tcW w:w="2525" w:type="dxa"/>
            <w:tcBorders>
              <w:bottom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Delaware</w:t>
            </w:r>
          </w:p>
        </w:tc>
        <w:tc>
          <w:tcPr>
            <w:tcW w:w="90" w:type="dxa"/>
            <w:tcBorders/>
            <w:shd w:fill="auto" w:val="clear"/>
            <w:tcMar>
              <w:bottom w:w="0" w:type="dxa"/>
            </w:tcMar>
            <w:vAlign w:val="center"/>
          </w:tcPr>
          <w:p>
            <w:pPr>
              <w:pStyle w:val="TableContents"/>
              <w:spacing w:before="0" w:after="0"/>
              <w:ind w:left="0" w:right="0" w:hanging="0"/>
              <w:jc w:val="center"/>
              <w:rPr/>
            </w:pPr>
            <w:r>
              <w:rPr/>
              <w:t> </w:t>
            </w:r>
          </w:p>
        </w:tc>
        <w:tc>
          <w:tcPr>
            <w:tcW w:w="1955" w:type="dxa"/>
            <w:tcBorders>
              <w:bottom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36-2476480</w:t>
            </w:r>
          </w:p>
        </w:tc>
      </w:tr>
      <w:tr>
        <w:trPr/>
        <w:tc>
          <w:tcPr>
            <w:tcW w:w="2525"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 of</w:t>
            </w:r>
          </w:p>
          <w:p>
            <w:pPr>
              <w:pStyle w:val="TableContents"/>
              <w:spacing w:before="0" w:after="0"/>
              <w:ind w:left="0" w:right="0" w:hanging="0"/>
              <w:jc w:val="center"/>
              <w:rPr>
                <w:rFonts w:ascii="times new roman" w:hAnsi="times new roman"/>
                <w:sz w:val="20"/>
              </w:rPr>
            </w:pPr>
            <w:r>
              <w:rPr>
                <w:rFonts w:ascii="times new roman" w:hAnsi="times new roman"/>
                <w:sz w:val="20"/>
              </w:rPr>
              <w:t>incorporation or organization)</w:t>
            </w:r>
          </w:p>
        </w:tc>
        <w:tc>
          <w:tcPr>
            <w:tcW w:w="90" w:type="dxa"/>
            <w:tcBorders/>
            <w:shd w:fill="auto" w:val="clear"/>
            <w:tcMar>
              <w:bottom w:w="0" w:type="dxa"/>
            </w:tcMar>
            <w:vAlign w:val="center"/>
          </w:tcPr>
          <w:p>
            <w:pPr>
              <w:pStyle w:val="TableContents"/>
              <w:spacing w:before="0" w:after="0"/>
              <w:ind w:left="0" w:right="0" w:hanging="0"/>
              <w:jc w:val="center"/>
              <w:rPr/>
            </w:pPr>
            <w:r>
              <w:rPr/>
              <w:t> </w:t>
            </w:r>
          </w:p>
        </w:tc>
        <w:tc>
          <w:tcPr>
            <w:tcW w:w="1955"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w:t>
            </w:r>
          </w:p>
          <w:p>
            <w:pPr>
              <w:pStyle w:val="TableContents"/>
              <w:spacing w:before="0" w:after="0"/>
              <w:ind w:left="0" w:right="0" w:hanging="0"/>
              <w:jc w:val="center"/>
              <w:rPr>
                <w:rFonts w:ascii="times new roman" w:hAnsi="times new roman"/>
                <w:sz w:val="20"/>
              </w:rPr>
            </w:pPr>
            <w:r>
              <w:rPr>
                <w:rFonts w:ascii="times new roman" w:hAnsi="times new roman"/>
                <w:sz w:val="20"/>
              </w:rPr>
              <w:t>Identification Number)</w:t>
            </w:r>
          </w:p>
        </w:tc>
      </w:tr>
    </w:tbl>
    <w:p>
      <w:pPr>
        <w:pStyle w:val="TextBody"/>
        <w:spacing w:before="0" w:after="0"/>
        <w:ind w:left="0" w:right="0" w:hanging="0"/>
        <w:jc w:val="center"/>
        <w:rPr/>
      </w:pPr>
      <w:r>
        <w:rPr/>
        <w:t> </w:t>
      </w:r>
    </w:p>
    <w:p>
      <w:pPr>
        <w:pStyle w:val="TextBody"/>
        <w:spacing w:before="0" w:after="0"/>
        <w:ind w:left="0" w:right="0" w:hanging="0"/>
        <w:jc w:val="center"/>
        <w:rPr/>
      </w:pPr>
      <w:r>
        <w:rPr>
          <w:rStyle w:val="StrongEmphasis"/>
          <w:rFonts w:ascii="times new roman" w:hAnsi="times new roman"/>
          <w:sz w:val="20"/>
        </w:rPr>
        <w:t>15 Joys Lane</w:t>
      </w:r>
    </w:p>
    <w:p>
      <w:pPr>
        <w:pStyle w:val="TextBody"/>
        <w:spacing w:before="0" w:after="0"/>
        <w:ind w:left="0" w:right="0" w:hanging="0"/>
        <w:jc w:val="center"/>
        <w:rPr/>
      </w:pPr>
      <w:r>
        <w:rPr>
          <w:rStyle w:val="StrongEmphasis"/>
          <w:rFonts w:ascii="times new roman" w:hAnsi="times new roman"/>
          <w:sz w:val="20"/>
        </w:rPr>
        <w:t>Kingston, NY 12401</w:t>
      </w:r>
    </w:p>
    <w:p>
      <w:pPr>
        <w:pStyle w:val="TextBody"/>
        <w:spacing w:before="0" w:after="0"/>
        <w:ind w:left="0" w:right="0" w:hanging="0"/>
        <w:jc w:val="center"/>
        <w:rPr/>
      </w:pPr>
      <w:r>
        <w:rPr>
          <w:rStyle w:val="StrongEmphasis"/>
          <w:rFonts w:ascii="times new roman" w:hAnsi="times new roman"/>
          <w:sz w:val="20"/>
        </w:rPr>
        <w:t>(Address of principal executive offices)</w:t>
      </w:r>
    </w:p>
    <w:p>
      <w:pPr>
        <w:pStyle w:val="TextBody"/>
        <w:spacing w:before="0" w:after="0"/>
        <w:ind w:left="0" w:right="0" w:hanging="0"/>
        <w:jc w:val="center"/>
        <w:rPr/>
      </w:pPr>
      <w:r>
        <w:rPr/>
        <w:t> </w:t>
      </w:r>
    </w:p>
    <w:p>
      <w:pPr>
        <w:pStyle w:val="TextBody"/>
        <w:spacing w:before="0" w:after="0"/>
        <w:ind w:left="0" w:right="0" w:hanging="0"/>
        <w:jc w:val="center"/>
        <w:rPr/>
      </w:pPr>
      <w:r>
        <w:rPr>
          <w:rStyle w:val="StrongEmphasis"/>
          <w:rFonts w:ascii="times new roman" w:hAnsi="times new roman"/>
          <w:sz w:val="20"/>
        </w:rPr>
        <w:t>(845) 802-7900</w:t>
      </w:r>
    </w:p>
    <w:p>
      <w:pPr>
        <w:pStyle w:val="TextBody"/>
        <w:spacing w:before="0" w:after="0"/>
        <w:ind w:left="0" w:right="0" w:hanging="0"/>
        <w:jc w:val="center"/>
        <w:rPr/>
      </w:pPr>
      <w:r>
        <w:rPr>
          <w:rStyle w:val="StrongEmphasis"/>
          <w:rFonts w:ascii="times new roman" w:hAnsi="times new roman"/>
          <w:sz w:val="20"/>
        </w:rPr>
        <w:t>(Registrant’s telephone number, including area code)</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Securities registered pursuant to Section 12(b) of the Act:</w:t>
      </w:r>
    </w:p>
    <w:p>
      <w:pPr>
        <w:pStyle w:val="TextBody"/>
        <w:spacing w:before="0" w:after="0"/>
        <w:ind w:left="0" w:right="0" w:hanging="0"/>
        <w:jc w:val="center"/>
        <w:rPr/>
      </w:pPr>
      <w:r>
        <w:rPr/>
        <w:t> </w:t>
      </w:r>
    </w:p>
    <w:tbl>
      <w:tblPr>
        <w:tblW w:w="6405" w:type="dxa"/>
        <w:jc w:val="left"/>
        <w:tblInd w:w="0" w:type="dxa"/>
        <w:tblCellMar>
          <w:top w:w="28" w:type="dxa"/>
          <w:left w:w="28" w:type="dxa"/>
          <w:bottom w:w="0" w:type="dxa"/>
          <w:right w:w="0" w:type="dxa"/>
        </w:tblCellMar>
      </w:tblPr>
      <w:tblGrid>
        <w:gridCol w:w="3440"/>
        <w:gridCol w:w="890"/>
        <w:gridCol w:w="2075"/>
      </w:tblGrid>
      <w:tr>
        <w:trPr/>
        <w:tc>
          <w:tcPr>
            <w:tcW w:w="3440" w:type="dxa"/>
            <w:tcBorders>
              <w:top w:val="single" w:sz="2" w:space="0" w:color="000000"/>
              <w:left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Title of each class</w:t>
            </w:r>
          </w:p>
        </w:tc>
        <w:tc>
          <w:tcPr>
            <w:tcW w:w="890" w:type="dxa"/>
            <w:tcBorders>
              <w:top w:val="single" w:sz="2" w:space="0" w:color="000000"/>
              <w:left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Trading</w:t>
            </w:r>
          </w:p>
          <w:p>
            <w:pPr>
              <w:pStyle w:val="TableContents"/>
              <w:spacing w:before="0" w:after="0"/>
              <w:ind w:left="0" w:right="0" w:hanging="0"/>
              <w:jc w:val="center"/>
              <w:rPr/>
            </w:pPr>
            <w:r>
              <w:rPr>
                <w:rStyle w:val="StrongEmphasis"/>
                <w:rFonts w:ascii="times new roman" w:hAnsi="times new roman"/>
                <w:sz w:val="20"/>
              </w:rPr>
              <w:t>Symbol(s)</w:t>
            </w:r>
          </w:p>
        </w:tc>
        <w:tc>
          <w:tcPr>
            <w:tcW w:w="2075" w:type="dxa"/>
            <w:tcBorders>
              <w:top w:val="single" w:sz="2" w:space="0" w:color="000000"/>
              <w:left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Name of each exchange</w:t>
            </w:r>
          </w:p>
          <w:p>
            <w:pPr>
              <w:pStyle w:val="TableContents"/>
              <w:spacing w:before="0" w:after="0"/>
              <w:ind w:left="0" w:right="0" w:hanging="0"/>
              <w:jc w:val="center"/>
              <w:rPr/>
            </w:pPr>
            <w:r>
              <w:rPr>
                <w:rStyle w:val="StrongEmphasis"/>
                <w:rFonts w:ascii="times new roman" w:hAnsi="times new roman"/>
                <w:sz w:val="20"/>
              </w:rPr>
              <w:t>on which regi</w:t>
            </w:r>
            <w:r>
              <w:rPr>
                <w:rFonts w:ascii="times new roman" w:hAnsi="times new roman"/>
                <w:sz w:val="20"/>
              </w:rPr>
              <w:t>stered</w:t>
            </w:r>
          </w:p>
        </w:tc>
      </w:tr>
      <w:tr>
        <w:trPr/>
        <w:tc>
          <w:tcPr>
            <w:tcW w:w="3440" w:type="dxa"/>
            <w:tcBorders>
              <w:top w:val="single" w:sz="2" w:space="0" w:color="000000"/>
              <w:left w:val="single" w:sz="2" w:space="0" w:color="000000"/>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Common Stock, $0.01 par value per share</w:t>
            </w:r>
          </w:p>
        </w:tc>
        <w:tc>
          <w:tcPr>
            <w:tcW w:w="890" w:type="dxa"/>
            <w:tcBorders>
              <w:top w:val="single" w:sz="2" w:space="0" w:color="000000"/>
              <w:left w:val="single" w:sz="2" w:space="0" w:color="000000"/>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KINS</w:t>
            </w:r>
          </w:p>
        </w:tc>
        <w:tc>
          <w:tcPr>
            <w:tcW w:w="2075" w:type="dxa"/>
            <w:tcBorders>
              <w:top w:val="single" w:sz="2" w:space="0" w:color="000000"/>
              <w:left w:val="single" w:sz="2" w:space="0" w:color="000000"/>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Nasdaq Capital Market</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Securities registered pursuant to Section 12(g) of the Act: </w:t>
      </w:r>
    </w:p>
    <w:p>
      <w:pPr>
        <w:pStyle w:val="TextBody"/>
        <w:spacing w:before="0" w:after="0"/>
        <w:ind w:left="0" w:right="0" w:hanging="0"/>
        <w:jc w:val="both"/>
        <w:rPr/>
      </w:pPr>
      <w:r>
        <w:rPr/>
        <w:t> </w:t>
      </w:r>
    </w:p>
    <w:tbl>
      <w:tblPr>
        <w:tblW w:w="1685" w:type="dxa"/>
        <w:jc w:val="left"/>
        <w:tblInd w:w="0" w:type="dxa"/>
        <w:tblCellMar>
          <w:top w:w="28" w:type="dxa"/>
          <w:left w:w="28" w:type="dxa"/>
          <w:bottom w:w="28" w:type="dxa"/>
          <w:right w:w="28" w:type="dxa"/>
        </w:tblCellMar>
      </w:tblPr>
      <w:tblGrid>
        <w:gridCol w:w="1685"/>
      </w:tblGrid>
      <w:tr>
        <w:trPr/>
        <w:tc>
          <w:tcPr>
            <w:tcW w:w="168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None</w:t>
            </w:r>
          </w:p>
        </w:tc>
      </w:tr>
      <w:tr>
        <w:trPr/>
        <w:tc>
          <w:tcPr>
            <w:tcW w:w="1685"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(Title of each class)</w:t>
            </w:r>
          </w:p>
        </w:tc>
      </w:tr>
    </w:tbl>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if the registrant is a well-known seasoned issuer, as defined in Rule 405 of the Securities Act. Yes ☐     No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if the registrant is not required to file reports pursuant to Section 13 or Section 15(d) of the Act. Yes ☐     No ☒ </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Note</w:t>
      </w:r>
      <w:r>
        <w:rPr>
          <w:rFonts w:ascii="times new roman" w:hAnsi="times new roman"/>
          <w:sz w:val="20"/>
        </w:rPr>
        <w:t xml:space="preserve"> – Checking the box above will not relieve any registrant required to ﬁle reports pursuant to Section 13 or 15(d) of the Exchange Act from their obligations under those Sections.</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Persons who respond to the collection of information contained in this form are not</w:t>
      </w:r>
    </w:p>
    <w:p>
      <w:pPr>
        <w:pStyle w:val="TextBody"/>
        <w:spacing w:before="0" w:after="0"/>
        <w:ind w:left="0" w:right="0" w:hanging="0"/>
        <w:jc w:val="center"/>
        <w:rPr>
          <w:rFonts w:ascii="times new roman" w:hAnsi="times new roman"/>
          <w:sz w:val="20"/>
        </w:rPr>
      </w:pPr>
      <w:r>
        <w:rPr>
          <w:rFonts w:ascii="times new roman" w:hAnsi="times new roman"/>
          <w:sz w:val="20"/>
        </w:rPr>
        <w:t>required to respond unless the form displays a currently valid OMB control number.</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SEC 1673 (04-20)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pStyle w:val="TextBody"/>
        <w:spacing w:before="0" w:after="0"/>
        <w:ind w:left="0" w:right="0" w:hanging="0"/>
        <w:jc w:val="both"/>
        <w:rPr/>
      </w:pPr>
      <w:r>
        <w:rPr/>
        <w:t> </w:t>
      </w:r>
    </w:p>
    <w:tbl>
      <w:tblPr>
        <w:tblW w:w="4835" w:type="dxa"/>
        <w:jc w:val="left"/>
        <w:tblInd w:w="0" w:type="dxa"/>
        <w:tblCellMar>
          <w:top w:w="0" w:type="dxa"/>
          <w:left w:w="0" w:type="dxa"/>
          <w:bottom w:w="0" w:type="dxa"/>
          <w:right w:w="0" w:type="dxa"/>
        </w:tblCellMar>
      </w:tblPr>
      <w:tblGrid>
        <w:gridCol w:w="1910"/>
        <w:gridCol w:w="260"/>
        <w:gridCol w:w="2300"/>
        <w:gridCol w:w="365"/>
      </w:tblGrid>
      <w:tr>
        <w:trPr/>
        <w:tc>
          <w:tcPr>
            <w:tcW w:w="1910"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Large accelerated filer </w:t>
            </w:r>
          </w:p>
        </w:tc>
        <w:tc>
          <w:tcPr>
            <w:tcW w:w="260" w:type="dxa"/>
            <w:tcBorders/>
            <w:shd w:fill="auto" w:val="clear"/>
            <w:vAlign w:val="center"/>
          </w:tcPr>
          <w:p>
            <w:pPr>
              <w:pStyle w:val="TableContents"/>
              <w:spacing w:before="0" w:after="0"/>
              <w:ind w:left="0" w:right="0" w:hanging="0"/>
              <w:rPr/>
            </w:pPr>
            <w:r>
              <w:rPr/>
              <w:t>☐</w:t>
            </w:r>
          </w:p>
        </w:tc>
        <w:tc>
          <w:tcPr>
            <w:tcW w:w="2300"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Accelerated filer </w:t>
            </w:r>
          </w:p>
        </w:tc>
        <w:tc>
          <w:tcPr>
            <w:tcW w:w="365" w:type="dxa"/>
            <w:tcBorders/>
            <w:shd w:fill="auto" w:val="clear"/>
            <w:vAlign w:val="center"/>
          </w:tcPr>
          <w:p>
            <w:pPr>
              <w:pStyle w:val="TableContents"/>
              <w:spacing w:before="0" w:after="0"/>
              <w:ind w:left="0" w:right="0" w:hanging="0"/>
              <w:rPr/>
            </w:pPr>
            <w:r>
              <w:rPr/>
              <w:t xml:space="preserve">☐ </w:t>
            </w:r>
          </w:p>
        </w:tc>
      </w:tr>
      <w:tr>
        <w:trPr/>
        <w:tc>
          <w:tcPr>
            <w:tcW w:w="1910"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Non-accelerated filer </w:t>
            </w:r>
          </w:p>
        </w:tc>
        <w:tc>
          <w:tcPr>
            <w:tcW w:w="260" w:type="dxa"/>
            <w:tcBorders/>
            <w:shd w:fill="auto" w:val="clear"/>
            <w:vAlign w:val="center"/>
          </w:tcPr>
          <w:p>
            <w:pPr>
              <w:pStyle w:val="TableContents"/>
              <w:spacing w:before="0" w:after="0"/>
              <w:ind w:left="0" w:right="0" w:hanging="0"/>
              <w:rPr/>
            </w:pPr>
            <w:r>
              <w:rPr/>
              <w:t>☒</w:t>
            </w:r>
          </w:p>
        </w:tc>
        <w:tc>
          <w:tcPr>
            <w:tcW w:w="2300"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Smaller reporting company </w:t>
            </w:r>
          </w:p>
        </w:tc>
        <w:tc>
          <w:tcPr>
            <w:tcW w:w="365" w:type="dxa"/>
            <w:tcBorders/>
            <w:shd w:fill="auto" w:val="clear"/>
            <w:vAlign w:val="center"/>
          </w:tcPr>
          <w:p>
            <w:pPr>
              <w:pStyle w:val="TableContents"/>
              <w:spacing w:before="0" w:after="0"/>
              <w:ind w:left="0" w:right="0" w:hanging="0"/>
              <w:rPr/>
            </w:pPr>
            <w:r>
              <w:rPr/>
              <w:t>☒</w:t>
            </w:r>
          </w:p>
        </w:tc>
      </w:tr>
      <w:tr>
        <w:trPr/>
        <w:tc>
          <w:tcPr>
            <w:tcW w:w="1910" w:type="dxa"/>
            <w:tcBorders/>
            <w:shd w:fill="auto" w:val="clear"/>
            <w:vAlign w:val="center"/>
          </w:tcPr>
          <w:p>
            <w:pPr>
              <w:pStyle w:val="TableContents"/>
              <w:spacing w:before="0" w:after="0"/>
              <w:ind w:left="0" w:right="0" w:hanging="0"/>
              <w:rPr/>
            </w:pPr>
            <w:r>
              <w:rPr/>
              <w:t> </w:t>
            </w:r>
          </w:p>
        </w:tc>
        <w:tc>
          <w:tcPr>
            <w:tcW w:w="260" w:type="dxa"/>
            <w:tcBorders/>
            <w:shd w:fill="auto" w:val="clear"/>
            <w:vAlign w:val="center"/>
          </w:tcPr>
          <w:p>
            <w:pPr>
              <w:pStyle w:val="TableContents"/>
              <w:spacing w:before="0" w:after="0"/>
              <w:ind w:left="0" w:right="0" w:hanging="0"/>
              <w:rPr/>
            </w:pPr>
            <w:r>
              <w:rPr/>
              <w:t> </w:t>
            </w:r>
          </w:p>
        </w:tc>
        <w:tc>
          <w:tcPr>
            <w:tcW w:w="2300"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Emerging growth company </w:t>
            </w:r>
          </w:p>
        </w:tc>
        <w:tc>
          <w:tcPr>
            <w:tcW w:w="365"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If securities are registered pursuant to Section 12(b) of the Act, indicate by check mark whether the financial statements of the registrant included in the filing reflect the correction of an error to the previously issued financial statements.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is a shell company (as defined in Rule 12b-2 of the Exchange Act). Yes ☐     No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As of June 30, 2022, the aggregate market value of the registrant’s common stock held by non-affiliates of the registrant was $37,666,345 based on the closing sale price as reported on the Nasdaq Capital Market. </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Note.</w:t>
      </w:r>
      <w:r>
        <w:rPr>
          <w:rFonts w:ascii="times new roman" w:hAnsi="times new roman"/>
          <w:sz w:val="20"/>
        </w:rPr>
        <w:t>—If a determination as to whether a particular person or entity is an aﬃliate cannot be made without involving unreasonable eﬀort and expense, the aggregate market value of the common stock held by non-aﬃliates may be calculated on the basis of assumptions reasonable under the circumstances, provided that the assumptions are set forth in this Form.</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APPLICABLE ONLY TO REGISTRANTS INVOLVED IN BANKRUPTCY PROCEEDINGS DURING THE PRECEDING FIVE YEARS:</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has ﬁled all documents and reports required to be ﬁled by Section 12, 13 or 15(d) of the Securities Exchange Act of 1934 subsequent to the distribution of securities under a plan conﬁrmed by a court.    Yes ☐     No ☐</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(APPLICABLE ONLY TO CORPORATE REGISTRANTS)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Indicate the number of shares outstanding of each of the registrant’s classes of common stock, as of the latest practicable date. As of March 21, 2023, there were 10,755,564 shares of common stock outstanding. </w:t>
      </w:r>
    </w:p>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DOCUMENTS INCORPORATED BY REFERENCE</w:t>
      </w:r>
    </w:p>
    <w:p>
      <w:pPr>
        <w:pStyle w:val="TextBody"/>
        <w:spacing w:before="0" w:after="0"/>
        <w:ind w:left="0" w:right="0" w:hanging="0"/>
        <w:jc w:val="center"/>
        <w:rPr>
          <w:rFonts w:ascii="times new roman" w:hAnsi="times new roman"/>
          <w:sz w:val="20"/>
        </w:rPr>
      </w:pPr>
      <w:r>
        <w:rPr>
          <w:rFonts w:ascii="times new roman" w:hAnsi="times new roman"/>
          <w:sz w:val="20"/>
        </w:rPr>
        <w:t>None</w:t>
      </w:r>
    </w:p>
    <w:p>
      <w:pPr>
        <w:pStyle w:val="TextBody"/>
        <w:spacing w:before="0" w:after="0"/>
        <w:ind w:left="0" w:right="0" w:hanging="0"/>
        <w:jc w:val="both"/>
        <w:rPr/>
      </w:pPr>
      <w:r>
        <w:rPr/>
        <w:t> </w:t>
      </w:r>
    </w:p>
    <w:tbl>
      <w:tblPr>
        <w:tblW w:w="169" w:type="dxa"/>
        <w:jc w:val="left"/>
        <w:tblInd w:w="0" w:type="dxa"/>
        <w:tblCellMar>
          <w:top w:w="0" w:type="dxa"/>
          <w:left w:w="0" w:type="dxa"/>
          <w:bottom w:w="28" w:type="dxa"/>
          <w:right w:w="0" w:type="dxa"/>
        </w:tblCellMar>
      </w:tblPr>
      <w:tblGrid>
        <w:gridCol w:w="169"/>
      </w:tblGrid>
      <w:tr>
        <w:trPr/>
        <w:tc>
          <w:tcPr>
            <w:tcW w:w="169" w:type="dxa"/>
            <w:tcBorders>
              <w:bottom w:val="single" w:sz="12" w:space="0" w:color="000000"/>
            </w:tcBorders>
            <w:shd w:fill="auto" w:val="clear"/>
            <w:vAlign w:val="center"/>
          </w:tcPr>
          <w:p>
            <w:pPr>
              <w:pStyle w:val="TableContents"/>
              <w:spacing w:before="0" w:after="283"/>
              <w:rPr>
                <w:sz w:val="4"/>
                <w:szCs w:val="4"/>
              </w:rPr>
            </w:pPr>
            <w:r>
              <w:rPr>
                <w:sz w:val="4"/>
                <w:szCs w:val="4"/>
              </w:rPr>
            </w:r>
          </w:p>
        </w:tc>
      </w:tr>
      <w:tr>
        <w:trPr/>
        <w:tc>
          <w:tcPr>
            <w:tcW w:w="169" w:type="dxa"/>
            <w:tcBorders>
              <w:bottom w:val="single" w:sz="30" w:space="0" w:color="000000"/>
            </w:tcBorders>
            <w:shd w:fill="auto" w:val="clear"/>
            <w:vAlign w:val="center"/>
          </w:tcPr>
          <w:p>
            <w:pPr>
              <w:pStyle w:val="TableContents"/>
              <w:spacing w:before="0" w:after="283"/>
              <w:rPr>
                <w:sz w:val="4"/>
                <w:szCs w:val="4"/>
              </w:rPr>
            </w:pPr>
            <w:r>
              <w:rPr>
                <w:sz w:val="4"/>
                <w:szCs w:val="4"/>
              </w:rPr>
            </w:r>
          </w:p>
        </w:tc>
      </w:tr>
    </w:tbl>
    <w:tbl>
      <w:tblPr>
        <w:tblW w:w="150" w:type="dxa"/>
        <w:jc w:val="left"/>
        <w:tblInd w:w="0" w:type="dxa"/>
        <w:tblCellMar>
          <w:top w:w="0" w:type="dxa"/>
          <w:left w:w="0" w:type="dxa"/>
          <w:bottom w:w="0" w:type="dxa"/>
          <w:right w:w="0" w:type="dxa"/>
        </w:tblCellMar>
      </w:tblPr>
      <w:tblGrid>
        <w:gridCol w:w="150"/>
      </w:tblGrid>
      <w:tr>
        <w:trPr/>
        <w:tc>
          <w:tcPr>
            <w:tcW w:w="150" w:type="dxa"/>
            <w:tcBorders/>
            <w:shd w:fill="auto" w:val="clear"/>
            <w:vAlign w:val="center"/>
          </w:tcPr>
          <w:p>
            <w:pPr>
              <w:pStyle w:val="TableContents"/>
              <w:spacing w:before="0" w:after="283"/>
              <w:ind w:left="0" w:right="0" w:hanging="0"/>
              <w:rPr/>
            </w:pPr>
            <w:r>
              <w:rPr/>
              <w:t> </w:t>
            </w:r>
          </w:p>
        </w:tc>
      </w:tr>
      <w:tr>
        <w:trPr/>
        <w:tc>
          <w:tcPr>
            <w:tcW w:w="150" w:type="dxa"/>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sz w:val="4"/>
                <w:szCs w:val="4"/>
              </w:rPr>
            </w:pPr>
            <w:r>
              <w:rPr>
                <w:sz w:val="4"/>
                <w:szCs w:val="4"/>
              </w:rPr>
            </w:r>
          </w:p>
        </w:tc>
      </w:tr>
      <w:tr>
        <w:trPr/>
        <w:tc>
          <w:tcPr>
            <w:tcW w:w="15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jc w:val="center"/>
        <w:rPr/>
      </w:pPr>
      <w:bookmarkStart w:id="0" w:name="toc"/>
      <w:bookmarkEnd w:id="0"/>
      <w:r>
        <w:rPr>
          <w:rStyle w:val="StrongEmphasis"/>
          <w:rFonts w:ascii="times new roman" w:hAnsi="times new roman"/>
          <w:sz w:val="20"/>
        </w:rPr>
        <w:t>INDEX</w:t>
      </w:r>
    </w:p>
    <w:p>
      <w:pPr>
        <w:pStyle w:val="TextBody"/>
        <w:spacing w:before="0" w:after="0"/>
        <w:ind w:left="0" w:right="0" w:hanging="0"/>
        <w:jc w:val="center"/>
        <w:rPr/>
      </w:pPr>
      <w:r>
        <w:rPr/>
        <w:t> </w:t>
      </w:r>
    </w:p>
    <w:tbl>
      <w:tblPr>
        <w:tblW w:w="10205" w:type="dxa"/>
        <w:jc w:val="left"/>
        <w:tblInd w:w="0" w:type="dxa"/>
        <w:tblCellMar>
          <w:top w:w="0" w:type="dxa"/>
          <w:left w:w="0" w:type="dxa"/>
          <w:bottom w:w="0" w:type="dxa"/>
          <w:right w:w="0" w:type="dxa"/>
        </w:tblCellMar>
      </w:tblPr>
      <w:tblGrid>
        <w:gridCol w:w="965"/>
        <w:gridCol w:w="8251"/>
        <w:gridCol w:w="90"/>
        <w:gridCol w:w="763"/>
        <w:gridCol w:w="136"/>
      </w:tblGrid>
      <w:tr>
        <w:trPr/>
        <w:tc>
          <w:tcPr>
            <w:tcW w:w="965" w:type="dxa"/>
            <w:tcBorders/>
            <w:shd w:fill="auto" w:val="clear"/>
            <w:vAlign w:val="center"/>
          </w:tcPr>
          <w:p>
            <w:pPr>
              <w:pStyle w:val="TableContents"/>
              <w:spacing w:before="0" w:after="283"/>
              <w:rPr>
                <w:sz w:val="4"/>
                <w:szCs w:val="4"/>
              </w:rPr>
            </w:pPr>
            <w:r>
              <w:rPr>
                <w:sz w:val="4"/>
                <w:szCs w:val="4"/>
              </w:rPr>
            </w:r>
          </w:p>
        </w:tc>
        <w:tc>
          <w:tcPr>
            <w:tcW w:w="8251"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rPr/>
            </w:pPr>
            <w:r>
              <w:rPr/>
              <w:t> </w:t>
            </w:r>
          </w:p>
        </w:tc>
        <w:tc>
          <w:tcPr>
            <w:tcW w:w="763"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Page No.</w:t>
            </w:r>
          </w:p>
        </w:tc>
        <w:tc>
          <w:tcPr>
            <w:tcW w:w="136" w:type="dxa"/>
            <w:tcBorders/>
            <w:shd w:fill="auto" w:val="clear"/>
            <w:vAlign w:val="center"/>
          </w:tcPr>
          <w:p>
            <w:pPr>
              <w:pStyle w:val="TableContents"/>
              <w:spacing w:before="0" w:after="0"/>
              <w:ind w:left="0" w:right="0" w:hanging="0"/>
              <w:rPr/>
            </w:pPr>
            <w:r>
              <w:rPr/>
              <w:t> </w:t>
            </w:r>
          </w:p>
        </w:tc>
      </w:tr>
      <w:tr>
        <w:trPr/>
        <w:tc>
          <w:tcPr>
            <w:tcW w:w="9216" w:type="dxa"/>
            <w:gridSpan w:val="2"/>
            <w:tcBorders/>
            <w:shd w:fill="CCEEFF" w:val="clear"/>
            <w:vAlign w:val="center"/>
          </w:tcPr>
          <w:p>
            <w:pPr>
              <w:pStyle w:val="TableContents"/>
              <w:spacing w:before="0" w:after="0"/>
              <w:ind w:left="0" w:right="0" w:hanging="0"/>
              <w:jc w:val="both"/>
              <w:rPr/>
            </w:pPr>
            <w:hyperlink w:anchor="forward">
              <w:r>
                <w:rPr>
                  <w:rStyle w:val="InternetLink"/>
                  <w:rFonts w:ascii="times new roman" w:hAnsi="times new roman"/>
                  <w:sz w:val="20"/>
                </w:rPr>
                <w:t>Forward-Looking Statements</w:t>
              </w:r>
            </w:hyperlink>
          </w:p>
        </w:tc>
        <w:tc>
          <w:tcPr>
            <w:tcW w:w="90" w:type="dxa"/>
            <w:tcBorders/>
            <w:shd w:fill="CCEEFF" w:val="clear"/>
            <w:vAlign w:val="center"/>
          </w:tcPr>
          <w:p>
            <w:pPr>
              <w:pStyle w:val="TableContents"/>
              <w:spacing w:before="0" w:after="0"/>
              <w:ind w:left="0" w:right="0" w:hanging="0"/>
              <w:rPr/>
            </w:pPr>
            <w:r>
              <w:rPr/>
              <w:t> </w:t>
            </w:r>
          </w:p>
        </w:tc>
        <w:tc>
          <w:tcPr>
            <w:tcW w:w="763"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w:t>
            </w:r>
          </w:p>
        </w:tc>
        <w:tc>
          <w:tcPr>
            <w:tcW w:w="136" w:type="dxa"/>
            <w:tcBorders/>
            <w:shd w:fill="CCEEFF" w:val="clear"/>
            <w:vAlign w:val="center"/>
          </w:tcPr>
          <w:p>
            <w:pPr>
              <w:pStyle w:val="TableContents"/>
              <w:spacing w:before="0" w:after="0"/>
              <w:ind w:left="0" w:right="0" w:hanging="0"/>
              <w:rPr/>
            </w:pPr>
            <w:r>
              <w:rPr/>
              <w:t> </w:t>
            </w:r>
          </w:p>
        </w:tc>
      </w:tr>
      <w:tr>
        <w:trPr/>
        <w:tc>
          <w:tcPr>
            <w:tcW w:w="965" w:type="dxa"/>
            <w:tcBorders/>
            <w:shd w:fill="FFFFFF" w:val="clear"/>
            <w:vAlign w:val="center"/>
          </w:tcPr>
          <w:p>
            <w:pPr>
              <w:pStyle w:val="TableContents"/>
              <w:spacing w:before="0" w:after="0"/>
              <w:ind w:left="0" w:right="0" w:hanging="0"/>
              <w:jc w:val="both"/>
              <w:rPr/>
            </w:pPr>
            <w:hyperlink w:anchor="p1">
              <w:r>
                <w:rPr>
                  <w:rStyle w:val="StrongEmphasis"/>
                  <w:rFonts w:ascii="times new roman" w:hAnsi="times new roman"/>
                  <w:sz w:val="20"/>
                </w:rPr>
                <w:t>PART I</w:t>
              </w:r>
            </w:hyperlink>
          </w:p>
        </w:tc>
        <w:tc>
          <w:tcPr>
            <w:tcW w:w="8251" w:type="dxa"/>
            <w:tcBorders/>
            <w:shd w:fill="FFFFFF" w:val="clear"/>
            <w:vAlign w:val="center"/>
          </w:tcPr>
          <w:p>
            <w:pPr>
              <w:pStyle w:val="TableContents"/>
              <w:spacing w:before="0" w:after="0"/>
              <w:ind w:left="0" w:right="0" w:hanging="0"/>
              <w:jc w:val="both"/>
              <w:rPr/>
            </w:pPr>
            <w:r>
              <w:rPr/>
              <w:t> </w:t>
            </w:r>
          </w:p>
        </w:tc>
        <w:tc>
          <w:tcPr>
            <w:tcW w:w="90" w:type="dxa"/>
            <w:tcBorders/>
            <w:shd w:fill="FFFFFF" w:val="clear"/>
            <w:vAlign w:val="center"/>
          </w:tcPr>
          <w:p>
            <w:pPr>
              <w:pStyle w:val="TableContents"/>
              <w:spacing w:before="0" w:after="0"/>
              <w:ind w:left="0" w:right="0" w:hanging="0"/>
              <w:rPr/>
            </w:pPr>
            <w:r>
              <w:rPr/>
              <w:t> </w:t>
            </w:r>
          </w:p>
        </w:tc>
        <w:tc>
          <w:tcPr>
            <w:tcW w:w="763" w:type="dxa"/>
            <w:tcBorders/>
            <w:shd w:fill="FFFFFF" w:val="clear"/>
            <w:vAlign w:val="center"/>
          </w:tcPr>
          <w:p>
            <w:pPr>
              <w:pStyle w:val="TableContents"/>
              <w:spacing w:before="0" w:after="0"/>
              <w:ind w:left="0" w:right="0" w:hanging="0"/>
              <w:jc w:val="right"/>
              <w:rPr/>
            </w:pPr>
            <w:r>
              <w:rPr/>
              <w:t> </w:t>
            </w:r>
          </w:p>
        </w:tc>
        <w:tc>
          <w:tcPr>
            <w:tcW w:w="136" w:type="dxa"/>
            <w:tcBorders/>
            <w:shd w:fill="FFFFFF" w:val="clear"/>
            <w:vAlign w:val="center"/>
          </w:tcPr>
          <w:p>
            <w:pPr>
              <w:pStyle w:val="TableContents"/>
              <w:spacing w:before="0" w:after="0"/>
              <w:ind w:left="0" w:right="0" w:hanging="0"/>
              <w:rPr/>
            </w:pPr>
            <w:r>
              <w:rPr/>
              <w:t> </w:t>
            </w:r>
          </w:p>
        </w:tc>
      </w:tr>
      <w:tr>
        <w:trPr/>
        <w:tc>
          <w:tcPr>
            <w:tcW w:w="965" w:type="dxa"/>
            <w:tcBorders/>
            <w:shd w:fill="CCEEFF" w:val="clear"/>
            <w:vAlign w:val="center"/>
          </w:tcPr>
          <w:p>
            <w:pPr>
              <w:pStyle w:val="TableContents"/>
              <w:spacing w:before="0" w:after="0"/>
              <w:ind w:left="0" w:right="0" w:hanging="0"/>
              <w:jc w:val="both"/>
              <w:rPr/>
            </w:pPr>
            <w:hyperlink w:anchor="i1">
              <w:r>
                <w:rPr>
                  <w:rStyle w:val="InternetLink"/>
                  <w:rFonts w:ascii="times new roman" w:hAnsi="times new roman"/>
                  <w:sz w:val="20"/>
                </w:rPr>
                <w:t>Item 1.</w:t>
              </w:r>
            </w:hyperlink>
          </w:p>
        </w:tc>
        <w:tc>
          <w:tcPr>
            <w:tcW w:w="8251" w:type="dxa"/>
            <w:tcBorders/>
            <w:shd w:fill="CCEEFF" w:val="clear"/>
            <w:vAlign w:val="center"/>
          </w:tcPr>
          <w:p>
            <w:pPr>
              <w:pStyle w:val="TableContents"/>
              <w:spacing w:before="0" w:after="0"/>
              <w:ind w:left="0" w:right="0" w:hanging="0"/>
              <w:jc w:val="both"/>
              <w:rPr/>
            </w:pPr>
            <w:hyperlink w:anchor="i1">
              <w:r>
                <w:rPr>
                  <w:rStyle w:val="InternetLink"/>
                  <w:rFonts w:ascii="times new roman" w:hAnsi="times new roman"/>
                  <w:sz w:val="20"/>
                </w:rPr>
                <w:t>Business.</w:t>
              </w:r>
            </w:hyperlink>
          </w:p>
        </w:tc>
        <w:tc>
          <w:tcPr>
            <w:tcW w:w="90" w:type="dxa"/>
            <w:tcBorders/>
            <w:shd w:fill="CCEEFF" w:val="clear"/>
            <w:vAlign w:val="center"/>
          </w:tcPr>
          <w:p>
            <w:pPr>
              <w:pStyle w:val="TableContents"/>
              <w:spacing w:before="0" w:after="0"/>
              <w:ind w:left="0" w:right="0" w:hanging="0"/>
              <w:rPr/>
            </w:pPr>
            <w:r>
              <w:rPr/>
              <w:t> </w:t>
            </w:r>
          </w:p>
        </w:tc>
        <w:tc>
          <w:tcPr>
            <w:tcW w:w="763"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4</w:t>
            </w:r>
          </w:p>
        </w:tc>
        <w:tc>
          <w:tcPr>
            <w:tcW w:w="136" w:type="dxa"/>
            <w:tcBorders/>
            <w:shd w:fill="CCEEFF" w:val="clear"/>
            <w:vAlign w:val="center"/>
          </w:tcPr>
          <w:p>
            <w:pPr>
              <w:pStyle w:val="TableContents"/>
              <w:spacing w:before="0" w:after="0"/>
              <w:ind w:left="0" w:right="0" w:hanging="0"/>
              <w:rPr/>
            </w:pPr>
            <w:r>
              <w:rPr/>
              <w:t> </w:t>
            </w:r>
          </w:p>
        </w:tc>
      </w:tr>
      <w:tr>
        <w:trPr/>
        <w:tc>
          <w:tcPr>
            <w:tcW w:w="965" w:type="dxa"/>
            <w:tcBorders/>
            <w:shd w:fill="FFFFFF" w:val="clear"/>
            <w:vAlign w:val="center"/>
          </w:tcPr>
          <w:p>
            <w:pPr>
              <w:pStyle w:val="TableContents"/>
              <w:spacing w:before="0" w:after="0"/>
              <w:ind w:left="0" w:right="0" w:hanging="0"/>
              <w:jc w:val="both"/>
              <w:rPr/>
            </w:pPr>
            <w:hyperlink w:anchor="i1a">
              <w:r>
                <w:rPr>
                  <w:rStyle w:val="InternetLink"/>
                  <w:rFonts w:ascii="times new roman" w:hAnsi="times new roman"/>
                  <w:sz w:val="20"/>
                </w:rPr>
                <w:t>Item 1A.</w:t>
              </w:r>
            </w:hyperlink>
          </w:p>
        </w:tc>
        <w:tc>
          <w:tcPr>
            <w:tcW w:w="8251" w:type="dxa"/>
            <w:tcBorders/>
            <w:shd w:fill="FFFFFF" w:val="clear"/>
            <w:vAlign w:val="center"/>
          </w:tcPr>
          <w:p>
            <w:pPr>
              <w:pStyle w:val="TableContents"/>
              <w:spacing w:before="0" w:after="0"/>
              <w:ind w:left="0" w:right="0" w:hanging="0"/>
              <w:jc w:val="both"/>
              <w:rPr/>
            </w:pPr>
            <w:hyperlink w:anchor="i1a">
              <w:r>
                <w:rPr>
                  <w:rStyle w:val="InternetLink"/>
                  <w:rFonts w:ascii="times new roman" w:hAnsi="times new roman"/>
                  <w:sz w:val="20"/>
                </w:rPr>
                <w:t>Risk Factors.</w:t>
              </w:r>
            </w:hyperlink>
          </w:p>
        </w:tc>
        <w:tc>
          <w:tcPr>
            <w:tcW w:w="90" w:type="dxa"/>
            <w:tcBorders/>
            <w:shd w:fill="FFFFFF" w:val="clear"/>
            <w:vAlign w:val="center"/>
          </w:tcPr>
          <w:p>
            <w:pPr>
              <w:pStyle w:val="TableContents"/>
              <w:spacing w:before="0" w:after="0"/>
              <w:ind w:left="0" w:right="0" w:hanging="0"/>
              <w:rPr/>
            </w:pPr>
            <w:r>
              <w:rPr/>
              <w:t> </w:t>
            </w:r>
          </w:p>
        </w:tc>
        <w:tc>
          <w:tcPr>
            <w:tcW w:w="763" w:type="dxa"/>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19</w:t>
            </w:r>
          </w:p>
        </w:tc>
        <w:tc>
          <w:tcPr>
            <w:tcW w:w="136" w:type="dxa"/>
            <w:tcBorders/>
            <w:shd w:fill="FFFFFF" w:val="clear"/>
            <w:vAlign w:val="center"/>
          </w:tcPr>
          <w:p>
            <w:pPr>
              <w:pStyle w:val="TableContents"/>
              <w:spacing w:before="0" w:after="0"/>
              <w:ind w:left="0" w:right="0" w:hanging="0"/>
              <w:rPr/>
            </w:pPr>
            <w:r>
              <w:rPr/>
              <w:t> </w:t>
            </w:r>
          </w:p>
        </w:tc>
      </w:tr>
      <w:tr>
        <w:trPr/>
        <w:tc>
          <w:tcPr>
            <w:tcW w:w="965" w:type="dxa"/>
            <w:tcBorders/>
            <w:shd w:fill="CCEEFF" w:val="clear"/>
            <w:vAlign w:val="center"/>
          </w:tcPr>
          <w:p>
            <w:pPr>
              <w:pStyle w:val="TableContents"/>
              <w:spacing w:before="0" w:after="0"/>
              <w:ind w:left="0" w:right="0" w:hanging="0"/>
              <w:jc w:val="both"/>
              <w:rPr/>
            </w:pPr>
            <w:hyperlink w:anchor="i1b">
              <w:r>
                <w:rPr>
                  <w:rStyle w:val="InternetLink"/>
                  <w:rFonts w:ascii="times new roman" w:hAnsi="times new roman"/>
                  <w:sz w:val="20"/>
                </w:rPr>
                <w:t>Item 1B.</w:t>
              </w:r>
            </w:hyperlink>
          </w:p>
        </w:tc>
        <w:tc>
          <w:tcPr>
            <w:tcW w:w="8251" w:type="dxa"/>
            <w:tcBorders/>
            <w:shd w:fill="CCEEFF" w:val="clear"/>
            <w:vAlign w:val="center"/>
          </w:tcPr>
          <w:p>
            <w:pPr>
              <w:pStyle w:val="TableContents"/>
              <w:spacing w:before="0" w:after="0"/>
              <w:ind w:left="0" w:right="0" w:hanging="0"/>
              <w:jc w:val="both"/>
              <w:rPr/>
            </w:pPr>
            <w:hyperlink w:anchor="i1b">
              <w:r>
                <w:rPr>
                  <w:rStyle w:val="InternetLink"/>
                  <w:rFonts w:ascii="times new roman" w:hAnsi="times new roman"/>
                  <w:sz w:val="20"/>
                </w:rPr>
                <w:t>Unresolved Staff Comments.</w:t>
              </w:r>
            </w:hyperlink>
          </w:p>
        </w:tc>
        <w:tc>
          <w:tcPr>
            <w:tcW w:w="90" w:type="dxa"/>
            <w:tcBorders/>
            <w:shd w:fill="CCEEFF" w:val="clear"/>
            <w:vAlign w:val="center"/>
          </w:tcPr>
          <w:p>
            <w:pPr>
              <w:pStyle w:val="TableContents"/>
              <w:spacing w:before="0" w:after="0"/>
              <w:ind w:left="0" w:right="0" w:hanging="0"/>
              <w:rPr/>
            </w:pPr>
            <w:r>
              <w:rPr/>
              <w:t> </w:t>
            </w:r>
          </w:p>
        </w:tc>
        <w:tc>
          <w:tcPr>
            <w:tcW w:w="763"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29</w:t>
            </w:r>
          </w:p>
        </w:tc>
        <w:tc>
          <w:tcPr>
            <w:tcW w:w="136" w:type="dxa"/>
            <w:tcBorders/>
            <w:shd w:fill="CCEEFF" w:val="clear"/>
            <w:vAlign w:val="center"/>
          </w:tcPr>
          <w:p>
            <w:pPr>
              <w:pStyle w:val="TableContents"/>
              <w:spacing w:before="0" w:after="0"/>
              <w:ind w:left="0" w:right="0" w:hanging="0"/>
              <w:rPr/>
            </w:pPr>
            <w:r>
              <w:rPr/>
              <w:t> </w:t>
            </w:r>
          </w:p>
        </w:tc>
      </w:tr>
      <w:tr>
        <w:trPr/>
        <w:tc>
          <w:tcPr>
            <w:tcW w:w="965" w:type="dxa"/>
            <w:tcBorders/>
            <w:shd w:fill="FFFFFF" w:val="clear"/>
            <w:vAlign w:val="center"/>
          </w:tcPr>
          <w:p>
            <w:pPr>
              <w:pStyle w:val="TableContents"/>
              <w:spacing w:before="0" w:after="0"/>
              <w:ind w:left="0" w:right="0" w:hanging="0"/>
              <w:jc w:val="both"/>
              <w:rPr/>
            </w:pPr>
            <w:hyperlink w:anchor="i2">
              <w:r>
                <w:rPr>
                  <w:rStyle w:val="InternetLink"/>
                  <w:rFonts w:ascii="times new roman" w:hAnsi="times new roman"/>
                  <w:sz w:val="20"/>
                </w:rPr>
                <w:t>Item 2.</w:t>
              </w:r>
            </w:hyperlink>
          </w:p>
        </w:tc>
        <w:tc>
          <w:tcPr>
            <w:tcW w:w="8251" w:type="dxa"/>
            <w:tcBorders/>
            <w:shd w:fill="FFFFFF" w:val="clear"/>
            <w:vAlign w:val="center"/>
          </w:tcPr>
          <w:p>
            <w:pPr>
              <w:pStyle w:val="TableContents"/>
              <w:spacing w:before="0" w:after="0"/>
              <w:ind w:left="0" w:right="0" w:hanging="0"/>
              <w:jc w:val="both"/>
              <w:rPr/>
            </w:pPr>
            <w:hyperlink w:anchor="i2">
              <w:r>
                <w:rPr>
                  <w:rStyle w:val="InternetLink"/>
                  <w:rFonts w:ascii="times new roman" w:hAnsi="times new roman"/>
                  <w:sz w:val="20"/>
                </w:rPr>
                <w:t>Properties.</w:t>
              </w:r>
            </w:hyperlink>
          </w:p>
        </w:tc>
        <w:tc>
          <w:tcPr>
            <w:tcW w:w="90" w:type="dxa"/>
            <w:tcBorders/>
            <w:shd w:fill="FFFFFF" w:val="clear"/>
            <w:vAlign w:val="center"/>
          </w:tcPr>
          <w:p>
            <w:pPr>
              <w:pStyle w:val="TableContents"/>
              <w:spacing w:before="0" w:after="0"/>
              <w:ind w:left="0" w:right="0" w:hanging="0"/>
              <w:rPr/>
            </w:pPr>
            <w:r>
              <w:rPr/>
              <w:t> </w:t>
            </w:r>
          </w:p>
        </w:tc>
        <w:tc>
          <w:tcPr>
            <w:tcW w:w="763" w:type="dxa"/>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29</w:t>
            </w:r>
          </w:p>
        </w:tc>
        <w:tc>
          <w:tcPr>
            <w:tcW w:w="136" w:type="dxa"/>
            <w:tcBorders/>
            <w:shd w:fill="FFFFFF" w:val="clear"/>
            <w:vAlign w:val="center"/>
          </w:tcPr>
          <w:p>
            <w:pPr>
              <w:pStyle w:val="TableContents"/>
              <w:spacing w:before="0" w:after="0"/>
              <w:ind w:left="0" w:right="0" w:hanging="0"/>
              <w:rPr/>
            </w:pPr>
            <w:r>
              <w:rPr/>
              <w:t> </w:t>
            </w:r>
          </w:p>
        </w:tc>
      </w:tr>
      <w:tr>
        <w:trPr/>
        <w:tc>
          <w:tcPr>
            <w:tcW w:w="965" w:type="dxa"/>
            <w:tcBorders/>
            <w:shd w:fill="CCEEFF" w:val="clear"/>
            <w:vAlign w:val="center"/>
          </w:tcPr>
          <w:p>
            <w:pPr>
              <w:pStyle w:val="TableContents"/>
              <w:spacing w:before="0" w:after="0"/>
              <w:ind w:left="0" w:right="0" w:hanging="0"/>
              <w:jc w:val="both"/>
              <w:rPr/>
            </w:pPr>
            <w:hyperlink w:anchor="i3">
              <w:r>
                <w:rPr>
                  <w:rStyle w:val="InternetLink"/>
                  <w:rFonts w:ascii="times new roman" w:hAnsi="times new roman"/>
                  <w:sz w:val="20"/>
                </w:rPr>
                <w:t>Item 3.</w:t>
              </w:r>
            </w:hyperlink>
          </w:p>
        </w:tc>
        <w:tc>
          <w:tcPr>
            <w:tcW w:w="8251" w:type="dxa"/>
            <w:tcBorders/>
            <w:shd w:fill="CCEEFF" w:val="clear"/>
            <w:vAlign w:val="center"/>
          </w:tcPr>
          <w:p>
            <w:pPr>
              <w:pStyle w:val="TableContents"/>
              <w:spacing w:before="0" w:after="0"/>
              <w:ind w:left="0" w:right="0" w:hanging="0"/>
              <w:jc w:val="both"/>
              <w:rPr/>
            </w:pPr>
            <w:hyperlink w:anchor="i3">
              <w:r>
                <w:rPr>
                  <w:rStyle w:val="InternetLink"/>
                  <w:rFonts w:ascii="times new roman" w:hAnsi="times new roman"/>
                  <w:sz w:val="20"/>
                </w:rPr>
                <w:t>Legal Proceedings.</w:t>
              </w:r>
            </w:hyperlink>
          </w:p>
        </w:tc>
        <w:tc>
          <w:tcPr>
            <w:tcW w:w="90" w:type="dxa"/>
            <w:tcBorders/>
            <w:shd w:fill="CCEEFF" w:val="clear"/>
            <w:vAlign w:val="center"/>
          </w:tcPr>
          <w:p>
            <w:pPr>
              <w:pStyle w:val="TableContents"/>
              <w:spacing w:before="0" w:after="0"/>
              <w:ind w:left="0" w:right="0" w:hanging="0"/>
              <w:rPr/>
            </w:pPr>
            <w:r>
              <w:rPr/>
              <w:t> </w:t>
            </w:r>
          </w:p>
        </w:tc>
        <w:tc>
          <w:tcPr>
            <w:tcW w:w="763"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29</w:t>
            </w:r>
          </w:p>
        </w:tc>
        <w:tc>
          <w:tcPr>
            <w:tcW w:w="136" w:type="dxa"/>
            <w:tcBorders/>
            <w:shd w:fill="CCEEFF" w:val="clear"/>
            <w:vAlign w:val="center"/>
          </w:tcPr>
          <w:p>
            <w:pPr>
              <w:pStyle w:val="TableContents"/>
              <w:spacing w:before="0" w:after="0"/>
              <w:ind w:left="0" w:right="0" w:hanging="0"/>
              <w:rPr/>
            </w:pPr>
            <w:r>
              <w:rPr/>
              <w:t> </w:t>
            </w:r>
          </w:p>
        </w:tc>
      </w:tr>
      <w:tr>
        <w:trPr/>
        <w:tc>
          <w:tcPr>
            <w:tcW w:w="965" w:type="dxa"/>
            <w:tcBorders/>
            <w:shd w:fill="FFFFFF" w:val="clear"/>
            <w:vAlign w:val="center"/>
          </w:tcPr>
          <w:p>
            <w:pPr>
              <w:pStyle w:val="TableContents"/>
              <w:spacing w:before="0" w:after="0"/>
              <w:ind w:left="0" w:right="0" w:hanging="0"/>
              <w:jc w:val="both"/>
              <w:rPr/>
            </w:pPr>
            <w:hyperlink w:anchor="i4">
              <w:r>
                <w:rPr>
                  <w:rStyle w:val="InternetLink"/>
                  <w:rFonts w:ascii="times new roman" w:hAnsi="times new roman"/>
                  <w:sz w:val="20"/>
                </w:rPr>
                <w:t>Item 4.</w:t>
              </w:r>
            </w:hyperlink>
          </w:p>
        </w:tc>
        <w:tc>
          <w:tcPr>
            <w:tcW w:w="8251" w:type="dxa"/>
            <w:tcBorders/>
            <w:shd w:fill="FFFFFF" w:val="clear"/>
            <w:vAlign w:val="center"/>
          </w:tcPr>
          <w:p>
            <w:pPr>
              <w:pStyle w:val="TableContents"/>
              <w:spacing w:before="0" w:after="0"/>
              <w:ind w:left="0" w:right="0" w:hanging="0"/>
              <w:jc w:val="both"/>
              <w:rPr/>
            </w:pPr>
            <w:hyperlink w:anchor="i4">
              <w:r>
                <w:rPr>
                  <w:rStyle w:val="InternetLink"/>
                  <w:rFonts w:ascii="times new roman" w:hAnsi="times new roman"/>
                  <w:sz w:val="20"/>
                </w:rPr>
                <w:t>Mine Safety Disclosures.</w:t>
              </w:r>
            </w:hyperlink>
          </w:p>
        </w:tc>
        <w:tc>
          <w:tcPr>
            <w:tcW w:w="90" w:type="dxa"/>
            <w:tcBorders/>
            <w:shd w:fill="FFFFFF" w:val="clear"/>
            <w:vAlign w:val="center"/>
          </w:tcPr>
          <w:p>
            <w:pPr>
              <w:pStyle w:val="TableContents"/>
              <w:spacing w:before="0" w:after="0"/>
              <w:ind w:left="0" w:right="0" w:hanging="0"/>
              <w:rPr/>
            </w:pPr>
            <w:r>
              <w:rPr/>
              <w:t> </w:t>
            </w:r>
          </w:p>
        </w:tc>
        <w:tc>
          <w:tcPr>
            <w:tcW w:w="763" w:type="dxa"/>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29</w:t>
            </w:r>
          </w:p>
        </w:tc>
        <w:tc>
          <w:tcPr>
            <w:tcW w:w="136" w:type="dxa"/>
            <w:tcBorders/>
            <w:shd w:fill="FFFFFF" w:val="clear"/>
            <w:vAlign w:val="center"/>
          </w:tcPr>
          <w:p>
            <w:pPr>
              <w:pStyle w:val="TableContents"/>
              <w:spacing w:before="0" w:after="0"/>
              <w:ind w:left="0" w:right="0" w:hanging="0"/>
              <w:rPr/>
            </w:pPr>
            <w:r>
              <w:rPr/>
              <w:t> </w:t>
            </w:r>
          </w:p>
        </w:tc>
      </w:tr>
      <w:tr>
        <w:trPr/>
        <w:tc>
          <w:tcPr>
            <w:tcW w:w="965" w:type="dxa"/>
            <w:tcBorders/>
            <w:shd w:fill="FFFFFF" w:val="clear"/>
            <w:vAlign w:val="center"/>
          </w:tcPr>
          <w:p>
            <w:pPr>
              <w:pStyle w:val="TableContents"/>
              <w:spacing w:before="0" w:after="0"/>
              <w:ind w:left="0" w:right="0" w:hanging="0"/>
              <w:jc w:val="both"/>
              <w:rPr/>
            </w:pPr>
            <w:hyperlink w:anchor="p2">
              <w:r>
                <w:rPr>
                  <w:rStyle w:val="StrongEmphasis"/>
                  <w:rFonts w:ascii="times new roman" w:hAnsi="times new roman"/>
                  <w:sz w:val="20"/>
                </w:rPr>
                <w:t>PART II</w:t>
              </w:r>
            </w:hyperlink>
          </w:p>
        </w:tc>
        <w:tc>
          <w:tcPr>
            <w:tcW w:w="8251" w:type="dxa"/>
            <w:tcBorders/>
            <w:shd w:fill="FFFFFF" w:val="clear"/>
            <w:vAlign w:val="center"/>
          </w:tcPr>
          <w:p>
            <w:pPr>
              <w:pStyle w:val="TableContents"/>
              <w:spacing w:before="0" w:after="0"/>
              <w:ind w:left="0" w:right="0" w:hanging="0"/>
              <w:jc w:val="both"/>
              <w:rPr/>
            </w:pPr>
            <w:r>
              <w:rPr/>
              <w:t> </w:t>
            </w:r>
          </w:p>
        </w:tc>
        <w:tc>
          <w:tcPr>
            <w:tcW w:w="90" w:type="dxa"/>
            <w:tcBorders/>
            <w:shd w:fill="FFFFFF" w:val="clear"/>
            <w:vAlign w:val="center"/>
          </w:tcPr>
          <w:p>
            <w:pPr>
              <w:pStyle w:val="TableContents"/>
              <w:spacing w:before="0" w:after="0"/>
              <w:ind w:left="0" w:right="0" w:hanging="0"/>
              <w:rPr/>
            </w:pPr>
            <w:r>
              <w:rPr/>
              <w:t> </w:t>
            </w:r>
          </w:p>
        </w:tc>
        <w:tc>
          <w:tcPr>
            <w:tcW w:w="763" w:type="dxa"/>
            <w:tcBorders/>
            <w:shd w:fill="FFFFFF" w:val="clear"/>
            <w:vAlign w:val="center"/>
          </w:tcPr>
          <w:p>
            <w:pPr>
              <w:pStyle w:val="TableContents"/>
              <w:spacing w:before="0" w:after="0"/>
              <w:ind w:left="0" w:right="0" w:hanging="0"/>
              <w:jc w:val="right"/>
              <w:rPr/>
            </w:pPr>
            <w:r>
              <w:rPr/>
              <w:t> </w:t>
            </w:r>
          </w:p>
        </w:tc>
        <w:tc>
          <w:tcPr>
            <w:tcW w:w="136" w:type="dxa"/>
            <w:tcBorders/>
            <w:shd w:fill="FFFFFF" w:val="clear"/>
            <w:vAlign w:val="center"/>
          </w:tcPr>
          <w:p>
            <w:pPr>
              <w:pStyle w:val="TableContents"/>
              <w:spacing w:before="0" w:after="0"/>
              <w:ind w:left="0" w:right="0" w:hanging="0"/>
              <w:rPr/>
            </w:pPr>
            <w:r>
              <w:rPr/>
              <w:t> </w:t>
            </w:r>
          </w:p>
        </w:tc>
      </w:tr>
      <w:tr>
        <w:trPr/>
        <w:tc>
          <w:tcPr>
            <w:tcW w:w="965" w:type="dxa"/>
            <w:tcBorders/>
            <w:shd w:fill="CCEEFF" w:val="clear"/>
            <w:vAlign w:val="center"/>
          </w:tcPr>
          <w:p>
            <w:pPr>
              <w:pStyle w:val="TableContents"/>
              <w:spacing w:before="0" w:after="0"/>
              <w:ind w:left="0" w:right="0" w:hanging="0"/>
              <w:jc w:val="both"/>
              <w:rPr/>
            </w:pPr>
            <w:hyperlink w:anchor="i5">
              <w:r>
                <w:rPr>
                  <w:rStyle w:val="InternetLink"/>
                  <w:rFonts w:ascii="times new roman" w:hAnsi="times new roman"/>
                  <w:sz w:val="20"/>
                </w:rPr>
                <w:t>Item 5.</w:t>
              </w:r>
            </w:hyperlink>
          </w:p>
        </w:tc>
        <w:tc>
          <w:tcPr>
            <w:tcW w:w="8251" w:type="dxa"/>
            <w:tcBorders/>
            <w:shd w:fill="CCEEFF" w:val="clear"/>
            <w:vAlign w:val="center"/>
          </w:tcPr>
          <w:p>
            <w:pPr>
              <w:pStyle w:val="TableContents"/>
              <w:spacing w:before="0" w:after="0"/>
              <w:ind w:left="0" w:right="0" w:hanging="0"/>
              <w:jc w:val="both"/>
              <w:rPr/>
            </w:pPr>
            <w:hyperlink w:anchor="i5">
              <w:r>
                <w:rPr>
                  <w:rStyle w:val="InternetLink"/>
                  <w:rFonts w:ascii="times new roman" w:hAnsi="times new roman"/>
                  <w:sz w:val="20"/>
                </w:rPr>
                <w:t>Market for Registrant’s Common Equity, Related Stockholder Matters and Issuer Purchases of Equity Securities.</w:t>
              </w:r>
            </w:hyperlink>
          </w:p>
        </w:tc>
        <w:tc>
          <w:tcPr>
            <w:tcW w:w="90" w:type="dxa"/>
            <w:tcBorders/>
            <w:shd w:fill="CCEEFF" w:val="clear"/>
            <w:vAlign w:val="center"/>
          </w:tcPr>
          <w:p>
            <w:pPr>
              <w:pStyle w:val="TableContents"/>
              <w:spacing w:before="0" w:after="0"/>
              <w:ind w:left="0" w:right="0" w:hanging="0"/>
              <w:rPr/>
            </w:pPr>
            <w:r>
              <w:rPr/>
              <w:t> </w:t>
            </w:r>
          </w:p>
        </w:tc>
        <w:tc>
          <w:tcPr>
            <w:tcW w:w="763"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30</w:t>
            </w:r>
          </w:p>
        </w:tc>
        <w:tc>
          <w:tcPr>
            <w:tcW w:w="136" w:type="dxa"/>
            <w:tcBorders/>
            <w:shd w:fill="CCEEFF" w:val="clear"/>
            <w:vAlign w:val="center"/>
          </w:tcPr>
          <w:p>
            <w:pPr>
              <w:pStyle w:val="TableContents"/>
              <w:spacing w:before="0" w:after="0"/>
              <w:ind w:left="0" w:right="0" w:hanging="0"/>
              <w:rPr/>
            </w:pPr>
            <w:r>
              <w:rPr/>
              <w:t> </w:t>
            </w:r>
          </w:p>
        </w:tc>
      </w:tr>
      <w:tr>
        <w:trPr/>
        <w:tc>
          <w:tcPr>
            <w:tcW w:w="965" w:type="dxa"/>
            <w:tcBorders/>
            <w:shd w:fill="FFFFFF" w:val="clear"/>
            <w:vAlign w:val="center"/>
          </w:tcPr>
          <w:p>
            <w:pPr>
              <w:pStyle w:val="TableContents"/>
              <w:spacing w:before="0" w:after="0"/>
              <w:ind w:left="0" w:right="0" w:hanging="0"/>
              <w:jc w:val="both"/>
              <w:rPr/>
            </w:pPr>
            <w:hyperlink w:anchor="i6">
              <w:r>
                <w:rPr>
                  <w:rStyle w:val="InternetLink"/>
                  <w:rFonts w:ascii="times new roman" w:hAnsi="times new roman"/>
                  <w:sz w:val="20"/>
                </w:rPr>
                <w:t>Item 6.</w:t>
              </w:r>
            </w:hyperlink>
          </w:p>
        </w:tc>
        <w:tc>
          <w:tcPr>
            <w:tcW w:w="8251" w:type="dxa"/>
            <w:tcBorders/>
            <w:shd w:fill="FFFFFF" w:val="clear"/>
            <w:vAlign w:val="center"/>
          </w:tcPr>
          <w:p>
            <w:pPr>
              <w:pStyle w:val="TableContents"/>
              <w:spacing w:before="0" w:after="0"/>
              <w:ind w:left="0" w:right="0" w:hanging="0"/>
              <w:jc w:val="both"/>
              <w:rPr/>
            </w:pPr>
            <w:hyperlink w:anchor="i6">
              <w:r>
                <w:rPr>
                  <w:rStyle w:val="InternetLink"/>
                  <w:rFonts w:ascii="times new roman" w:hAnsi="times new roman"/>
                  <w:sz w:val="20"/>
                </w:rPr>
                <w:t>Reserved.</w:t>
              </w:r>
            </w:hyperlink>
          </w:p>
        </w:tc>
        <w:tc>
          <w:tcPr>
            <w:tcW w:w="90" w:type="dxa"/>
            <w:tcBorders/>
            <w:shd w:fill="FFFFFF" w:val="clear"/>
            <w:vAlign w:val="center"/>
          </w:tcPr>
          <w:p>
            <w:pPr>
              <w:pStyle w:val="TableContents"/>
              <w:spacing w:before="0" w:after="0"/>
              <w:ind w:left="0" w:right="0" w:hanging="0"/>
              <w:rPr/>
            </w:pPr>
            <w:r>
              <w:rPr/>
              <w:t> </w:t>
            </w:r>
          </w:p>
        </w:tc>
        <w:tc>
          <w:tcPr>
            <w:tcW w:w="763" w:type="dxa"/>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30</w:t>
            </w:r>
          </w:p>
        </w:tc>
        <w:tc>
          <w:tcPr>
            <w:tcW w:w="136" w:type="dxa"/>
            <w:tcBorders/>
            <w:shd w:fill="FFFFFF" w:val="clear"/>
            <w:vAlign w:val="center"/>
          </w:tcPr>
          <w:p>
            <w:pPr>
              <w:pStyle w:val="TableContents"/>
              <w:spacing w:before="0" w:after="0"/>
              <w:ind w:left="0" w:right="0" w:hanging="0"/>
              <w:rPr/>
            </w:pPr>
            <w:r>
              <w:rPr/>
              <w:t> </w:t>
            </w:r>
          </w:p>
        </w:tc>
      </w:tr>
      <w:tr>
        <w:trPr/>
        <w:tc>
          <w:tcPr>
            <w:tcW w:w="965" w:type="dxa"/>
            <w:tcBorders/>
            <w:shd w:fill="CCEEFF" w:val="clear"/>
            <w:vAlign w:val="center"/>
          </w:tcPr>
          <w:p>
            <w:pPr>
              <w:pStyle w:val="TableContents"/>
              <w:spacing w:before="0" w:after="0"/>
              <w:ind w:left="0" w:right="0" w:hanging="0"/>
              <w:jc w:val="both"/>
              <w:rPr/>
            </w:pPr>
            <w:hyperlink w:anchor="i7">
              <w:r>
                <w:rPr>
                  <w:rStyle w:val="InternetLink"/>
                  <w:rFonts w:ascii="times new roman" w:hAnsi="times new roman"/>
                  <w:sz w:val="20"/>
                </w:rPr>
                <w:t>Item 7.</w:t>
              </w:r>
            </w:hyperlink>
          </w:p>
        </w:tc>
        <w:tc>
          <w:tcPr>
            <w:tcW w:w="8251" w:type="dxa"/>
            <w:tcBorders/>
            <w:shd w:fill="CCEEFF" w:val="clear"/>
            <w:vAlign w:val="center"/>
          </w:tcPr>
          <w:p>
            <w:pPr>
              <w:pStyle w:val="TableContents"/>
              <w:spacing w:before="0" w:after="0"/>
              <w:ind w:left="0" w:right="0" w:hanging="0"/>
              <w:jc w:val="both"/>
              <w:rPr/>
            </w:pPr>
            <w:hyperlink w:anchor="i7">
              <w:r>
                <w:rPr>
                  <w:rStyle w:val="InternetLink"/>
                  <w:rFonts w:ascii="times new roman" w:hAnsi="times new roman"/>
                  <w:sz w:val="20"/>
                </w:rPr>
                <w:t>Management’s Discussion and Analysis of Financial Condition and Results of Operations.</w:t>
              </w:r>
            </w:hyperlink>
          </w:p>
        </w:tc>
        <w:tc>
          <w:tcPr>
            <w:tcW w:w="90" w:type="dxa"/>
            <w:tcBorders/>
            <w:shd w:fill="CCEEFF" w:val="clear"/>
            <w:vAlign w:val="center"/>
          </w:tcPr>
          <w:p>
            <w:pPr>
              <w:pStyle w:val="TableContents"/>
              <w:spacing w:before="0" w:after="0"/>
              <w:ind w:left="0" w:right="0" w:hanging="0"/>
              <w:rPr/>
            </w:pPr>
            <w:r>
              <w:rPr/>
              <w:t> </w:t>
            </w:r>
          </w:p>
        </w:tc>
        <w:tc>
          <w:tcPr>
            <w:tcW w:w="763"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31</w:t>
            </w:r>
          </w:p>
        </w:tc>
        <w:tc>
          <w:tcPr>
            <w:tcW w:w="136" w:type="dxa"/>
            <w:tcBorders/>
            <w:shd w:fill="CCEEFF" w:val="clear"/>
            <w:vAlign w:val="center"/>
          </w:tcPr>
          <w:p>
            <w:pPr>
              <w:pStyle w:val="TableContents"/>
              <w:spacing w:before="0" w:after="0"/>
              <w:ind w:left="0" w:right="0" w:hanging="0"/>
              <w:rPr/>
            </w:pPr>
            <w:r>
              <w:rPr/>
              <w:t> </w:t>
            </w:r>
          </w:p>
        </w:tc>
      </w:tr>
      <w:tr>
        <w:trPr/>
        <w:tc>
          <w:tcPr>
            <w:tcW w:w="965" w:type="dxa"/>
            <w:tcBorders/>
            <w:shd w:fill="FFFFFF" w:val="clear"/>
            <w:vAlign w:val="center"/>
          </w:tcPr>
          <w:p>
            <w:pPr>
              <w:pStyle w:val="TableContents"/>
              <w:spacing w:before="0" w:after="0"/>
              <w:ind w:left="0" w:right="0" w:hanging="0"/>
              <w:jc w:val="both"/>
              <w:rPr/>
            </w:pPr>
            <w:hyperlink w:anchor="i7a">
              <w:r>
                <w:rPr>
                  <w:rStyle w:val="InternetLink"/>
                  <w:rFonts w:ascii="times new roman" w:hAnsi="times new roman"/>
                  <w:sz w:val="20"/>
                </w:rPr>
                <w:t>Item 7A.</w:t>
              </w:r>
            </w:hyperlink>
          </w:p>
        </w:tc>
        <w:tc>
          <w:tcPr>
            <w:tcW w:w="8251" w:type="dxa"/>
            <w:tcBorders/>
            <w:shd w:fill="FFFFFF" w:val="clear"/>
            <w:vAlign w:val="center"/>
          </w:tcPr>
          <w:p>
            <w:pPr>
              <w:pStyle w:val="TableContents"/>
              <w:spacing w:before="0" w:after="0"/>
              <w:ind w:left="0" w:right="0" w:hanging="0"/>
              <w:jc w:val="both"/>
              <w:rPr/>
            </w:pPr>
            <w:hyperlink w:anchor="i7a">
              <w:r>
                <w:rPr>
                  <w:rStyle w:val="InternetLink"/>
                  <w:rFonts w:ascii="times new roman" w:hAnsi="times new roman"/>
                  <w:sz w:val="20"/>
                </w:rPr>
                <w:t>Quantitative and Qualitative Disclosures About Market Risk.</w:t>
              </w:r>
            </w:hyperlink>
          </w:p>
        </w:tc>
        <w:tc>
          <w:tcPr>
            <w:tcW w:w="90" w:type="dxa"/>
            <w:tcBorders/>
            <w:shd w:fill="FFFFFF" w:val="clear"/>
            <w:vAlign w:val="center"/>
          </w:tcPr>
          <w:p>
            <w:pPr>
              <w:pStyle w:val="TableContents"/>
              <w:spacing w:before="0" w:after="0"/>
              <w:ind w:left="0" w:right="0" w:hanging="0"/>
              <w:rPr/>
            </w:pPr>
            <w:r>
              <w:rPr/>
              <w:t> </w:t>
            </w:r>
          </w:p>
        </w:tc>
        <w:tc>
          <w:tcPr>
            <w:tcW w:w="763" w:type="dxa"/>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59</w:t>
            </w:r>
          </w:p>
        </w:tc>
        <w:tc>
          <w:tcPr>
            <w:tcW w:w="136" w:type="dxa"/>
            <w:tcBorders/>
            <w:shd w:fill="FFFFFF" w:val="clear"/>
            <w:vAlign w:val="center"/>
          </w:tcPr>
          <w:p>
            <w:pPr>
              <w:pStyle w:val="TableContents"/>
              <w:spacing w:before="0" w:after="0"/>
              <w:ind w:left="0" w:right="0" w:hanging="0"/>
              <w:rPr/>
            </w:pPr>
            <w:r>
              <w:rPr/>
              <w:t> </w:t>
            </w:r>
          </w:p>
        </w:tc>
      </w:tr>
      <w:tr>
        <w:trPr/>
        <w:tc>
          <w:tcPr>
            <w:tcW w:w="965" w:type="dxa"/>
            <w:tcBorders/>
            <w:shd w:fill="CCEEFF" w:val="clear"/>
            <w:vAlign w:val="center"/>
          </w:tcPr>
          <w:p>
            <w:pPr>
              <w:pStyle w:val="TableContents"/>
              <w:spacing w:before="0" w:after="0"/>
              <w:ind w:left="0" w:right="0" w:hanging="0"/>
              <w:jc w:val="both"/>
              <w:rPr/>
            </w:pPr>
            <w:hyperlink w:anchor="i8">
              <w:r>
                <w:rPr>
                  <w:rStyle w:val="InternetLink"/>
                  <w:rFonts w:ascii="times new roman" w:hAnsi="times new roman"/>
                  <w:sz w:val="20"/>
                </w:rPr>
                <w:t>Item 8.</w:t>
              </w:r>
            </w:hyperlink>
          </w:p>
        </w:tc>
        <w:tc>
          <w:tcPr>
            <w:tcW w:w="8251" w:type="dxa"/>
            <w:tcBorders/>
            <w:shd w:fill="CCEEFF" w:val="clear"/>
            <w:vAlign w:val="center"/>
          </w:tcPr>
          <w:p>
            <w:pPr>
              <w:pStyle w:val="TableContents"/>
              <w:spacing w:before="0" w:after="0"/>
              <w:ind w:left="0" w:right="0" w:hanging="0"/>
              <w:jc w:val="both"/>
              <w:rPr/>
            </w:pPr>
            <w:hyperlink w:anchor="i8">
              <w:r>
                <w:rPr>
                  <w:rStyle w:val="InternetLink"/>
                  <w:rFonts w:ascii="times new roman" w:hAnsi="times new roman"/>
                  <w:sz w:val="20"/>
                </w:rPr>
                <w:t>Financial Statements and Supplementary Data.</w:t>
              </w:r>
            </w:hyperlink>
          </w:p>
        </w:tc>
        <w:tc>
          <w:tcPr>
            <w:tcW w:w="90" w:type="dxa"/>
            <w:tcBorders/>
            <w:shd w:fill="CCEEFF" w:val="clear"/>
            <w:vAlign w:val="center"/>
          </w:tcPr>
          <w:p>
            <w:pPr>
              <w:pStyle w:val="TableContents"/>
              <w:spacing w:before="0" w:after="0"/>
              <w:ind w:left="0" w:right="0" w:hanging="0"/>
              <w:rPr/>
            </w:pPr>
            <w:r>
              <w:rPr/>
              <w:t> </w:t>
            </w:r>
          </w:p>
        </w:tc>
        <w:tc>
          <w:tcPr>
            <w:tcW w:w="763"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59</w:t>
            </w:r>
          </w:p>
        </w:tc>
        <w:tc>
          <w:tcPr>
            <w:tcW w:w="136" w:type="dxa"/>
            <w:tcBorders/>
            <w:shd w:fill="CCEEFF" w:val="clear"/>
            <w:vAlign w:val="center"/>
          </w:tcPr>
          <w:p>
            <w:pPr>
              <w:pStyle w:val="TableContents"/>
              <w:spacing w:before="0" w:after="0"/>
              <w:ind w:left="0" w:right="0" w:hanging="0"/>
              <w:rPr/>
            </w:pPr>
            <w:r>
              <w:rPr/>
              <w:t> </w:t>
            </w:r>
          </w:p>
        </w:tc>
      </w:tr>
      <w:tr>
        <w:trPr/>
        <w:tc>
          <w:tcPr>
            <w:tcW w:w="965" w:type="dxa"/>
            <w:tcBorders/>
            <w:shd w:fill="FFFFFF" w:val="clear"/>
            <w:vAlign w:val="center"/>
          </w:tcPr>
          <w:p>
            <w:pPr>
              <w:pStyle w:val="TableContents"/>
              <w:spacing w:before="0" w:after="0"/>
              <w:ind w:left="0" w:right="0" w:hanging="0"/>
              <w:jc w:val="both"/>
              <w:rPr/>
            </w:pPr>
            <w:hyperlink w:anchor="i9">
              <w:r>
                <w:rPr>
                  <w:rStyle w:val="InternetLink"/>
                  <w:rFonts w:ascii="times new roman" w:hAnsi="times new roman"/>
                  <w:sz w:val="20"/>
                </w:rPr>
                <w:t>Item 9.</w:t>
              </w:r>
            </w:hyperlink>
          </w:p>
        </w:tc>
        <w:tc>
          <w:tcPr>
            <w:tcW w:w="8251" w:type="dxa"/>
            <w:tcBorders/>
            <w:shd w:fill="FFFFFF" w:val="clear"/>
            <w:vAlign w:val="center"/>
          </w:tcPr>
          <w:p>
            <w:pPr>
              <w:pStyle w:val="TableContents"/>
              <w:spacing w:before="0" w:after="0"/>
              <w:ind w:left="0" w:right="0" w:hanging="0"/>
              <w:jc w:val="both"/>
              <w:rPr/>
            </w:pPr>
            <w:hyperlink w:anchor="i9">
              <w:r>
                <w:rPr>
                  <w:rStyle w:val="InternetLink"/>
                  <w:rFonts w:ascii="times new roman" w:hAnsi="times new roman"/>
                  <w:sz w:val="20"/>
                </w:rPr>
                <w:t>Changes in and Disagreements With Accountants on Accounting and Financial Disclosure.</w:t>
              </w:r>
            </w:hyperlink>
          </w:p>
        </w:tc>
        <w:tc>
          <w:tcPr>
            <w:tcW w:w="90" w:type="dxa"/>
            <w:tcBorders/>
            <w:shd w:fill="FFFFFF" w:val="clear"/>
            <w:vAlign w:val="center"/>
          </w:tcPr>
          <w:p>
            <w:pPr>
              <w:pStyle w:val="TableContents"/>
              <w:spacing w:before="0" w:after="0"/>
              <w:ind w:left="0" w:right="0" w:hanging="0"/>
              <w:rPr/>
            </w:pPr>
            <w:r>
              <w:rPr/>
              <w:t> </w:t>
            </w:r>
          </w:p>
        </w:tc>
        <w:tc>
          <w:tcPr>
            <w:tcW w:w="763" w:type="dxa"/>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59</w:t>
            </w:r>
          </w:p>
        </w:tc>
        <w:tc>
          <w:tcPr>
            <w:tcW w:w="136" w:type="dxa"/>
            <w:tcBorders/>
            <w:shd w:fill="FFFFFF" w:val="clear"/>
            <w:vAlign w:val="center"/>
          </w:tcPr>
          <w:p>
            <w:pPr>
              <w:pStyle w:val="TableContents"/>
              <w:spacing w:before="0" w:after="0"/>
              <w:ind w:left="0" w:right="0" w:hanging="0"/>
              <w:rPr/>
            </w:pPr>
            <w:r>
              <w:rPr/>
              <w:t> </w:t>
            </w:r>
          </w:p>
        </w:tc>
      </w:tr>
      <w:tr>
        <w:trPr/>
        <w:tc>
          <w:tcPr>
            <w:tcW w:w="965" w:type="dxa"/>
            <w:tcBorders/>
            <w:shd w:fill="CCEEFF" w:val="clear"/>
            <w:vAlign w:val="center"/>
          </w:tcPr>
          <w:p>
            <w:pPr>
              <w:pStyle w:val="TableContents"/>
              <w:spacing w:before="0" w:after="0"/>
              <w:ind w:left="0" w:right="0" w:hanging="0"/>
              <w:jc w:val="both"/>
              <w:rPr/>
            </w:pPr>
            <w:hyperlink w:anchor="i9a">
              <w:r>
                <w:rPr>
                  <w:rStyle w:val="InternetLink"/>
                  <w:rFonts w:ascii="times new roman" w:hAnsi="times new roman"/>
                  <w:sz w:val="20"/>
                </w:rPr>
                <w:t>Item 9A.</w:t>
              </w:r>
            </w:hyperlink>
          </w:p>
        </w:tc>
        <w:tc>
          <w:tcPr>
            <w:tcW w:w="8251" w:type="dxa"/>
            <w:tcBorders/>
            <w:shd w:fill="CCEEFF" w:val="clear"/>
            <w:vAlign w:val="center"/>
          </w:tcPr>
          <w:p>
            <w:pPr>
              <w:pStyle w:val="TableContents"/>
              <w:spacing w:before="0" w:after="0"/>
              <w:ind w:left="0" w:right="0" w:hanging="0"/>
              <w:jc w:val="both"/>
              <w:rPr/>
            </w:pPr>
            <w:hyperlink w:anchor="i9a">
              <w:r>
                <w:rPr>
                  <w:rStyle w:val="InternetLink"/>
                  <w:rFonts w:ascii="times new roman" w:hAnsi="times new roman"/>
                  <w:sz w:val="20"/>
                </w:rPr>
                <w:t>Controls and Procedures.</w:t>
              </w:r>
            </w:hyperlink>
          </w:p>
        </w:tc>
        <w:tc>
          <w:tcPr>
            <w:tcW w:w="90" w:type="dxa"/>
            <w:tcBorders/>
            <w:shd w:fill="CCEEFF" w:val="clear"/>
            <w:vAlign w:val="center"/>
          </w:tcPr>
          <w:p>
            <w:pPr>
              <w:pStyle w:val="TableContents"/>
              <w:spacing w:before="0" w:after="0"/>
              <w:ind w:left="0" w:right="0" w:hanging="0"/>
              <w:rPr/>
            </w:pPr>
            <w:r>
              <w:rPr/>
              <w:t> </w:t>
            </w:r>
          </w:p>
        </w:tc>
        <w:tc>
          <w:tcPr>
            <w:tcW w:w="763"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59</w:t>
            </w:r>
          </w:p>
        </w:tc>
        <w:tc>
          <w:tcPr>
            <w:tcW w:w="136" w:type="dxa"/>
            <w:tcBorders/>
            <w:shd w:fill="CCEEFF" w:val="clear"/>
            <w:vAlign w:val="center"/>
          </w:tcPr>
          <w:p>
            <w:pPr>
              <w:pStyle w:val="TableContents"/>
              <w:spacing w:before="0" w:after="0"/>
              <w:ind w:left="0" w:right="0" w:hanging="0"/>
              <w:rPr/>
            </w:pPr>
            <w:r>
              <w:rPr/>
              <w:t> </w:t>
            </w:r>
          </w:p>
        </w:tc>
      </w:tr>
      <w:tr>
        <w:trPr/>
        <w:tc>
          <w:tcPr>
            <w:tcW w:w="965" w:type="dxa"/>
            <w:tcBorders/>
            <w:shd w:fill="FFFFFF" w:val="clear"/>
            <w:vAlign w:val="center"/>
          </w:tcPr>
          <w:p>
            <w:pPr>
              <w:pStyle w:val="TableContents"/>
              <w:spacing w:before="0" w:after="0"/>
              <w:ind w:left="0" w:right="0" w:hanging="0"/>
              <w:jc w:val="both"/>
              <w:rPr/>
            </w:pPr>
            <w:hyperlink w:anchor="i9b">
              <w:r>
                <w:rPr>
                  <w:rStyle w:val="InternetLink"/>
                  <w:rFonts w:ascii="times new roman" w:hAnsi="times new roman"/>
                  <w:sz w:val="20"/>
                </w:rPr>
                <w:t>Item 9B.</w:t>
              </w:r>
            </w:hyperlink>
          </w:p>
        </w:tc>
        <w:tc>
          <w:tcPr>
            <w:tcW w:w="8251" w:type="dxa"/>
            <w:tcBorders/>
            <w:shd w:fill="FFFFFF" w:val="clear"/>
            <w:vAlign w:val="center"/>
          </w:tcPr>
          <w:p>
            <w:pPr>
              <w:pStyle w:val="TableContents"/>
              <w:spacing w:before="0" w:after="0"/>
              <w:ind w:left="0" w:right="0" w:hanging="0"/>
              <w:jc w:val="both"/>
              <w:rPr/>
            </w:pPr>
            <w:hyperlink w:anchor="i9b">
              <w:r>
                <w:rPr>
                  <w:rStyle w:val="InternetLink"/>
                  <w:rFonts w:ascii="times new roman" w:hAnsi="times new roman"/>
                  <w:sz w:val="20"/>
                </w:rPr>
                <w:t>Other Information.</w:t>
              </w:r>
            </w:hyperlink>
          </w:p>
        </w:tc>
        <w:tc>
          <w:tcPr>
            <w:tcW w:w="90" w:type="dxa"/>
            <w:tcBorders/>
            <w:shd w:fill="FFFFFF" w:val="clear"/>
            <w:vAlign w:val="center"/>
          </w:tcPr>
          <w:p>
            <w:pPr>
              <w:pStyle w:val="TableContents"/>
              <w:spacing w:before="0" w:after="0"/>
              <w:ind w:left="0" w:right="0" w:hanging="0"/>
              <w:rPr/>
            </w:pPr>
            <w:r>
              <w:rPr/>
              <w:t> </w:t>
            </w:r>
          </w:p>
        </w:tc>
        <w:tc>
          <w:tcPr>
            <w:tcW w:w="763" w:type="dxa"/>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60</w:t>
            </w:r>
          </w:p>
        </w:tc>
        <w:tc>
          <w:tcPr>
            <w:tcW w:w="136" w:type="dxa"/>
            <w:tcBorders/>
            <w:shd w:fill="FFFFFF" w:val="clear"/>
            <w:vAlign w:val="center"/>
          </w:tcPr>
          <w:p>
            <w:pPr>
              <w:pStyle w:val="TableContents"/>
              <w:spacing w:before="0" w:after="0"/>
              <w:ind w:left="0" w:right="0" w:hanging="0"/>
              <w:rPr/>
            </w:pPr>
            <w:r>
              <w:rPr/>
              <w:t> </w:t>
            </w:r>
          </w:p>
        </w:tc>
      </w:tr>
      <w:tr>
        <w:trPr/>
        <w:tc>
          <w:tcPr>
            <w:tcW w:w="965" w:type="dxa"/>
            <w:tcBorders/>
            <w:shd w:fill="CCEEFF" w:val="clear"/>
            <w:vAlign w:val="center"/>
          </w:tcPr>
          <w:p>
            <w:pPr>
              <w:pStyle w:val="TableContents"/>
              <w:spacing w:before="0" w:after="0"/>
              <w:ind w:left="0" w:right="0" w:hanging="0"/>
              <w:jc w:val="both"/>
              <w:rPr/>
            </w:pPr>
            <w:hyperlink w:anchor="i9c">
              <w:r>
                <w:rPr>
                  <w:rStyle w:val="InternetLink"/>
                  <w:rFonts w:ascii="times new roman" w:hAnsi="times new roman"/>
                  <w:sz w:val="20"/>
                </w:rPr>
                <w:t>Item 9C.</w:t>
              </w:r>
            </w:hyperlink>
          </w:p>
        </w:tc>
        <w:tc>
          <w:tcPr>
            <w:tcW w:w="8251" w:type="dxa"/>
            <w:tcBorders/>
            <w:shd w:fill="CCEEFF" w:val="clear"/>
            <w:vAlign w:val="center"/>
          </w:tcPr>
          <w:p>
            <w:pPr>
              <w:pStyle w:val="TableContents"/>
              <w:spacing w:before="0" w:after="0"/>
              <w:ind w:left="0" w:right="0" w:hanging="0"/>
              <w:jc w:val="both"/>
              <w:rPr/>
            </w:pPr>
            <w:hyperlink w:anchor="i9c">
              <w:r>
                <w:rPr>
                  <w:rStyle w:val="InternetLink"/>
                  <w:rFonts w:ascii="times new roman" w:hAnsi="times new roman"/>
                  <w:sz w:val="20"/>
                </w:rPr>
                <w:t>Disclosures Regarding Foreign Jurisdictions that Prevent Inspections.</w:t>
              </w:r>
            </w:hyperlink>
          </w:p>
        </w:tc>
        <w:tc>
          <w:tcPr>
            <w:tcW w:w="90" w:type="dxa"/>
            <w:tcBorders/>
            <w:shd w:fill="CCEEFF" w:val="clear"/>
            <w:vAlign w:val="center"/>
          </w:tcPr>
          <w:p>
            <w:pPr>
              <w:pStyle w:val="TableContents"/>
              <w:spacing w:before="0" w:after="0"/>
              <w:ind w:left="0" w:right="0" w:hanging="0"/>
              <w:rPr/>
            </w:pPr>
            <w:r>
              <w:rPr/>
              <w:t> </w:t>
            </w:r>
          </w:p>
        </w:tc>
        <w:tc>
          <w:tcPr>
            <w:tcW w:w="763"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60</w:t>
            </w:r>
          </w:p>
        </w:tc>
        <w:tc>
          <w:tcPr>
            <w:tcW w:w="136" w:type="dxa"/>
            <w:tcBorders/>
            <w:shd w:fill="CCEEFF" w:val="clear"/>
            <w:vAlign w:val="center"/>
          </w:tcPr>
          <w:p>
            <w:pPr>
              <w:pStyle w:val="TableContents"/>
              <w:spacing w:before="0" w:after="0"/>
              <w:ind w:left="0" w:right="0" w:hanging="0"/>
              <w:rPr/>
            </w:pPr>
            <w:r>
              <w:rPr/>
              <w:t> </w:t>
            </w:r>
          </w:p>
        </w:tc>
      </w:tr>
      <w:tr>
        <w:trPr/>
        <w:tc>
          <w:tcPr>
            <w:tcW w:w="965" w:type="dxa"/>
            <w:tcBorders/>
            <w:shd w:fill="FFFFFF" w:val="clear"/>
            <w:vAlign w:val="center"/>
          </w:tcPr>
          <w:p>
            <w:pPr>
              <w:pStyle w:val="TableContents"/>
              <w:spacing w:before="0" w:after="0"/>
              <w:ind w:left="0" w:right="0" w:hanging="0"/>
              <w:jc w:val="both"/>
              <w:rPr/>
            </w:pPr>
            <w:hyperlink w:anchor="p3">
              <w:r>
                <w:rPr>
                  <w:rStyle w:val="StrongEmphasis"/>
                  <w:rFonts w:ascii="times new roman" w:hAnsi="times new roman"/>
                  <w:sz w:val="20"/>
                </w:rPr>
                <w:t>PART III</w:t>
              </w:r>
            </w:hyperlink>
          </w:p>
        </w:tc>
        <w:tc>
          <w:tcPr>
            <w:tcW w:w="8251" w:type="dxa"/>
            <w:tcBorders/>
            <w:shd w:fill="FFFFFF" w:val="clear"/>
            <w:vAlign w:val="center"/>
          </w:tcPr>
          <w:p>
            <w:pPr>
              <w:pStyle w:val="TableContents"/>
              <w:spacing w:before="0" w:after="0"/>
              <w:ind w:left="0" w:right="0" w:hanging="0"/>
              <w:jc w:val="both"/>
              <w:rPr/>
            </w:pPr>
            <w:r>
              <w:rPr/>
              <w:t> </w:t>
            </w:r>
          </w:p>
        </w:tc>
        <w:tc>
          <w:tcPr>
            <w:tcW w:w="90" w:type="dxa"/>
            <w:tcBorders/>
            <w:shd w:fill="FFFFFF" w:val="clear"/>
            <w:vAlign w:val="center"/>
          </w:tcPr>
          <w:p>
            <w:pPr>
              <w:pStyle w:val="TableContents"/>
              <w:spacing w:before="0" w:after="0"/>
              <w:ind w:left="0" w:right="0" w:hanging="0"/>
              <w:rPr/>
            </w:pPr>
            <w:r>
              <w:rPr/>
              <w:t> </w:t>
            </w:r>
          </w:p>
        </w:tc>
        <w:tc>
          <w:tcPr>
            <w:tcW w:w="763" w:type="dxa"/>
            <w:tcBorders/>
            <w:shd w:fill="FFFFFF" w:val="clear"/>
            <w:vAlign w:val="center"/>
          </w:tcPr>
          <w:p>
            <w:pPr>
              <w:pStyle w:val="TableContents"/>
              <w:spacing w:before="0" w:after="0"/>
              <w:ind w:left="0" w:right="0" w:hanging="0"/>
              <w:jc w:val="right"/>
              <w:rPr/>
            </w:pPr>
            <w:r>
              <w:rPr/>
              <w:t> </w:t>
            </w:r>
          </w:p>
        </w:tc>
        <w:tc>
          <w:tcPr>
            <w:tcW w:w="136" w:type="dxa"/>
            <w:tcBorders/>
            <w:shd w:fill="FFFFFF" w:val="clear"/>
            <w:vAlign w:val="center"/>
          </w:tcPr>
          <w:p>
            <w:pPr>
              <w:pStyle w:val="TableContents"/>
              <w:spacing w:before="0" w:after="0"/>
              <w:ind w:left="0" w:right="0" w:hanging="0"/>
              <w:rPr/>
            </w:pPr>
            <w:r>
              <w:rPr/>
              <w:t> </w:t>
            </w:r>
          </w:p>
        </w:tc>
      </w:tr>
      <w:tr>
        <w:trPr/>
        <w:tc>
          <w:tcPr>
            <w:tcW w:w="965" w:type="dxa"/>
            <w:tcBorders/>
            <w:shd w:fill="CCEEFF" w:val="clear"/>
            <w:vAlign w:val="center"/>
          </w:tcPr>
          <w:p>
            <w:pPr>
              <w:pStyle w:val="TableContents"/>
              <w:spacing w:before="0" w:after="0"/>
              <w:ind w:left="0" w:right="0" w:hanging="0"/>
              <w:jc w:val="both"/>
              <w:rPr/>
            </w:pPr>
            <w:hyperlink w:anchor="i10">
              <w:r>
                <w:rPr>
                  <w:rStyle w:val="InternetLink"/>
                  <w:rFonts w:ascii="times new roman" w:hAnsi="times new roman"/>
                  <w:sz w:val="20"/>
                </w:rPr>
                <w:t>Item 10.</w:t>
              </w:r>
            </w:hyperlink>
          </w:p>
        </w:tc>
        <w:tc>
          <w:tcPr>
            <w:tcW w:w="8251" w:type="dxa"/>
            <w:tcBorders/>
            <w:shd w:fill="CCEEFF" w:val="clear"/>
            <w:vAlign w:val="center"/>
          </w:tcPr>
          <w:p>
            <w:pPr>
              <w:pStyle w:val="TableContents"/>
              <w:spacing w:before="0" w:after="0"/>
              <w:ind w:left="0" w:right="0" w:hanging="0"/>
              <w:rPr/>
            </w:pPr>
            <w:hyperlink w:anchor="i10">
              <w:r>
                <w:rPr>
                  <w:rStyle w:val="InternetLink"/>
                  <w:rFonts w:ascii="times new roman" w:hAnsi="times new roman"/>
                  <w:sz w:val="20"/>
                </w:rPr>
                <w:t>Directors, Executive Officers and Corporate Governance.</w:t>
              </w:r>
            </w:hyperlink>
          </w:p>
        </w:tc>
        <w:tc>
          <w:tcPr>
            <w:tcW w:w="90" w:type="dxa"/>
            <w:tcBorders/>
            <w:shd w:fill="CCEEFF" w:val="clear"/>
            <w:vAlign w:val="center"/>
          </w:tcPr>
          <w:p>
            <w:pPr>
              <w:pStyle w:val="TableContents"/>
              <w:spacing w:before="0" w:after="0"/>
              <w:ind w:left="0" w:right="0" w:hanging="0"/>
              <w:rPr/>
            </w:pPr>
            <w:r>
              <w:rPr/>
              <w:t> </w:t>
            </w:r>
          </w:p>
        </w:tc>
        <w:tc>
          <w:tcPr>
            <w:tcW w:w="763"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61</w:t>
            </w:r>
          </w:p>
        </w:tc>
        <w:tc>
          <w:tcPr>
            <w:tcW w:w="136" w:type="dxa"/>
            <w:tcBorders/>
            <w:shd w:fill="CCEEFF" w:val="clear"/>
            <w:vAlign w:val="center"/>
          </w:tcPr>
          <w:p>
            <w:pPr>
              <w:pStyle w:val="TableContents"/>
              <w:spacing w:before="0" w:after="0"/>
              <w:ind w:left="0" w:right="0" w:hanging="0"/>
              <w:rPr/>
            </w:pPr>
            <w:r>
              <w:rPr/>
              <w:t> </w:t>
            </w:r>
          </w:p>
        </w:tc>
      </w:tr>
      <w:tr>
        <w:trPr/>
        <w:tc>
          <w:tcPr>
            <w:tcW w:w="965" w:type="dxa"/>
            <w:tcBorders/>
            <w:shd w:fill="FFFFFF" w:val="clear"/>
            <w:vAlign w:val="center"/>
          </w:tcPr>
          <w:p>
            <w:pPr>
              <w:pStyle w:val="TableContents"/>
              <w:spacing w:before="0" w:after="0"/>
              <w:ind w:left="0" w:right="0" w:hanging="0"/>
              <w:jc w:val="both"/>
              <w:rPr/>
            </w:pPr>
            <w:hyperlink w:anchor="i11">
              <w:r>
                <w:rPr>
                  <w:rStyle w:val="InternetLink"/>
                  <w:rFonts w:ascii="times new roman" w:hAnsi="times new roman"/>
                  <w:sz w:val="20"/>
                </w:rPr>
                <w:t>Item 11.</w:t>
              </w:r>
            </w:hyperlink>
          </w:p>
        </w:tc>
        <w:tc>
          <w:tcPr>
            <w:tcW w:w="8251" w:type="dxa"/>
            <w:tcBorders/>
            <w:shd w:fill="FFFFFF" w:val="clear"/>
            <w:vAlign w:val="center"/>
          </w:tcPr>
          <w:p>
            <w:pPr>
              <w:pStyle w:val="TableContents"/>
              <w:spacing w:before="0" w:after="0"/>
              <w:ind w:left="0" w:right="0" w:hanging="0"/>
              <w:rPr/>
            </w:pPr>
            <w:hyperlink w:anchor="i11">
              <w:r>
                <w:rPr>
                  <w:rStyle w:val="InternetLink"/>
                  <w:rFonts w:ascii="times new roman" w:hAnsi="times new roman"/>
                  <w:sz w:val="20"/>
                </w:rPr>
                <w:t>Executive Compensation.</w:t>
              </w:r>
            </w:hyperlink>
          </w:p>
        </w:tc>
        <w:tc>
          <w:tcPr>
            <w:tcW w:w="90" w:type="dxa"/>
            <w:tcBorders/>
            <w:shd w:fill="FFFFFF" w:val="clear"/>
            <w:vAlign w:val="center"/>
          </w:tcPr>
          <w:p>
            <w:pPr>
              <w:pStyle w:val="TableContents"/>
              <w:spacing w:before="0" w:after="0"/>
              <w:ind w:left="0" w:right="0" w:hanging="0"/>
              <w:rPr/>
            </w:pPr>
            <w:r>
              <w:rPr/>
              <w:t> </w:t>
            </w:r>
          </w:p>
        </w:tc>
        <w:tc>
          <w:tcPr>
            <w:tcW w:w="763" w:type="dxa"/>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65</w:t>
            </w:r>
          </w:p>
        </w:tc>
        <w:tc>
          <w:tcPr>
            <w:tcW w:w="136" w:type="dxa"/>
            <w:tcBorders/>
            <w:shd w:fill="FFFFFF" w:val="clear"/>
            <w:vAlign w:val="center"/>
          </w:tcPr>
          <w:p>
            <w:pPr>
              <w:pStyle w:val="TableContents"/>
              <w:spacing w:before="0" w:after="0"/>
              <w:ind w:left="0" w:right="0" w:hanging="0"/>
              <w:rPr/>
            </w:pPr>
            <w:r>
              <w:rPr/>
              <w:t> </w:t>
            </w:r>
          </w:p>
        </w:tc>
      </w:tr>
      <w:tr>
        <w:trPr/>
        <w:tc>
          <w:tcPr>
            <w:tcW w:w="965" w:type="dxa"/>
            <w:tcBorders/>
            <w:shd w:fill="CCEEFF" w:val="clear"/>
            <w:vAlign w:val="center"/>
          </w:tcPr>
          <w:p>
            <w:pPr>
              <w:pStyle w:val="TableContents"/>
              <w:spacing w:before="0" w:after="0"/>
              <w:ind w:left="0" w:right="0" w:hanging="0"/>
              <w:jc w:val="both"/>
              <w:rPr/>
            </w:pPr>
            <w:hyperlink w:anchor="i12">
              <w:r>
                <w:rPr>
                  <w:rStyle w:val="InternetLink"/>
                  <w:rFonts w:ascii="times new roman" w:hAnsi="times new roman"/>
                  <w:sz w:val="20"/>
                </w:rPr>
                <w:t>Item 12.</w:t>
              </w:r>
            </w:hyperlink>
          </w:p>
        </w:tc>
        <w:tc>
          <w:tcPr>
            <w:tcW w:w="8251" w:type="dxa"/>
            <w:tcBorders/>
            <w:shd w:fill="CCEEFF" w:val="clear"/>
            <w:vAlign w:val="center"/>
          </w:tcPr>
          <w:p>
            <w:pPr>
              <w:pStyle w:val="TableContents"/>
              <w:spacing w:before="0" w:after="0"/>
              <w:ind w:left="0" w:right="0" w:hanging="0"/>
              <w:rPr/>
            </w:pPr>
            <w:hyperlink w:anchor="i12">
              <w:r>
                <w:rPr>
                  <w:rStyle w:val="InternetLink"/>
                  <w:rFonts w:ascii="times new roman" w:hAnsi="times new roman"/>
                  <w:sz w:val="20"/>
                </w:rPr>
                <w:t>Security Ownership of Certain Beneficial Owners and Management and Related Stockholder Matters.</w:t>
              </w:r>
            </w:hyperlink>
          </w:p>
        </w:tc>
        <w:tc>
          <w:tcPr>
            <w:tcW w:w="90" w:type="dxa"/>
            <w:tcBorders/>
            <w:shd w:fill="CCEEFF" w:val="clear"/>
            <w:vAlign w:val="center"/>
          </w:tcPr>
          <w:p>
            <w:pPr>
              <w:pStyle w:val="TableContents"/>
              <w:spacing w:before="0" w:after="0"/>
              <w:ind w:left="0" w:right="0" w:hanging="0"/>
              <w:rPr/>
            </w:pPr>
            <w:r>
              <w:rPr/>
              <w:t> </w:t>
            </w:r>
          </w:p>
        </w:tc>
        <w:tc>
          <w:tcPr>
            <w:tcW w:w="763"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72</w:t>
            </w:r>
          </w:p>
        </w:tc>
        <w:tc>
          <w:tcPr>
            <w:tcW w:w="136" w:type="dxa"/>
            <w:tcBorders/>
            <w:shd w:fill="CCEEFF" w:val="clear"/>
            <w:vAlign w:val="center"/>
          </w:tcPr>
          <w:p>
            <w:pPr>
              <w:pStyle w:val="TableContents"/>
              <w:spacing w:before="0" w:after="0"/>
              <w:ind w:left="0" w:right="0" w:hanging="0"/>
              <w:rPr/>
            </w:pPr>
            <w:r>
              <w:rPr/>
              <w:t> </w:t>
            </w:r>
          </w:p>
        </w:tc>
      </w:tr>
      <w:tr>
        <w:trPr/>
        <w:tc>
          <w:tcPr>
            <w:tcW w:w="965" w:type="dxa"/>
            <w:tcBorders/>
            <w:shd w:fill="FFFFFF" w:val="clear"/>
            <w:vAlign w:val="center"/>
          </w:tcPr>
          <w:p>
            <w:pPr>
              <w:pStyle w:val="TableContents"/>
              <w:spacing w:before="0" w:after="0"/>
              <w:ind w:left="0" w:right="0" w:hanging="0"/>
              <w:jc w:val="both"/>
              <w:rPr/>
            </w:pPr>
            <w:hyperlink w:anchor="i13">
              <w:r>
                <w:rPr>
                  <w:rStyle w:val="InternetLink"/>
                  <w:rFonts w:ascii="times new roman" w:hAnsi="times new roman"/>
                  <w:sz w:val="20"/>
                </w:rPr>
                <w:t>Item 13.</w:t>
              </w:r>
            </w:hyperlink>
          </w:p>
        </w:tc>
        <w:tc>
          <w:tcPr>
            <w:tcW w:w="8251" w:type="dxa"/>
            <w:tcBorders/>
            <w:shd w:fill="FFFFFF" w:val="clear"/>
            <w:vAlign w:val="center"/>
          </w:tcPr>
          <w:p>
            <w:pPr>
              <w:pStyle w:val="TableContents"/>
              <w:spacing w:before="0" w:after="0"/>
              <w:ind w:left="0" w:right="0" w:hanging="0"/>
              <w:jc w:val="both"/>
              <w:rPr/>
            </w:pPr>
            <w:hyperlink w:anchor="i13">
              <w:r>
                <w:rPr>
                  <w:rStyle w:val="InternetLink"/>
                  <w:rFonts w:ascii="times new roman" w:hAnsi="times new roman"/>
                  <w:sz w:val="20"/>
                </w:rPr>
                <w:t>Certain Relationships and Related Transactions, and Director Independence.</w:t>
              </w:r>
            </w:hyperlink>
          </w:p>
        </w:tc>
        <w:tc>
          <w:tcPr>
            <w:tcW w:w="90" w:type="dxa"/>
            <w:tcBorders/>
            <w:shd w:fill="FFFFFF" w:val="clear"/>
            <w:vAlign w:val="center"/>
          </w:tcPr>
          <w:p>
            <w:pPr>
              <w:pStyle w:val="TableContents"/>
              <w:spacing w:before="0" w:after="0"/>
              <w:ind w:left="0" w:right="0" w:hanging="0"/>
              <w:rPr/>
            </w:pPr>
            <w:r>
              <w:rPr/>
              <w:t> </w:t>
            </w:r>
          </w:p>
        </w:tc>
        <w:tc>
          <w:tcPr>
            <w:tcW w:w="763" w:type="dxa"/>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74</w:t>
            </w:r>
          </w:p>
        </w:tc>
        <w:tc>
          <w:tcPr>
            <w:tcW w:w="136" w:type="dxa"/>
            <w:tcBorders/>
            <w:shd w:fill="FFFFFF" w:val="clear"/>
            <w:vAlign w:val="center"/>
          </w:tcPr>
          <w:p>
            <w:pPr>
              <w:pStyle w:val="TableContents"/>
              <w:spacing w:before="0" w:after="0"/>
              <w:ind w:left="0" w:right="0" w:hanging="0"/>
              <w:rPr/>
            </w:pPr>
            <w:r>
              <w:rPr/>
              <w:t> </w:t>
            </w:r>
          </w:p>
        </w:tc>
      </w:tr>
      <w:tr>
        <w:trPr/>
        <w:tc>
          <w:tcPr>
            <w:tcW w:w="965" w:type="dxa"/>
            <w:tcBorders/>
            <w:shd w:fill="CCEEFF" w:val="clear"/>
            <w:vAlign w:val="center"/>
          </w:tcPr>
          <w:p>
            <w:pPr>
              <w:pStyle w:val="TableContents"/>
              <w:spacing w:before="0" w:after="0"/>
              <w:ind w:left="0" w:right="0" w:hanging="0"/>
              <w:jc w:val="both"/>
              <w:rPr/>
            </w:pPr>
            <w:hyperlink w:anchor="i14">
              <w:r>
                <w:rPr>
                  <w:rStyle w:val="InternetLink"/>
                  <w:rFonts w:ascii="times new roman" w:hAnsi="times new roman"/>
                  <w:sz w:val="20"/>
                </w:rPr>
                <w:t>Item 14.</w:t>
              </w:r>
            </w:hyperlink>
          </w:p>
        </w:tc>
        <w:tc>
          <w:tcPr>
            <w:tcW w:w="8251" w:type="dxa"/>
            <w:tcBorders/>
            <w:shd w:fill="CCEEFF" w:val="clear"/>
            <w:vAlign w:val="center"/>
          </w:tcPr>
          <w:p>
            <w:pPr>
              <w:pStyle w:val="TableContents"/>
              <w:spacing w:before="0" w:after="0"/>
              <w:ind w:left="0" w:right="0" w:hanging="0"/>
              <w:jc w:val="both"/>
              <w:rPr/>
            </w:pPr>
            <w:hyperlink w:anchor="i14">
              <w:r>
                <w:rPr>
                  <w:rStyle w:val="InternetLink"/>
                  <w:rFonts w:ascii="times new roman" w:hAnsi="times new roman"/>
                  <w:sz w:val="20"/>
                </w:rPr>
                <w:t>Principal Accountant Fees and Services.</w:t>
              </w:r>
            </w:hyperlink>
          </w:p>
        </w:tc>
        <w:tc>
          <w:tcPr>
            <w:tcW w:w="90" w:type="dxa"/>
            <w:tcBorders/>
            <w:shd w:fill="CCEEFF" w:val="clear"/>
            <w:vAlign w:val="center"/>
          </w:tcPr>
          <w:p>
            <w:pPr>
              <w:pStyle w:val="TableContents"/>
              <w:spacing w:before="0" w:after="0"/>
              <w:ind w:left="0" w:right="0" w:hanging="0"/>
              <w:rPr/>
            </w:pPr>
            <w:r>
              <w:rPr/>
              <w:t> </w:t>
            </w:r>
          </w:p>
        </w:tc>
        <w:tc>
          <w:tcPr>
            <w:tcW w:w="763"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75</w:t>
            </w:r>
          </w:p>
        </w:tc>
        <w:tc>
          <w:tcPr>
            <w:tcW w:w="136" w:type="dxa"/>
            <w:tcBorders/>
            <w:shd w:fill="CCEEFF" w:val="clear"/>
            <w:vAlign w:val="center"/>
          </w:tcPr>
          <w:p>
            <w:pPr>
              <w:pStyle w:val="TableContents"/>
              <w:spacing w:before="0" w:after="0"/>
              <w:ind w:left="0" w:right="0" w:hanging="0"/>
              <w:rPr/>
            </w:pPr>
            <w:r>
              <w:rPr/>
              <w:t> </w:t>
            </w:r>
          </w:p>
        </w:tc>
      </w:tr>
      <w:tr>
        <w:trPr/>
        <w:tc>
          <w:tcPr>
            <w:tcW w:w="965" w:type="dxa"/>
            <w:tcBorders/>
            <w:shd w:fill="FFFFFF" w:val="clear"/>
            <w:vAlign w:val="center"/>
          </w:tcPr>
          <w:p>
            <w:pPr>
              <w:pStyle w:val="TableContents"/>
              <w:spacing w:before="0" w:after="0"/>
              <w:ind w:left="0" w:right="0" w:hanging="0"/>
              <w:jc w:val="both"/>
              <w:rPr/>
            </w:pPr>
            <w:hyperlink w:anchor="p4">
              <w:r>
                <w:rPr>
                  <w:rStyle w:val="StrongEmphasis"/>
                  <w:rFonts w:ascii="times new roman" w:hAnsi="times new roman"/>
                  <w:sz w:val="20"/>
                </w:rPr>
                <w:t>PART IV</w:t>
              </w:r>
            </w:hyperlink>
          </w:p>
        </w:tc>
        <w:tc>
          <w:tcPr>
            <w:tcW w:w="8251" w:type="dxa"/>
            <w:tcBorders/>
            <w:shd w:fill="FFFFFF" w:val="clear"/>
            <w:vAlign w:val="center"/>
          </w:tcPr>
          <w:p>
            <w:pPr>
              <w:pStyle w:val="TableContents"/>
              <w:spacing w:before="0" w:after="0"/>
              <w:ind w:left="0" w:right="0" w:hanging="0"/>
              <w:jc w:val="both"/>
              <w:rPr/>
            </w:pPr>
            <w:r>
              <w:rPr/>
              <w:t> </w:t>
            </w:r>
          </w:p>
        </w:tc>
        <w:tc>
          <w:tcPr>
            <w:tcW w:w="90" w:type="dxa"/>
            <w:tcBorders/>
            <w:shd w:fill="FFFFFF" w:val="clear"/>
            <w:vAlign w:val="center"/>
          </w:tcPr>
          <w:p>
            <w:pPr>
              <w:pStyle w:val="TableContents"/>
              <w:spacing w:before="0" w:after="0"/>
              <w:ind w:left="0" w:right="0" w:hanging="0"/>
              <w:rPr/>
            </w:pPr>
            <w:r>
              <w:rPr/>
              <w:t> </w:t>
            </w:r>
          </w:p>
        </w:tc>
        <w:tc>
          <w:tcPr>
            <w:tcW w:w="763" w:type="dxa"/>
            <w:tcBorders/>
            <w:shd w:fill="FFFFFF" w:val="clear"/>
            <w:vAlign w:val="center"/>
          </w:tcPr>
          <w:p>
            <w:pPr>
              <w:pStyle w:val="TableContents"/>
              <w:spacing w:before="0" w:after="0"/>
              <w:ind w:left="0" w:right="0" w:hanging="0"/>
              <w:jc w:val="right"/>
              <w:rPr/>
            </w:pPr>
            <w:r>
              <w:rPr/>
              <w:t> </w:t>
            </w:r>
          </w:p>
        </w:tc>
        <w:tc>
          <w:tcPr>
            <w:tcW w:w="136" w:type="dxa"/>
            <w:tcBorders/>
            <w:shd w:fill="FFFFFF" w:val="clear"/>
            <w:vAlign w:val="center"/>
          </w:tcPr>
          <w:p>
            <w:pPr>
              <w:pStyle w:val="TableContents"/>
              <w:spacing w:before="0" w:after="0"/>
              <w:ind w:left="0" w:right="0" w:hanging="0"/>
              <w:rPr/>
            </w:pPr>
            <w:r>
              <w:rPr/>
              <w:t> </w:t>
            </w:r>
          </w:p>
        </w:tc>
      </w:tr>
      <w:tr>
        <w:trPr/>
        <w:tc>
          <w:tcPr>
            <w:tcW w:w="965" w:type="dxa"/>
            <w:tcBorders/>
            <w:shd w:fill="CCEEFF" w:val="clear"/>
            <w:vAlign w:val="center"/>
          </w:tcPr>
          <w:p>
            <w:pPr>
              <w:pStyle w:val="TableContents"/>
              <w:spacing w:before="0" w:after="0"/>
              <w:ind w:left="0" w:right="0" w:hanging="0"/>
              <w:jc w:val="both"/>
              <w:rPr/>
            </w:pPr>
            <w:hyperlink w:anchor="i15">
              <w:r>
                <w:rPr>
                  <w:rStyle w:val="InternetLink"/>
                  <w:rFonts w:ascii="times new roman" w:hAnsi="times new roman"/>
                  <w:sz w:val="20"/>
                </w:rPr>
                <w:t>Item 15.</w:t>
              </w:r>
            </w:hyperlink>
          </w:p>
        </w:tc>
        <w:tc>
          <w:tcPr>
            <w:tcW w:w="8251" w:type="dxa"/>
            <w:tcBorders/>
            <w:shd w:fill="CCEEFF" w:val="clear"/>
            <w:vAlign w:val="center"/>
          </w:tcPr>
          <w:p>
            <w:pPr>
              <w:pStyle w:val="TableContents"/>
              <w:spacing w:before="0" w:after="0"/>
              <w:ind w:left="0" w:right="0" w:hanging="0"/>
              <w:jc w:val="both"/>
              <w:rPr/>
            </w:pPr>
            <w:hyperlink w:anchor="i15">
              <w:r>
                <w:rPr>
                  <w:rStyle w:val="InternetLink"/>
                  <w:rFonts w:ascii="times new roman" w:hAnsi="times new roman"/>
                  <w:sz w:val="20"/>
                </w:rPr>
                <w:t>Exhibits and Financial Statement Schedules.</w:t>
              </w:r>
            </w:hyperlink>
          </w:p>
        </w:tc>
        <w:tc>
          <w:tcPr>
            <w:tcW w:w="90" w:type="dxa"/>
            <w:tcBorders/>
            <w:shd w:fill="CCEEFF" w:val="clear"/>
            <w:vAlign w:val="center"/>
          </w:tcPr>
          <w:p>
            <w:pPr>
              <w:pStyle w:val="TableContents"/>
              <w:spacing w:before="0" w:after="0"/>
              <w:ind w:left="0" w:right="0" w:hanging="0"/>
              <w:rPr/>
            </w:pPr>
            <w:r>
              <w:rPr/>
              <w:t> </w:t>
            </w:r>
          </w:p>
        </w:tc>
        <w:tc>
          <w:tcPr>
            <w:tcW w:w="763"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76</w:t>
            </w:r>
          </w:p>
        </w:tc>
        <w:tc>
          <w:tcPr>
            <w:tcW w:w="136" w:type="dxa"/>
            <w:tcBorders/>
            <w:shd w:fill="CCEEFF" w:val="clear"/>
            <w:vAlign w:val="center"/>
          </w:tcPr>
          <w:p>
            <w:pPr>
              <w:pStyle w:val="TableContents"/>
              <w:spacing w:before="0" w:after="0"/>
              <w:ind w:left="0" w:right="0" w:hanging="0"/>
              <w:rPr/>
            </w:pPr>
            <w:r>
              <w:rPr/>
              <w:t> </w:t>
            </w:r>
          </w:p>
        </w:tc>
      </w:tr>
      <w:tr>
        <w:trPr/>
        <w:tc>
          <w:tcPr>
            <w:tcW w:w="965" w:type="dxa"/>
            <w:tcBorders/>
            <w:shd w:fill="FFFFFF" w:val="clear"/>
            <w:vAlign w:val="center"/>
          </w:tcPr>
          <w:p>
            <w:pPr>
              <w:pStyle w:val="TableContents"/>
              <w:spacing w:before="0" w:after="0"/>
              <w:ind w:left="0" w:right="0" w:hanging="0"/>
              <w:jc w:val="both"/>
              <w:rPr/>
            </w:pPr>
            <w:hyperlink w:anchor="i16">
              <w:r>
                <w:rPr>
                  <w:rStyle w:val="InternetLink"/>
                  <w:rFonts w:ascii="times new roman" w:hAnsi="times new roman"/>
                  <w:sz w:val="20"/>
                </w:rPr>
                <w:t>Item 16.</w:t>
              </w:r>
            </w:hyperlink>
          </w:p>
        </w:tc>
        <w:tc>
          <w:tcPr>
            <w:tcW w:w="8251" w:type="dxa"/>
            <w:tcBorders/>
            <w:shd w:fill="FFFFFF" w:val="clear"/>
            <w:vAlign w:val="center"/>
          </w:tcPr>
          <w:p>
            <w:pPr>
              <w:pStyle w:val="TableContents"/>
              <w:spacing w:before="0" w:after="0"/>
              <w:ind w:left="0" w:right="0" w:hanging="0"/>
              <w:jc w:val="both"/>
              <w:rPr/>
            </w:pPr>
            <w:hyperlink w:anchor="i16">
              <w:r>
                <w:rPr>
                  <w:rStyle w:val="InternetLink"/>
                  <w:rFonts w:ascii="times new roman" w:hAnsi="times new roman"/>
                  <w:sz w:val="20"/>
                </w:rPr>
                <w:t>Form 10-K Summary.</w:t>
              </w:r>
            </w:hyperlink>
          </w:p>
        </w:tc>
        <w:tc>
          <w:tcPr>
            <w:tcW w:w="90" w:type="dxa"/>
            <w:tcBorders/>
            <w:shd w:fill="FFFFFF" w:val="clear"/>
            <w:vAlign w:val="center"/>
          </w:tcPr>
          <w:p>
            <w:pPr>
              <w:pStyle w:val="TableContents"/>
              <w:spacing w:before="0" w:after="0"/>
              <w:ind w:left="0" w:right="0" w:hanging="0"/>
              <w:rPr/>
            </w:pPr>
            <w:r>
              <w:rPr/>
              <w:t> </w:t>
            </w:r>
          </w:p>
        </w:tc>
        <w:tc>
          <w:tcPr>
            <w:tcW w:w="763" w:type="dxa"/>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77</w:t>
            </w:r>
          </w:p>
        </w:tc>
        <w:tc>
          <w:tcPr>
            <w:tcW w:w="136" w:type="dxa"/>
            <w:tcBorders/>
            <w:shd w:fill="FFFFFF" w:val="clear"/>
            <w:vAlign w:val="center"/>
          </w:tcPr>
          <w:p>
            <w:pPr>
              <w:pStyle w:val="TableContents"/>
              <w:spacing w:before="0" w:after="0"/>
              <w:ind w:left="0" w:right="0" w:hanging="0"/>
              <w:rPr/>
            </w:pPr>
            <w:r>
              <w:rPr/>
              <w:t> </w:t>
            </w:r>
          </w:p>
        </w:tc>
      </w:tr>
      <w:tr>
        <w:trPr/>
        <w:tc>
          <w:tcPr>
            <w:tcW w:w="965" w:type="dxa"/>
            <w:tcBorders/>
            <w:shd w:fill="CCEEFF" w:val="clear"/>
            <w:vAlign w:val="center"/>
          </w:tcPr>
          <w:p>
            <w:pPr>
              <w:pStyle w:val="TableContents"/>
              <w:spacing w:before="0" w:after="0"/>
              <w:ind w:left="0" w:right="0" w:hanging="0"/>
              <w:jc w:val="both"/>
              <w:rPr/>
            </w:pPr>
            <w:hyperlink w:anchor="sig">
              <w:r>
                <w:rPr>
                  <w:rStyle w:val="StrongEmphasis"/>
                  <w:rFonts w:ascii="times new roman" w:hAnsi="times new roman"/>
                  <w:sz w:val="20"/>
                </w:rPr>
                <w:t>Signatures</w:t>
              </w:r>
            </w:hyperlink>
          </w:p>
        </w:tc>
        <w:tc>
          <w:tcPr>
            <w:tcW w:w="8251" w:type="dxa"/>
            <w:tcBorders/>
            <w:shd w:fill="CCEEFF" w:val="clear"/>
            <w:vAlign w:val="center"/>
          </w:tcPr>
          <w:p>
            <w:pPr>
              <w:pStyle w:val="TableContents"/>
              <w:spacing w:before="0" w:after="0"/>
              <w:ind w:left="0" w:right="0" w:hanging="0"/>
              <w:jc w:val="both"/>
              <w:rPr/>
            </w:pPr>
            <w:r>
              <w:rPr/>
              <w:t> </w:t>
            </w:r>
          </w:p>
        </w:tc>
        <w:tc>
          <w:tcPr>
            <w:tcW w:w="90" w:type="dxa"/>
            <w:tcBorders/>
            <w:shd w:fill="CCEEFF" w:val="clear"/>
            <w:vAlign w:val="center"/>
          </w:tcPr>
          <w:p>
            <w:pPr>
              <w:pStyle w:val="TableContents"/>
              <w:spacing w:before="0" w:after="0"/>
              <w:ind w:left="0" w:right="0" w:hanging="0"/>
              <w:rPr/>
            </w:pPr>
            <w:r>
              <w:rPr/>
              <w:t> </w:t>
            </w:r>
          </w:p>
        </w:tc>
        <w:tc>
          <w:tcPr>
            <w:tcW w:w="763"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78</w:t>
            </w:r>
          </w:p>
        </w:tc>
        <w:tc>
          <w:tcPr>
            <w:tcW w:w="136"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2</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center"/>
        <w:rPr/>
      </w:pPr>
      <w:bookmarkStart w:id="1" w:name="p1"/>
      <w:bookmarkEnd w:id="1"/>
      <w:r>
        <w:rPr>
          <w:rStyle w:val="StrongEmphasis"/>
          <w:rFonts w:ascii="times new roman" w:hAnsi="times new roman"/>
          <w:sz w:val="20"/>
          <w:u w:val="single"/>
        </w:rPr>
        <w:t>PART I</w:t>
      </w:r>
    </w:p>
    <w:p>
      <w:pPr>
        <w:pStyle w:val="TextBody"/>
        <w:spacing w:before="0" w:after="0"/>
        <w:ind w:left="0" w:right="0" w:hanging="0"/>
        <w:jc w:val="both"/>
        <w:rPr/>
      </w:pPr>
      <w:r>
        <w:rPr/>
        <w:t> </w:t>
      </w:r>
    </w:p>
    <w:p>
      <w:pPr>
        <w:pStyle w:val="TextBody"/>
        <w:spacing w:before="0" w:after="0"/>
        <w:ind w:left="0" w:right="0" w:hanging="0"/>
        <w:jc w:val="both"/>
        <w:rPr/>
      </w:pPr>
      <w:bookmarkStart w:id="2" w:name="forward"/>
      <w:bookmarkEnd w:id="2"/>
      <w:r>
        <w:rPr>
          <w:rStyle w:val="StrongEmphasis"/>
          <w:rFonts w:ascii="times new roman" w:hAnsi="times new roman"/>
          <w:sz w:val="20"/>
          <w:u w:val="single"/>
        </w:rPr>
        <w:t>Forward-Looking Statements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This Annual Report on Form 10-K (the “Annual Report”) contains forward</w:t>
        <w:noBreakHyphen/>
        <w:t>looking statements within the meaning of the Private Securities Litigation Reform Act of 1995. The events described in forward</w:t>
        <w:noBreakHyphen/>
        <w:t>looking statements contained in this Annual Report may not occur. Generally, these statements relate to business plans or strategies, projected or anticipated results or other consequences of our plans or strategies, projected or anticipated results from acquisitions to be made by us, or projections involving anticipated revenues, earnings, costs or other aspects of our operating results. The words “may,” “will,” “expect,” “believe,” “anticipate,” “project,” “plan,” “intend,” “estimate,” and “continue,” and their opposites and similar expressions are intended to identify forward</w:t>
        <w:noBreakHyphen/>
        <w:t>looking statements. We caution you that these statements are not guarantees of future performance or events and are subject to a number of uncertainties, risks and other influences, many of which are beyond our control, which may influence the accuracy of the statements and the projections upon which the statements are based. Factors which may cause actual results and outcomes to differ materially from those contained in the forward-looking statements include, but are not limited to, the risks and uncertainties discussed in Part I Item 1A (“Risk Factors”) of this Annual Report.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Any one or more of these uncertainties, risks and other influences could materially affect our results of operations and whether forward</w:t>
        <w:noBreakHyphen/>
        <w:t>looking statements made by us ultimately prove to be accurate. Our actual results, performance and achievements could differ materially from those expressed or implied in these forward</w:t>
        <w:noBreakHyphen/>
        <w:t>looking statements. We undertake no obligation to publicly update or revise any forward</w:t>
        <w:noBreakHyphen/>
        <w:t>looking statements, whether from new information, future events or otherwise except as required by law.</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3</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both"/>
        <w:rPr/>
      </w:pPr>
      <w:bookmarkStart w:id="3" w:name="i1"/>
      <w:bookmarkEnd w:id="3"/>
      <w:r>
        <w:rPr>
          <w:rStyle w:val="StrongEmphasis"/>
          <w:rFonts w:ascii="times new roman" w:hAnsi="times new roman"/>
          <w:sz w:val="20"/>
          <w:u w:val="single"/>
        </w:rPr>
        <w:t>ITEM 1.</w:t>
      </w:r>
      <w:r>
        <w:rPr>
          <w:rFonts w:ascii="times new roman" w:hAnsi="times new roman"/>
          <w:sz w:val="20"/>
        </w:rPr>
        <w:t xml:space="preserve"> </w:t>
      </w:r>
      <w:r>
        <w:rPr>
          <w:rStyle w:val="StrongEmphasis"/>
          <w:rFonts w:ascii="times new roman" w:hAnsi="times new roman"/>
          <w:sz w:val="20"/>
          <w:u w:val="single"/>
        </w:rPr>
        <w:t>BUSINESS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 xml:space="preserve">(a) </w:t>
      </w:r>
      <w:r>
        <w:rPr>
          <w:rStyle w:val="StrongEmphasis"/>
          <w:rFonts w:ascii="times new roman" w:hAnsi="times new roman"/>
          <w:sz w:val="20"/>
          <w:u w:val="single"/>
        </w:rPr>
        <w:t>Business Development</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General</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As used in this Annual Report, references to the “Company,” “we,” “us,” or “our” refer to Kingstone Companies, Inc. (“Kingstone”) and its subsidiaries.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offer property and casualty insurance products to individuals through our wholly owned subsidiary, Kingstone Insurance Company (“KICO”), domiciled in the state of New York. KICO is a licensed property and casualty insurance company in New York, New Jersey, Connecticut, Massachusetts, Pennsylvania, Rhode Island, Maine, and New Hampshire. KICO is currently offering its property and casualty insurance products in New York, New Jersey, Rhode Island, Massachusetts and Connecticut.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addition, through our subsidiary, Cosi Agency, Inc. (“Cosi”), a multi-state licensed general agency, we access alternative distribution channels. See “Distribution” below for a discussion of our distribution channels. Cosi receives commission revenue from KICO for the policies it places with others and pays commissions to these agencies. Cosi retains the profit between the commission revenue received and the commission expense paid. Net Cosi revenue is deducted against commission expense and Cosi-related expenses are included in other operating expenses. Cosi-related operating expenses are not included in our stand-alone insurance underwriting business and, accordingly, its expenses are not included in the calculation of our combined ratio as described below.</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Recent Developments</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Developments During 2022</w:t>
      </w:r>
    </w:p>
    <w:p>
      <w:pPr>
        <w:pStyle w:val="TextBody"/>
        <w:spacing w:before="0" w:after="0"/>
        <w:ind w:left="0" w:right="0" w:hanging="0"/>
        <w:jc w:val="both"/>
        <w:rPr/>
      </w:pPr>
      <w:r>
        <w:rPr/>
        <w:t> </w:t>
      </w:r>
    </w:p>
    <w:tbl>
      <w:tblPr>
        <w:tblW w:w="1795" w:type="dxa"/>
        <w:jc w:val="left"/>
        <w:tblInd w:w="0" w:type="dxa"/>
        <w:tblCellMar>
          <w:top w:w="0" w:type="dxa"/>
          <w:left w:w="0" w:type="dxa"/>
          <w:bottom w:w="0" w:type="dxa"/>
          <w:right w:w="0" w:type="dxa"/>
        </w:tblCellMar>
      </w:tblPr>
      <w:tblGrid>
        <w:gridCol w:w="105"/>
        <w:gridCol w:w="125"/>
        <w:gridCol w:w="1565"/>
      </w:tblGrid>
      <w:tr>
        <w:trPr/>
        <w:tc>
          <w:tcPr>
            <w:tcW w:w="105" w:type="dxa"/>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rFonts w:ascii="symbol" w:hAnsi="symbol"/>
                <w:sz w:val="20"/>
              </w:rPr>
            </w:pPr>
            <w:r>
              <w:rPr>
                <w:rFonts w:ascii="symbol" w:hAnsi="symbol"/>
                <w:sz w:val="20"/>
              </w:rPr>
              <w:t>·</w:t>
            </w:r>
          </w:p>
        </w:tc>
        <w:tc>
          <w:tcPr>
            <w:tcW w:w="1565" w:type="dxa"/>
            <w:tcBorders/>
            <w:shd w:fill="auto" w:val="clear"/>
            <w:vAlign w:val="center"/>
          </w:tcPr>
          <w:p>
            <w:pPr>
              <w:pStyle w:val="TableContents"/>
              <w:spacing w:before="0" w:after="283"/>
              <w:rPr/>
            </w:pPr>
            <w:r>
              <w:rPr>
                <w:rStyle w:val="Emphasis"/>
              </w:rPr>
              <w:t>Debt Exchange</w:t>
            </w:r>
          </w:p>
        </w:tc>
      </w:tr>
    </w:tbl>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On December 9, 2022, we entered into a Note and Warrant Exchange Agreement (the “Exchange Agreement”) with several holders (the “Exchanging Noteholders”) of our outstanding 5.50% Senior Notes due 2022 (the “2017 Notes”). On the date of the Exchange Agreement, the Exchanging Noteholders held 2017 Notes in the aggregate principal amount of $21,545,000 of the $30,000,000 aggregate principal amount of 2017 Notes then outstanding.</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At the closing of the Exchange Agreement, the Exchanging Noteholders exchanged their respective 2017 Notes for, among other things, new 12.0% Senior Notes due December 30, 2024 in the aggregate principal amount of $19,950,000 (the “2022 Notes”).</w:t>
      </w:r>
    </w:p>
    <w:p>
      <w:pPr>
        <w:pStyle w:val="TextBody"/>
        <w:spacing w:before="0" w:after="0"/>
        <w:ind w:left="1440" w:right="0" w:hanging="0"/>
        <w:jc w:val="both"/>
        <w:rPr/>
      </w:pPr>
      <w:r>
        <w:rPr/>
        <w:t> </w:t>
      </w:r>
    </w:p>
    <w:tbl>
      <w:tblPr>
        <w:tblW w:w="3730" w:type="dxa"/>
        <w:jc w:val="left"/>
        <w:tblInd w:w="0" w:type="dxa"/>
        <w:tblCellMar>
          <w:top w:w="0" w:type="dxa"/>
          <w:left w:w="0" w:type="dxa"/>
          <w:bottom w:w="0" w:type="dxa"/>
          <w:right w:w="0" w:type="dxa"/>
        </w:tblCellMar>
      </w:tblPr>
      <w:tblGrid>
        <w:gridCol w:w="105"/>
        <w:gridCol w:w="125"/>
        <w:gridCol w:w="3500"/>
      </w:tblGrid>
      <w:tr>
        <w:trPr/>
        <w:tc>
          <w:tcPr>
            <w:tcW w:w="105" w:type="dxa"/>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rFonts w:ascii="symbol" w:hAnsi="symbol"/>
                <w:sz w:val="20"/>
              </w:rPr>
            </w:pPr>
            <w:r>
              <w:rPr>
                <w:rFonts w:ascii="symbol" w:hAnsi="symbol"/>
                <w:sz w:val="20"/>
              </w:rPr>
              <w:t>·</w:t>
            </w:r>
          </w:p>
        </w:tc>
        <w:tc>
          <w:tcPr>
            <w:tcW w:w="3500" w:type="dxa"/>
            <w:tcBorders/>
            <w:shd w:fill="auto" w:val="clear"/>
            <w:vAlign w:val="center"/>
          </w:tcPr>
          <w:p>
            <w:pPr>
              <w:pStyle w:val="TableContents"/>
              <w:spacing w:before="0" w:after="283"/>
              <w:rPr/>
            </w:pPr>
            <w:r>
              <w:rPr>
                <w:rStyle w:val="Emphasis"/>
              </w:rPr>
              <w:t>Catastrophe Reinsurance Coverage</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Effective July 1, 2022, KICO decreased the top limit of its catastrophe reinsurance coverage from $500,000,000 to $345,000,000, which, at the time, equated to more than a 1-in-100 year storm event according to the primary industry catastrophe model that we follow.</w:t>
      </w:r>
    </w:p>
    <w:p>
      <w:pPr>
        <w:pStyle w:val="TextBody"/>
        <w:spacing w:before="0" w:after="0"/>
        <w:ind w:left="0" w:right="0" w:firstLine="72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4</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tbl>
      <w:tblPr>
        <w:tblW w:w="1945" w:type="dxa"/>
        <w:jc w:val="left"/>
        <w:tblInd w:w="0" w:type="dxa"/>
        <w:tblCellMar>
          <w:top w:w="0" w:type="dxa"/>
          <w:left w:w="0" w:type="dxa"/>
          <w:bottom w:w="0" w:type="dxa"/>
          <w:right w:w="0" w:type="dxa"/>
        </w:tblCellMar>
      </w:tblPr>
      <w:tblGrid>
        <w:gridCol w:w="105"/>
        <w:gridCol w:w="125"/>
        <w:gridCol w:w="1715"/>
      </w:tblGrid>
      <w:tr>
        <w:trPr/>
        <w:tc>
          <w:tcPr>
            <w:tcW w:w="105" w:type="dxa"/>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rFonts w:ascii="symbol" w:hAnsi="symbol"/>
                <w:sz w:val="20"/>
              </w:rPr>
            </w:pPr>
            <w:r>
              <w:rPr>
                <w:rFonts w:ascii="symbol" w:hAnsi="symbol"/>
                <w:sz w:val="20"/>
              </w:rPr>
              <w:t>·</w:t>
            </w:r>
          </w:p>
        </w:tc>
        <w:tc>
          <w:tcPr>
            <w:tcW w:w="1715" w:type="dxa"/>
            <w:tcBorders/>
            <w:shd w:fill="auto" w:val="clear"/>
            <w:vAlign w:val="center"/>
          </w:tcPr>
          <w:p>
            <w:pPr>
              <w:pStyle w:val="TableContents"/>
              <w:spacing w:before="0" w:after="283"/>
              <w:rPr/>
            </w:pPr>
            <w:r>
              <w:rPr>
                <w:rStyle w:val="Emphasis"/>
              </w:rPr>
              <w:t>A.M. Best Rating</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July 2022, A.M. Best downgraded KICO’s financial strength rating from B+ (Good) to B (Fair) and Long-Term Issuer Credit Rating (ICR) from “bbb-” (Good) to “bb” (Fair) due to a significant deterioration in KICO’s risk-adjusted capitalization. Such deterioration was driven by a sizeable increase in KICO’s net probable maximum loss (PML) as a result of its latest reinsurance renewal and a decline in surplus from weather-related losses and dividend payments by KICO in 2022. The outlook for each of these credit ratings was revised to “negative” from “stable”. Concurrently, A.M. Best’s public rating for Kingstone Companies, Inc. was withdrawn.</w:t>
      </w:r>
    </w:p>
    <w:p>
      <w:pPr>
        <w:pStyle w:val="TextBody"/>
        <w:spacing w:before="0" w:after="0"/>
        <w:ind w:left="0" w:right="0" w:firstLine="720"/>
        <w:jc w:val="both"/>
        <w:rPr/>
      </w:pPr>
      <w:r>
        <w:rPr/>
        <w:t> </w:t>
      </w:r>
    </w:p>
    <w:p>
      <w:pPr>
        <w:pStyle w:val="TextBody"/>
        <w:spacing w:before="0" w:after="0"/>
        <w:ind w:left="0" w:right="0" w:firstLine="720"/>
        <w:jc w:val="both"/>
        <w:rPr/>
      </w:pPr>
      <w:r>
        <w:rPr>
          <w:rStyle w:val="Emphasis"/>
          <w:rFonts w:ascii="times new roman" w:hAnsi="times new roman"/>
          <w:sz w:val="20"/>
        </w:rPr>
        <w:t>Developments During 2021</w:t>
      </w:r>
    </w:p>
    <w:p>
      <w:pPr>
        <w:pStyle w:val="TextBody"/>
        <w:spacing w:before="0" w:after="0"/>
        <w:ind w:left="0" w:right="0" w:hanging="0"/>
        <w:jc w:val="both"/>
        <w:rPr/>
      </w:pPr>
      <w:r>
        <w:rPr/>
        <w:t> </w:t>
      </w:r>
    </w:p>
    <w:tbl>
      <w:tblPr>
        <w:tblW w:w="2785" w:type="dxa"/>
        <w:jc w:val="left"/>
        <w:tblInd w:w="0" w:type="dxa"/>
        <w:tblCellMar>
          <w:top w:w="0" w:type="dxa"/>
          <w:left w:w="0" w:type="dxa"/>
          <w:bottom w:w="0" w:type="dxa"/>
          <w:right w:w="0" w:type="dxa"/>
        </w:tblCellMar>
      </w:tblPr>
      <w:tblGrid>
        <w:gridCol w:w="105"/>
        <w:gridCol w:w="125"/>
        <w:gridCol w:w="2555"/>
      </w:tblGrid>
      <w:tr>
        <w:trPr/>
        <w:tc>
          <w:tcPr>
            <w:tcW w:w="105" w:type="dxa"/>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rFonts w:ascii="symbol" w:hAnsi="symbol"/>
                <w:sz w:val="20"/>
              </w:rPr>
            </w:pPr>
            <w:r>
              <w:rPr>
                <w:rFonts w:ascii="symbol" w:hAnsi="symbol"/>
                <w:sz w:val="20"/>
              </w:rPr>
              <w:t>·</w:t>
            </w:r>
          </w:p>
        </w:tc>
        <w:tc>
          <w:tcPr>
            <w:tcW w:w="2555" w:type="dxa"/>
            <w:tcBorders/>
            <w:shd w:fill="auto" w:val="clear"/>
            <w:vAlign w:val="center"/>
          </w:tcPr>
          <w:p>
            <w:pPr>
              <w:pStyle w:val="TableContents"/>
              <w:spacing w:before="0" w:after="283"/>
              <w:rPr/>
            </w:pPr>
            <w:r>
              <w:rPr>
                <w:rStyle w:val="Emphasis"/>
              </w:rPr>
              <w:t>Quota Share Reinsurance</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Effective December 31, 2021, KICO entered into a 30% quota share reinsurance treaty for its personal lines business, which primarily consists of homeowners’ and dwelling fire policies, covering the period from December 31, 2021 through January 1, 2023.</w:t>
      </w:r>
    </w:p>
    <w:p>
      <w:pPr>
        <w:pStyle w:val="TextBody"/>
        <w:spacing w:before="0" w:after="0"/>
        <w:ind w:left="1440" w:right="0" w:hanging="0"/>
        <w:jc w:val="both"/>
        <w:rPr/>
      </w:pPr>
      <w:r>
        <w:rPr/>
        <w:t> </w:t>
      </w:r>
    </w:p>
    <w:tbl>
      <w:tblPr>
        <w:tblW w:w="3730" w:type="dxa"/>
        <w:jc w:val="left"/>
        <w:tblInd w:w="0" w:type="dxa"/>
        <w:tblCellMar>
          <w:top w:w="0" w:type="dxa"/>
          <w:left w:w="0" w:type="dxa"/>
          <w:bottom w:w="0" w:type="dxa"/>
          <w:right w:w="0" w:type="dxa"/>
        </w:tblCellMar>
      </w:tblPr>
      <w:tblGrid>
        <w:gridCol w:w="105"/>
        <w:gridCol w:w="125"/>
        <w:gridCol w:w="3500"/>
      </w:tblGrid>
      <w:tr>
        <w:trPr/>
        <w:tc>
          <w:tcPr>
            <w:tcW w:w="105" w:type="dxa"/>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rFonts w:ascii="symbol" w:hAnsi="symbol"/>
                <w:sz w:val="20"/>
              </w:rPr>
            </w:pPr>
            <w:r>
              <w:rPr>
                <w:rFonts w:ascii="symbol" w:hAnsi="symbol"/>
                <w:sz w:val="20"/>
              </w:rPr>
              <w:t>·</w:t>
            </w:r>
          </w:p>
        </w:tc>
        <w:tc>
          <w:tcPr>
            <w:tcW w:w="3500" w:type="dxa"/>
            <w:tcBorders/>
            <w:shd w:fill="auto" w:val="clear"/>
            <w:vAlign w:val="center"/>
          </w:tcPr>
          <w:p>
            <w:pPr>
              <w:pStyle w:val="TableContents"/>
              <w:spacing w:before="0" w:after="283"/>
              <w:rPr/>
            </w:pPr>
            <w:r>
              <w:rPr>
                <w:rStyle w:val="Emphasis"/>
              </w:rPr>
              <w:t>Catastrophe Reinsurance Coverage</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Effective July 1, 2021, KICO increased the top limit of its catastrophe reinsurance coverage from $485,000,000 to $500,000,000, which, at the time, equated to more than a 1-in-130 year storm event according to the primary industry catastrophe model that we follow.</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Additionally, effective October 20, 2021, KICO purchased stub coverage to reduce its retention from a catastrophe to $5 million covering the period October 20, 2021 through December 31, 2021.</w:t>
      </w:r>
    </w:p>
    <w:p>
      <w:pPr>
        <w:pStyle w:val="TextBody"/>
        <w:spacing w:before="0" w:after="0"/>
        <w:ind w:left="1440" w:right="0" w:hanging="0"/>
        <w:jc w:val="both"/>
        <w:rPr/>
      </w:pPr>
      <w:r>
        <w:rPr/>
        <w:t> </w:t>
      </w:r>
    </w:p>
    <w:tbl>
      <w:tblPr>
        <w:tblW w:w="1945" w:type="dxa"/>
        <w:jc w:val="left"/>
        <w:tblInd w:w="0" w:type="dxa"/>
        <w:tblCellMar>
          <w:top w:w="0" w:type="dxa"/>
          <w:left w:w="0" w:type="dxa"/>
          <w:bottom w:w="0" w:type="dxa"/>
          <w:right w:w="0" w:type="dxa"/>
        </w:tblCellMar>
      </w:tblPr>
      <w:tblGrid>
        <w:gridCol w:w="105"/>
        <w:gridCol w:w="125"/>
        <w:gridCol w:w="1715"/>
      </w:tblGrid>
      <w:tr>
        <w:trPr/>
        <w:tc>
          <w:tcPr>
            <w:tcW w:w="105" w:type="dxa"/>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rFonts w:ascii="symbol" w:hAnsi="symbol"/>
                <w:sz w:val="20"/>
              </w:rPr>
            </w:pPr>
            <w:r>
              <w:rPr>
                <w:rFonts w:ascii="symbol" w:hAnsi="symbol"/>
                <w:sz w:val="20"/>
              </w:rPr>
              <w:t>·</w:t>
            </w:r>
          </w:p>
        </w:tc>
        <w:tc>
          <w:tcPr>
            <w:tcW w:w="1715" w:type="dxa"/>
            <w:tcBorders/>
            <w:shd w:fill="auto" w:val="clear"/>
            <w:vAlign w:val="center"/>
          </w:tcPr>
          <w:p>
            <w:pPr>
              <w:pStyle w:val="TableContents"/>
              <w:spacing w:before="0" w:after="283"/>
              <w:rPr/>
            </w:pPr>
            <w:r>
              <w:rPr>
                <w:rStyle w:val="Emphasis"/>
              </w:rPr>
              <w:t>A.M. Best Rating</w:t>
            </w:r>
          </w:p>
        </w:tc>
      </w:tr>
    </w:tbl>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In August 2021, A.M. Best downgraded KICO’s financial strength rating from B++ (Good) to B+ (Good) and Long-Term Issuer Credit Rating (ICR) from “bbb” (Good) to “bbb-” (Good) due to a revision of operating performance to adequate from strong which reflects volatility from underwriting results caused by weather-related losses and loss reserve strengthening. The outlook for each of these credit ratings was revised from “negative” to “stable”.</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 xml:space="preserve">(b) </w:t>
      </w:r>
      <w:r>
        <w:rPr>
          <w:rStyle w:val="StrongEmphasis"/>
          <w:rFonts w:ascii="times new roman" w:hAnsi="times new roman"/>
          <w:sz w:val="20"/>
          <w:u w:val="single"/>
        </w:rPr>
        <w:t>Business</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Property and Casualty Insurance</w:t>
      </w:r>
    </w:p>
    <w:p>
      <w:pPr>
        <w:pStyle w:val="TextBody"/>
        <w:spacing w:before="0" w:after="0"/>
        <w:ind w:left="0" w:right="0" w:hanging="0"/>
        <w:jc w:val="both"/>
        <w:rPr/>
      </w:pPr>
      <w:r>
        <w:rPr/>
        <w:t> </w:t>
      </w:r>
    </w:p>
    <w:p>
      <w:pPr>
        <w:pStyle w:val="TextBody"/>
        <w:spacing w:before="0" w:after="0"/>
        <w:ind w:left="0" w:right="0" w:firstLine="675"/>
        <w:jc w:val="both"/>
        <w:rPr/>
      </w:pPr>
      <w:r>
        <w:rPr>
          <w:rStyle w:val="Emphasis"/>
          <w:rFonts w:ascii="times new roman" w:hAnsi="times new roman"/>
          <w:sz w:val="20"/>
        </w:rPr>
        <w:t>Overview</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Property and casualty insurance companies provide policies in exchange for premiums paid by their customers (the “insureds”). An insurance policy is a contract between the insurance company and its insureds where the insurance company agrees to pay for losses that are covered under the contract. Such contracts are subject to legal interpretation by courts, sometimes involving legislative rulings and/or arbitration. Property insurance generally covers the financial consequences of accidental losses to the insured’s property, such as a home and the personal property in it, or a business owner’s building, inventory and equipment. Casualty insurance (also referred to as liability insurance) generally covers the financial consequences related to the legal liability of an individual or an organization resulting from negligent acts and omissions that cause bodily injury and/or property damage to a third party. Claims for property coverage generally are reported and settled in a relatively short period of time, whereas those for casualty coverage may take many years to settle.</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5</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generate revenues from earned premiums, ceding commissions from quota share reinsurance, net investment income generated from our investment portfolio, and net realized gains and losses on investment securities. We also collect a variety of policy fees including installment fees, reinstatement fees, and non-sufficient fund fees related to situations involving extended premium payment plans. Earned premiums represent premiums received from insureds, which are recognized as revenue over the period of time that coverage is provided (i.e., ratably over the life of the policy). All of our policies are 12 month policies; therefore, a significant period of time can elapse between the receipt of insurance premiums and the payment of claims. During this time, KICO invests the premiums, earning investment income and generating net realized and unrealized gains and losses on associated investments.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Insurance companies incur a significant amount of their total expenses from insured losses, which are commonly referred to as claims. In settling insured losses, various loss adjustment expenses (“LAE”) are incurred such as insurance adjusters’ fees and legal expenses. In addition, insurance companies incur policy acquisition expenses, such as commissions paid to producers, premium taxes, and other expenses related to the underwriting process, including their employees’ compensation and benefits.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key measure of relative underwriting performance for an insurance company is the combined ratio. An insurance company’s combined ratio is calculated by taking the ratio of incurred loss and LAE to earned premiums (the “loss and LAE ratio”) and adding it to the ratio of policy acquisition and other underwriting expenses to earned premiums (the “expense ratio”). A combined ratio under 100% indicates that an insurance company is generating an underwriting profit prior to the impact of investment income. After considering investment income and investment gains or losses, insurance companies operating at a combined ratio of greater than 100% can also be profitable.</w:t>
      </w:r>
    </w:p>
    <w:p>
      <w:pPr>
        <w:pStyle w:val="TextBody"/>
        <w:spacing w:before="0" w:after="0"/>
        <w:ind w:left="0" w:right="0" w:hanging="0"/>
        <w:jc w:val="both"/>
        <w:rPr/>
      </w:pPr>
      <w:r>
        <w:rPr/>
        <w:t> </w:t>
      </w:r>
    </w:p>
    <w:p>
      <w:pPr>
        <w:pStyle w:val="TextBody"/>
        <w:spacing w:before="0" w:after="0"/>
        <w:ind w:left="0" w:right="0" w:hanging="0"/>
        <w:jc w:val="both"/>
        <w:rPr/>
      </w:pPr>
      <w:r>
        <w:rPr/>
        <w:t xml:space="preserve">                </w:t>
      </w:r>
      <w:r>
        <w:rPr>
          <w:rStyle w:val="Emphasis"/>
          <w:rFonts w:ascii="times new roman" w:hAnsi="times new roman"/>
          <w:sz w:val="20"/>
        </w:rPr>
        <w:t>Business; Strategy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are a multi-line regional property and casualty insurance company writing business exclusively through retail and wholesale agents and brokers (“producers”) appointed by our wholly owned subsidiary, KICO. We are licensed to write insurance policies in New York, New Jersey, Connecticut, Maine, Massachusetts, New Hampshire, Pennsylvania and Rhode Island. We are actively writing business in New York, New Jersey, Rhode Island, Massachusetts and Connecticut.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Additionally, our subsidiary, Cosi, a multi-state licensed general agency, receives commission revenue from KICO for the policies it places with others and pays commissions to these agencies.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We seek to deliver an attractive return on capital and to provide consistent earnings growth through underwriting profits and income from our investment portfolio. Our goal is to allocate capital efficiently to those lines of business that generate sustainable underwriting profits and to avoid lines of business for which an underwriting profit is not likely. Our strategy is to be the preferred multi-line property and casualty insurance company for selected producers in the geographic markets in which we operate. We believe producers place profitable business with us because we provide excellent, consistent service to insureds and claimants. Producers also value our financial stability coupled with competitive rate and commission structures.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6</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principal objectives are to grow profitably while managing risk through prudent use of reinsurance in order to strengthen our capital base. We generate underwriting income through adequate pricing of insurance policies and by effectively managing our other underwriting and operating expenses. We are pursuing profitable growth through existing producers in existing markets, by developing new geographic markets and producer relationships, and by introducing niche products that are relevant to our producers and insureds.</w:t>
      </w:r>
    </w:p>
    <w:p>
      <w:pPr>
        <w:pStyle w:val="TextBody"/>
        <w:spacing w:before="0" w:after="0"/>
        <w:ind w:left="0" w:right="0" w:hanging="0"/>
        <w:jc w:val="both"/>
        <w:rPr/>
      </w:pPr>
      <w:r>
        <w:rPr/>
        <w:t> </w:t>
      </w:r>
      <w:r>
        <w:rPr>
          <w:rFonts w:ascii="times new roman" w:hAnsi="times new roman"/>
          <w:sz w:val="20"/>
        </w:rPr>
        <w:t xml:space="preserve">For the year ended December 31, 2022, our gross written premiums totaled $201.2 million, an increase of 10.8% from the $181.7 million in gross written premiums for the year ended December 31, 2021. </w:t>
      </w:r>
    </w:p>
    <w:p>
      <w:pPr>
        <w:pStyle w:val="TextBody"/>
        <w:spacing w:before="0" w:after="0"/>
        <w:ind w:left="0" w:right="0" w:firstLine="720"/>
        <w:jc w:val="both"/>
        <w:rPr/>
      </w:pPr>
      <w:r>
        <w:rPr/>
        <w:t> </w:t>
      </w:r>
    </w:p>
    <w:p>
      <w:pPr>
        <w:pStyle w:val="TextBody"/>
        <w:spacing w:before="0" w:after="0"/>
        <w:ind w:left="0" w:right="0" w:firstLine="720"/>
        <w:jc w:val="both"/>
        <w:rPr/>
      </w:pPr>
      <w:r>
        <w:rPr>
          <w:rStyle w:val="Emphasis"/>
          <w:rFonts w:ascii="times new roman" w:hAnsi="times new roman"/>
          <w:sz w:val="20"/>
        </w:rPr>
        <w:t>Product Lines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product lines include the following:</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 xml:space="preserve">Personal lines - </w:t>
      </w:r>
      <w:r>
        <w:rPr>
          <w:rFonts w:ascii="times new roman" w:hAnsi="times new roman"/>
          <w:sz w:val="20"/>
        </w:rPr>
        <w:t>Our largest line of business is personal lines, consisting of homeowners and dwelling fire multi-peril, cooperative/condominiums, renters, and personal umbrella policies. Personal lines policies accounted for 93.5% of our gross written premiums for the year ended December 31, 2022.</w:t>
      </w:r>
    </w:p>
    <w:p>
      <w:pPr>
        <w:pStyle w:val="TextBody"/>
        <w:spacing w:before="0" w:after="0"/>
        <w:ind w:left="0" w:right="0" w:hanging="0"/>
        <w:jc w:val="both"/>
        <w:rPr/>
      </w:pPr>
      <w:r>
        <w:rPr/>
        <w:t> </w:t>
      </w:r>
    </w:p>
    <w:p>
      <w:pPr>
        <w:pStyle w:val="TextBody"/>
        <w:spacing w:before="0" w:after="0"/>
        <w:ind w:left="0" w:right="0" w:firstLine="675"/>
        <w:jc w:val="both"/>
        <w:rPr/>
      </w:pPr>
      <w:r>
        <w:rPr>
          <w:rStyle w:val="Emphasis"/>
          <w:rFonts w:ascii="times new roman" w:hAnsi="times new roman"/>
          <w:sz w:val="20"/>
        </w:rPr>
        <w:t xml:space="preserve">Livery physical damage - </w:t>
      </w:r>
      <w:r>
        <w:rPr>
          <w:rFonts w:ascii="times new roman" w:hAnsi="times new roman"/>
          <w:sz w:val="20"/>
        </w:rPr>
        <w:t>We write for-hire vehicle physical damage only policies for livery and car service vehicles and taxicabs, primarily based in New York City. These policies insure only the physical damage portion of insurance for such vehicles, with no liability coverage included. These policies accounted for 6.4% of our gross written premiums for the year ended December 31, 2022.</w:t>
      </w:r>
    </w:p>
    <w:p>
      <w:pPr>
        <w:pStyle w:val="TextBody"/>
        <w:spacing w:before="0" w:after="0"/>
        <w:ind w:left="0" w:right="0" w:hanging="0"/>
        <w:rPr/>
      </w:pPr>
      <w:r>
        <w:rPr/>
        <w:t>   </w:t>
      </w:r>
    </w:p>
    <w:p>
      <w:pPr>
        <w:pStyle w:val="TextBody"/>
        <w:spacing w:before="0" w:after="0"/>
        <w:ind w:left="0" w:right="0" w:firstLine="720"/>
        <w:jc w:val="both"/>
        <w:rPr/>
      </w:pPr>
      <w:r>
        <w:rPr>
          <w:rStyle w:val="Emphasis"/>
          <w:rFonts w:ascii="times new roman" w:hAnsi="times new roman"/>
          <w:sz w:val="20"/>
        </w:rPr>
        <w:t>Other</w:t>
      </w:r>
      <w:r>
        <w:rPr>
          <w:rFonts w:ascii="times new roman" w:hAnsi="times new roman"/>
          <w:sz w:val="20"/>
        </w:rPr>
        <w:t xml:space="preserve"> - We write canine legal liability policies and have a small participation in mandatory state joint underwriting associations. These policies accounted for 0.1% of our gross written premiums for the year ended December 31, 2022.</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Our Competitive Strengths</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Long History of Operations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KICO has been in operation in the State of New York for over 135 years. We have consistently sought to grow the amount of profitable business that we write by introducing new products, increasing volume written with our Select producers in existing markets, and developing new producer relationships and markets. KICO has earned an underwriting profit in six of the past ten years, including in 2012 and 2013 when our financial results were adversely impacted by Superstorm Sandy. The extensive heritage of our insurance company subsidiary and our commitment to the markets in which we operate is a competitive advantage with producers and insureds.</w:t>
      </w:r>
    </w:p>
    <w:p>
      <w:pPr>
        <w:pStyle w:val="TextBody"/>
        <w:spacing w:before="0" w:after="0"/>
        <w:ind w:left="0" w:right="0" w:hanging="0"/>
        <w:rPr/>
      </w:pPr>
      <w:r>
        <w:rPr/>
        <w:t>  </w:t>
      </w:r>
    </w:p>
    <w:p>
      <w:pPr>
        <w:pStyle w:val="TextBody"/>
        <w:spacing w:before="0" w:after="0"/>
        <w:ind w:left="0" w:right="0" w:firstLine="720"/>
        <w:jc w:val="both"/>
        <w:rPr/>
      </w:pPr>
      <w:r>
        <w:rPr>
          <w:rStyle w:val="Emphasis"/>
          <w:rFonts w:ascii="times new roman" w:hAnsi="times new roman"/>
          <w:sz w:val="20"/>
        </w:rPr>
        <w:t>Strong Producer Relationships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Within our producers’ offices, we compete with other property and casualty insurance carriers available to those producers. We carefully select the producers that distribute our insurance policies and continuously monitor and evaluate their performance. We believe our insurance producers value their relationships with us because we provide excellent, consistent personal service coupled with competitive rates and commission levels. We have consistently been rated by insurance producers as above average in the important areas of underwriting, claims handling and service.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7</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offer our Select producers access to a variety of personal lines and specialty products, including some that are unique to us. We provide a multi-policy discount on homeowners policies in order to attract and retain more of this multi-line business. We have had a consistent presence in the New York market and our producers value the longevity of the relationship. We believe that the excellent service provided to our Select producers, our broad product offerings, our competitive prices and our financial stability provide a strong foundation for profitable growth.</w:t>
      </w:r>
    </w:p>
    <w:p>
      <w:pPr>
        <w:pStyle w:val="TextBody"/>
        <w:spacing w:before="0" w:after="0"/>
        <w:ind w:left="0" w:right="0" w:firstLine="720"/>
        <w:jc w:val="both"/>
        <w:rPr/>
      </w:pPr>
      <w:r>
        <w:rPr/>
        <w:t>  </w:t>
      </w:r>
    </w:p>
    <w:p>
      <w:pPr>
        <w:pStyle w:val="TextBody"/>
        <w:spacing w:before="0" w:after="0"/>
        <w:ind w:left="0" w:right="0" w:firstLine="720"/>
        <w:jc w:val="both"/>
        <w:rPr/>
      </w:pPr>
      <w:r>
        <w:rPr>
          <w:rStyle w:val="Emphasis"/>
          <w:rFonts w:ascii="times new roman" w:hAnsi="times new roman"/>
          <w:sz w:val="20"/>
        </w:rPr>
        <w:t>Sophisticated Pricing, Underwriting and Risk Management Practices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believe that a significant underwriting advantage exists due to our local market presence and expertise. Our underwriting process evaluates and screens out certain risks based on their prior loss experience, cost of reinsurance, property condition, insurance scoring and driving record, and then is augmented by information collected from physical property inspections. We maintain certain policy exclusions that reduce our exposure to risks that can create severe losses. We target a preferred risk profile in order to reduce adverse selection from risks seeking the lowest premiums and minimal coverage levels.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underwriting procedures, premiums and policy terms support the goal of underwriting profitability of our personal lines policies. We adhere to a quarterly indication process and perform a rate review in each state and for each product at least annually.  In 2022, we introduced our new Select homeowners, condo/tenant and dwelling fire programs in New York.  This product incorporates by-peril rating and a host of new data sources to better match rate to risk.  We have also updated property replacement costs to address inflation.</w:t>
      </w:r>
    </w:p>
    <w:p>
      <w:pPr>
        <w:pStyle w:val="TextBody"/>
        <w:spacing w:before="0" w:after="0"/>
        <w:ind w:left="0" w:right="0" w:firstLine="720"/>
        <w:jc w:val="both"/>
        <w:rPr/>
      </w:pPr>
      <w:r>
        <w:rPr/>
        <w:t> </w:t>
      </w:r>
    </w:p>
    <w:p>
      <w:pPr>
        <w:pStyle w:val="TextBody"/>
        <w:spacing w:before="0" w:after="0"/>
        <w:ind w:left="0" w:right="0" w:firstLine="720"/>
        <w:jc w:val="both"/>
        <w:rPr/>
      </w:pPr>
      <w:r>
        <w:rPr/>
        <w:t> </w:t>
      </w:r>
      <w:r>
        <w:rPr>
          <w:rFonts w:ascii="times new roman" w:hAnsi="times new roman"/>
          <w:sz w:val="20"/>
        </w:rPr>
        <w:t>We manage coastal risk exposure through the use of individual catastrophe risk scoring, the inclusion of hurricane deductibles, non-renewals and the prudent use of reinsurance. We measure our risk exposure regularly and adjust our underwriting to manage growth in our probable maximum loss (PML).</w:t>
      </w:r>
    </w:p>
    <w:p>
      <w:pPr>
        <w:pStyle w:val="TextBody"/>
        <w:spacing w:before="0" w:after="0"/>
        <w:ind w:left="0" w:right="0" w:firstLine="720"/>
        <w:jc w:val="both"/>
        <w:rPr/>
      </w:pPr>
      <w:r>
        <w:rPr/>
        <w:t>  </w:t>
      </w:r>
    </w:p>
    <w:p>
      <w:pPr>
        <w:pStyle w:val="TextBody"/>
        <w:spacing w:before="0" w:after="0"/>
        <w:ind w:left="0" w:right="0" w:firstLine="720"/>
        <w:jc w:val="both"/>
        <w:rPr/>
      </w:pPr>
      <w:r>
        <w:rPr>
          <w:rStyle w:val="Emphasis"/>
          <w:rFonts w:ascii="times new roman" w:hAnsi="times new roman"/>
          <w:sz w:val="20"/>
        </w:rPr>
        <w:t>Effective Utilization of Reinsurance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reinsurance treaties allow us to limit our exposure to the financial impact of catastrophe losses and to reduce our net liability on individual risks. Our reinsurance program is structured to enable us to grow our premium volume while maintaining regulatory capital and other financial ratios within thresholds used for regulatory oversight purposes.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Our reinsurance program also provides income from ceding commissions earned pursuant to quota share reinsurance contracts. The income we earn from ceding commissions subsidizes our fixed operating costs, which consist of other underwriting expenses. Quota share reinsurance treaties transfer a portion of the profit (or loss) associated with the subject insurance policies to the reinsurers. </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Scalable, Low-Cost Operations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We focus on efficiently managing our expenses, and invest in tools and processes that improve the effectiveness of underwriting risks and processing claims. We evaluate the costs and benefits of each new tool or process in order to achieve optimal results. While the majority of our policies are written for risks in downstate New York, our Kingston, New York location provides a low-cost operating environment.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continue to invest in improving our online application and quoting systems for our personal lines products. We have leveraged a paperless workflow management and document storage tool that has improved efficiency and reduced costs. We provide an online payment portal that allows producers and insureds to make payments and to view policy information for all of our products in one location. Our ability to control the growth of operating and other expenses while expanding our operations and growing revenue is a key component of our business model and is important to our financial success.</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8</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2022, we completed the implementation of Kingstone 2.0, an effort to modernize the Company. Kingstone 2.0 included the establishment of a new claims system, the introduction of a new interface for our Select producers and the conversion of all personal lines policies to our new policy management system, among many other initiatives.</w:t>
      </w:r>
    </w:p>
    <w:p>
      <w:pPr>
        <w:pStyle w:val="TextBody"/>
        <w:spacing w:before="0" w:after="0"/>
        <w:ind w:left="0" w:right="0" w:firstLine="720"/>
        <w:jc w:val="both"/>
        <w:rPr/>
      </w:pPr>
      <w:r>
        <w:rPr/>
        <w:t>  </w:t>
      </w:r>
    </w:p>
    <w:p>
      <w:pPr>
        <w:pStyle w:val="TextBody"/>
        <w:spacing w:before="0" w:after="0"/>
        <w:ind w:left="720" w:right="0" w:hanging="0"/>
        <w:jc w:val="both"/>
        <w:rPr/>
      </w:pPr>
      <w:r>
        <w:rPr>
          <w:rStyle w:val="Emphasis"/>
          <w:rFonts w:ascii="times new roman" w:hAnsi="times new roman"/>
          <w:sz w:val="20"/>
        </w:rPr>
        <w:t>Underwriting and Claims Management Philosophy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Our underwriting philosophy is to target niche segments for which we have detailed expertise and can take advantage of market conditions. We monitor results on a regular basis and our Select producers are reviewed by management on at least a quarterly basis.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believe that our rates are appropriately competitive with other carriers in our target markets. We do not seek to grow by competing based solely upon price. We seek to develop long-term relationships with our Select producers who understand and appreciate the path we have chosen. We carefully underwrite our business utilizing industry claims databases, insurance scoring reports, physical inspection of risks and other individual risk underwriting tools. We write homeowners and dwelling fire business in coastal markets and are cognizant of our exposure to hurricanes. We have mitigated this risk through appropriate catastrophe reinsurance and application of hurricane deductibles. We handle claims fairly while ensuring that coverage provisions and exclusions are properly applied. Our claims and underwriting expertise supports our ability to grow our profitable business.</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Distribution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generate business through our relationships with over 700 producers. We carefully select our producers by evaluating numerous factors such as their need for our products, premium production potential, loss history with other insurance companies that they represent, product and market knowledge, and agency size. We only distribute through agents and have never sought to distribute our products direct to the consumer. We monitor and evaluate the performance of our producers through periodic reviews of volume and profitability. Our senior executives are actively involved in managing our producer relationships.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Each producer is assigned to a staff underwriter and the producer can call that underwriter directly on any matter. We believe that the close relationship and personal service received from their underwriters is a principal reason producers place their business with us. Our producers have access to a KICO producer interface and website portal that provides them the ability to quote risks for various products and to review policy forms and underwriting guidelines for all lines of business. We send out frequent “Producer Grams” in order to inform our producers of updates at KICO. </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Competition; Market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insurance industry is highly competitive. We constantly assess and make projections of market conditions and appropriate prices for our products, but we cannot fully know our profitability until all claims have been reported and settled.</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Our policyholders are located primarily in the downstate regions of New York State, but we have grown into other Northeast markets, including New Jersey and Rhode Island during 2017 followed by Massachusetts in 2018 and Connecticut in 2019. In addition, we are licensed to write insurance policies in Maine, New Hampshire and Pennsylvania.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2022, we made the decision to reduce our footprint outside New York due to profitability concerns. We entered these states to diversify Kingstone’s footprint starting in 2017, and they have had a disproportionate impact on our underwriting results, especially in 2022.  We have attempted to address these challenges and achieve profitability with a series of rate and underwriting actions, but the impact we have worked towards was largely nullified by inflation. In addition to a new business moratorium in Massachusetts, New Jersey and Rhode Island, we have been actively non-renewing policies subject to regulatory constraints and have materially lowered commission rates to our producers. These actions should reduce the size of our portfolio outside New York materially.</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9</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2022, KICO was the 15th largest writer of homeowners insurance in the State of New York, according to data compiled by S&amp;P Capital IQ. Based on the same data, in 2022, we had a 1.6% market share for this business. We compete with large national carriers as well as regional and local carriers in the property and casualty marketplace in New York and other states. We believe that many national and regional carriers have chosen to limit their rate of premium growth or to decrease their presence in Northeastern states due to the relatively high coastal population and associated catastrophe risk that exists in the region. Additionally, some of our largest competitors historically have stopped writing business this year.</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Loss and Loss Adjustment Expense Reserves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are required to establish reserves for unpaid losses, including reserves for claims loss adjustment expenses (“LAE”), which represent the expenses of settling and adjusting those claims. These reserves are balance sheet liabilities representing estimates of future amounts required to pay losses and loss expenses for claims that have occurred at or before the balance sheet date, whether already known to us or not yet reported. We establish these reserves after considering all information known to us as of the date they are recorded.</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Loss reserves fall into two categories: case reserves for reported losses and LAE associated with specific reported claims, and reserves for losses and LAE that are incurred but not reported. We establish these two categories of loss reserves as follows:</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Reserves for reported losses</w:t>
      </w:r>
      <w:r>
        <w:rPr>
          <w:rFonts w:ascii="times new roman" w:hAnsi="times new roman"/>
          <w:sz w:val="20"/>
        </w:rPr>
        <w:t xml:space="preserve"> - When a claim is received, we establish a case reserve for the estimated amount of its ultimate settlement and its estimated loss expenses. We establish case reserves based upon the known facts about each claim at the time it is received and we may subsequently adjust case reserves as additional facts and information about the claim develops.</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IBNR reserves</w:t>
      </w:r>
      <w:r>
        <w:rPr>
          <w:rFonts w:ascii="times new roman" w:hAnsi="times new roman"/>
          <w:sz w:val="20"/>
        </w:rPr>
        <w:t xml:space="preserve"> - We also estimate reserves for loss and LAE amounts incurred but not reported (“IBNR”). IBNR reserves are calculated in bulk as an estimate of ultimate losses and LAE less reported losses and LAE. There are two types of IBNR; the first is a provision for claims that have occurred but are not yet reported or known. We refer to this as ‘Pure’ IBNR, and due to the fact that we write primarily quickly reported property lines of business, this type of IBNR does not make up a large portion of KICO’s total IBNR. The second type of IBNR is a provision for expected future development on known claims, from the evaluation date until the time claims are settled and closed. We refer to this as ‘Case Development’ IBNR and it makes up the majority of the IBNR that KICO records. Ultimate losses driving the determination of appropriate IBNR levels are projected by using generally accepted actuarial techniques.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The liability for loss and LAE represents our best estimate of the ultimate cost of all reported and unreported losses that are unpaid as of the balance sheet evaluation date. The liability for loss and LAE is estimated on an undiscounted basis, using individual case-based valuations, statistical analyses, and various actuarial procedures. The projection of future claim payments and reporting patterns is based on an analysis of our historical experience, supplemented by analyses of industry loss data. We believe that the reserves for loss and LAE are adequate to cover the ultimate cost of losses and claims to date. However, because of uncertainty from various sources, including changes in claims settlement patterns and handling procedures, litigation trends, judicial decisions, and economic conditions, actual loss experience may not conform to the assumptions used in determining the estimated amounts for such liabilities at the balance sheet date. As adjustments to these estimates become necessary, they are reflected in the period in which the estimates are changed. Because of the nature of the business historically written, we believe that we have limited exposure to asbestos and environmental claim liabilities.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10</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engage an independent external actuarial specialist (the ‘Appointed Actuary’) to opine on our recorded statutory reserves. The Appointed Actuary estimates a range of ultimate losses, along with a range and recommended central estimate of IBNR reserve amounts. Our carried IBNR reserves are based on an internal actuarial analysis and reflect management’s best estimate of unpaid loss and LAE liabilities, and fall within the range of those determined as reasonable by the Appointed Actuary.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See “Management’s Discussion and Analysis of Financial Condition and Results of Operations – Principal Revenue and Expense Items” in Item 7 of this Annual Report and Note 2 and Note 11 in the accompanying consolidated financial statements for additional information and details regarding loss and LAE reserves. </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 xml:space="preserve">Reconciliation of Loss and Loss Adjustment Expenses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table below shows the reconciliation of loss and LAE on a gross and net basis, reflecting changes in losses incurred and paid losses:</w:t>
      </w:r>
    </w:p>
    <w:p>
      <w:pPr>
        <w:pStyle w:val="TextBody"/>
        <w:spacing w:before="0" w:after="0"/>
        <w:ind w:left="0" w:right="0" w:firstLine="720"/>
        <w:jc w:val="both"/>
        <w:rPr/>
      </w:pPr>
      <w:r>
        <w:rPr/>
        <w:t> </w:t>
      </w:r>
    </w:p>
    <w:tbl>
      <w:tblPr>
        <w:tblW w:w="6050" w:type="dxa"/>
        <w:jc w:val="left"/>
        <w:tblInd w:w="0" w:type="dxa"/>
        <w:tblCellMar>
          <w:top w:w="0" w:type="dxa"/>
          <w:left w:w="0" w:type="dxa"/>
          <w:bottom w:w="0" w:type="dxa"/>
          <w:right w:w="0" w:type="dxa"/>
        </w:tblCellMar>
      </w:tblPr>
      <w:tblGrid>
        <w:gridCol w:w="2735"/>
        <w:gridCol w:w="90"/>
        <w:gridCol w:w="170"/>
        <w:gridCol w:w="1250"/>
        <w:gridCol w:w="125"/>
        <w:gridCol w:w="90"/>
        <w:gridCol w:w="170"/>
        <w:gridCol w:w="1250"/>
        <w:gridCol w:w="170"/>
      </w:tblGrid>
      <w:tr>
        <w:trPr/>
        <w:tc>
          <w:tcPr>
            <w:tcW w:w="273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055" w:type="dxa"/>
            <w:gridSpan w:val="6"/>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Years ended </w:t>
            </w:r>
          </w:p>
        </w:tc>
        <w:tc>
          <w:tcPr>
            <w:tcW w:w="170" w:type="dxa"/>
            <w:tcBorders/>
            <w:shd w:fill="auto" w:val="clear"/>
            <w:vAlign w:val="center"/>
          </w:tcPr>
          <w:p>
            <w:pPr>
              <w:pStyle w:val="TableContents"/>
              <w:spacing w:before="0" w:after="0"/>
              <w:ind w:left="0" w:right="0" w:hanging="0"/>
              <w:rPr/>
            </w:pPr>
            <w:r>
              <w:rPr/>
              <w:t> </w:t>
            </w:r>
          </w:p>
        </w:tc>
      </w:tr>
      <w:tr>
        <w:trPr/>
        <w:tc>
          <w:tcPr>
            <w:tcW w:w="273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055"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w:t>
            </w:r>
          </w:p>
        </w:tc>
        <w:tc>
          <w:tcPr>
            <w:tcW w:w="170" w:type="dxa"/>
            <w:tcBorders/>
            <w:shd w:fill="auto" w:val="clear"/>
            <w:vAlign w:val="center"/>
          </w:tcPr>
          <w:p>
            <w:pPr>
              <w:pStyle w:val="TableContents"/>
              <w:spacing w:before="0" w:after="0"/>
              <w:ind w:left="0" w:right="0" w:hanging="0"/>
              <w:rPr/>
            </w:pPr>
            <w:r>
              <w:rPr/>
              <w:t> </w:t>
            </w:r>
          </w:p>
        </w:tc>
      </w:tr>
      <w:tr>
        <w:trPr/>
        <w:tc>
          <w:tcPr>
            <w:tcW w:w="273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2022</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2021</w:t>
            </w:r>
          </w:p>
        </w:tc>
        <w:tc>
          <w:tcPr>
            <w:tcW w:w="170" w:type="dxa"/>
            <w:tcBorders/>
            <w:shd w:fill="auto" w:val="clear"/>
            <w:vAlign w:val="center"/>
          </w:tcPr>
          <w:p>
            <w:pPr>
              <w:pStyle w:val="TableContents"/>
              <w:spacing w:before="0" w:after="0"/>
              <w:ind w:left="0" w:right="0" w:hanging="0"/>
              <w:rPr/>
            </w:pPr>
            <w:r>
              <w:rPr/>
              <w:t> </w:t>
            </w:r>
          </w:p>
        </w:tc>
      </w:tr>
      <w:tr>
        <w:trPr/>
        <w:tc>
          <w:tcPr>
            <w:tcW w:w="273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1680" w:type="dxa"/>
            <w:gridSpan w:val="4"/>
            <w:tcBorders/>
            <w:shd w:fill="auto" w:val="clear"/>
            <w:vAlign w:val="center"/>
          </w:tcPr>
          <w:p>
            <w:pPr>
              <w:pStyle w:val="TableContents"/>
              <w:spacing w:before="0" w:after="0"/>
              <w:ind w:left="0" w:right="0" w:hanging="0"/>
              <w:rPr/>
            </w:pPr>
            <w:r>
              <w:rPr/>
              <w:t> </w:t>
            </w:r>
          </w:p>
        </w:tc>
      </w:tr>
      <w:tr>
        <w:trPr/>
        <w:tc>
          <w:tcPr>
            <w:tcW w:w="273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Balance at beginning of period</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94,948,745</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82,801,228</w:t>
            </w:r>
          </w:p>
        </w:tc>
        <w:tc>
          <w:tcPr>
            <w:tcW w:w="170" w:type="dxa"/>
            <w:tcBorders/>
            <w:shd w:fill="CCEEFF" w:val="clear"/>
            <w:vAlign w:val="center"/>
          </w:tcPr>
          <w:p>
            <w:pPr>
              <w:pStyle w:val="TableContents"/>
              <w:spacing w:before="0" w:after="0"/>
              <w:ind w:left="0" w:right="0" w:hanging="0"/>
              <w:rPr/>
            </w:pPr>
            <w:r>
              <w:rPr/>
              <w:t> </w:t>
            </w:r>
          </w:p>
        </w:tc>
      </w:tr>
      <w:tr>
        <w:trPr/>
        <w:tc>
          <w:tcPr>
            <w:tcW w:w="273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Less reinsurance recoverables</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(10,637,679</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(20,154,251</w:t>
            </w:r>
          </w:p>
        </w:tc>
        <w:tc>
          <w:tcPr>
            <w:tcW w:w="170" w:type="dxa"/>
            <w:tcBorders/>
            <w:shd w:fill="FFFFFF" w:val="clear"/>
            <w:vAlign w:val="center"/>
          </w:tcPr>
          <w:p>
            <w:pPr>
              <w:pStyle w:val="TableContents"/>
              <w:spacing w:before="0" w:after="283"/>
              <w:rPr/>
            </w:pPr>
            <w:r>
              <w:rPr/>
              <w:t>)</w:t>
            </w:r>
          </w:p>
        </w:tc>
      </w:tr>
      <w:tr>
        <w:trPr/>
        <w:tc>
          <w:tcPr>
            <w:tcW w:w="273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Net balance, beginning of period</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84,311,066</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62,646,977</w:t>
            </w:r>
          </w:p>
        </w:tc>
        <w:tc>
          <w:tcPr>
            <w:tcW w:w="170" w:type="dxa"/>
            <w:tcBorders/>
            <w:shd w:fill="CCEEFF" w:val="clear"/>
            <w:vAlign w:val="center"/>
          </w:tcPr>
          <w:p>
            <w:pPr>
              <w:pStyle w:val="TableContents"/>
              <w:spacing w:before="0" w:after="0"/>
              <w:ind w:left="0" w:right="0" w:hanging="0"/>
              <w:rPr/>
            </w:pPr>
            <w:r>
              <w:rPr/>
              <w:t> </w:t>
            </w:r>
          </w:p>
        </w:tc>
      </w:tr>
      <w:tr>
        <w:trPr/>
        <w:tc>
          <w:tcPr>
            <w:tcW w:w="273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273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Incurred related to:</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273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Current year</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85,690,180</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101,987,855</w:t>
            </w:r>
          </w:p>
        </w:tc>
        <w:tc>
          <w:tcPr>
            <w:tcW w:w="170" w:type="dxa"/>
            <w:tcBorders/>
            <w:shd w:fill="FFFFFF" w:val="clear"/>
            <w:vAlign w:val="center"/>
          </w:tcPr>
          <w:p>
            <w:pPr>
              <w:pStyle w:val="TableContents"/>
              <w:spacing w:before="0" w:after="0"/>
              <w:ind w:left="0" w:right="0" w:hanging="0"/>
              <w:rPr/>
            </w:pPr>
            <w:r>
              <w:rPr/>
              <w:t> </w:t>
            </w:r>
          </w:p>
        </w:tc>
      </w:tr>
      <w:tr>
        <w:trPr/>
        <w:tc>
          <w:tcPr>
            <w:tcW w:w="273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Prior years</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2,699,862</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(15,259</w:t>
            </w:r>
          </w:p>
        </w:tc>
        <w:tc>
          <w:tcPr>
            <w:tcW w:w="170" w:type="dxa"/>
            <w:tcBorders/>
            <w:shd w:fill="CCEEFF" w:val="clear"/>
            <w:vAlign w:val="center"/>
          </w:tcPr>
          <w:p>
            <w:pPr>
              <w:pStyle w:val="TableContents"/>
              <w:spacing w:before="0" w:after="283"/>
              <w:rPr/>
            </w:pPr>
            <w:r>
              <w:rPr/>
              <w:t>)</w:t>
            </w:r>
          </w:p>
        </w:tc>
      </w:tr>
      <w:tr>
        <w:trPr/>
        <w:tc>
          <w:tcPr>
            <w:tcW w:w="273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Total incurred</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88,390,042</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101,972,596</w:t>
            </w:r>
          </w:p>
        </w:tc>
        <w:tc>
          <w:tcPr>
            <w:tcW w:w="170" w:type="dxa"/>
            <w:tcBorders/>
            <w:shd w:fill="FFFFFF" w:val="clear"/>
            <w:vAlign w:val="center"/>
          </w:tcPr>
          <w:p>
            <w:pPr>
              <w:pStyle w:val="TableContents"/>
              <w:spacing w:before="0" w:after="0"/>
              <w:ind w:left="0" w:right="0" w:hanging="0"/>
              <w:rPr/>
            </w:pPr>
            <w:r>
              <w:rPr/>
              <w:t> </w:t>
            </w:r>
          </w:p>
        </w:tc>
      </w:tr>
      <w:tr>
        <w:trPr/>
        <w:tc>
          <w:tcPr>
            <w:tcW w:w="273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273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Paid related to:</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273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Current year</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49,602,585</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60,171,695</w:t>
            </w:r>
          </w:p>
        </w:tc>
        <w:tc>
          <w:tcPr>
            <w:tcW w:w="170" w:type="dxa"/>
            <w:tcBorders/>
            <w:shd w:fill="CCEEFF" w:val="clear"/>
            <w:vAlign w:val="center"/>
          </w:tcPr>
          <w:p>
            <w:pPr>
              <w:pStyle w:val="TableContents"/>
              <w:spacing w:before="0" w:after="0"/>
              <w:ind w:left="0" w:right="0" w:hanging="0"/>
              <w:rPr/>
            </w:pPr>
            <w:r>
              <w:rPr/>
              <w:t> </w:t>
            </w:r>
          </w:p>
        </w:tc>
      </w:tr>
      <w:tr>
        <w:trPr/>
        <w:tc>
          <w:tcPr>
            <w:tcW w:w="273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Prior years</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32,418,510</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20,136,812</w:t>
            </w:r>
          </w:p>
        </w:tc>
        <w:tc>
          <w:tcPr>
            <w:tcW w:w="170" w:type="dxa"/>
            <w:tcBorders/>
            <w:shd w:fill="FFFFFF" w:val="clear"/>
            <w:vAlign w:val="center"/>
          </w:tcPr>
          <w:p>
            <w:pPr>
              <w:pStyle w:val="TableContents"/>
              <w:spacing w:before="0" w:after="0"/>
              <w:ind w:left="0" w:right="0" w:hanging="0"/>
              <w:rPr/>
            </w:pPr>
            <w:r>
              <w:rPr/>
              <w:t> </w:t>
            </w:r>
          </w:p>
        </w:tc>
      </w:tr>
      <w:tr>
        <w:trPr/>
        <w:tc>
          <w:tcPr>
            <w:tcW w:w="273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Total paid</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82,021,095</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80,308,507</w:t>
            </w:r>
          </w:p>
        </w:tc>
        <w:tc>
          <w:tcPr>
            <w:tcW w:w="170" w:type="dxa"/>
            <w:tcBorders/>
            <w:shd w:fill="CCEEFF" w:val="clear"/>
            <w:vAlign w:val="center"/>
          </w:tcPr>
          <w:p>
            <w:pPr>
              <w:pStyle w:val="TableContents"/>
              <w:spacing w:before="0" w:after="0"/>
              <w:ind w:left="0" w:right="0" w:hanging="0"/>
              <w:rPr/>
            </w:pPr>
            <w:r>
              <w:rPr/>
              <w:t> </w:t>
            </w:r>
          </w:p>
        </w:tc>
      </w:tr>
      <w:tr>
        <w:trPr/>
        <w:tc>
          <w:tcPr>
            <w:tcW w:w="273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273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Net balance at end of period</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90,680,013</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84,311,066</w:t>
            </w:r>
          </w:p>
        </w:tc>
        <w:tc>
          <w:tcPr>
            <w:tcW w:w="170" w:type="dxa"/>
            <w:tcBorders/>
            <w:shd w:fill="CCEEFF" w:val="clear"/>
            <w:vAlign w:val="center"/>
          </w:tcPr>
          <w:p>
            <w:pPr>
              <w:pStyle w:val="TableContents"/>
              <w:spacing w:before="0" w:after="0"/>
              <w:ind w:left="0" w:right="0" w:hanging="0"/>
              <w:rPr/>
            </w:pPr>
            <w:r>
              <w:rPr/>
              <w:t> </w:t>
            </w:r>
          </w:p>
        </w:tc>
      </w:tr>
      <w:tr>
        <w:trPr/>
        <w:tc>
          <w:tcPr>
            <w:tcW w:w="273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Add reinsurance recoverables</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27,659,500</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10,637,679</w:t>
            </w:r>
          </w:p>
        </w:tc>
        <w:tc>
          <w:tcPr>
            <w:tcW w:w="170" w:type="dxa"/>
            <w:tcBorders/>
            <w:shd w:fill="FFFFFF" w:val="clear"/>
            <w:vAlign w:val="center"/>
          </w:tcPr>
          <w:p>
            <w:pPr>
              <w:pStyle w:val="TableContents"/>
              <w:spacing w:before="0" w:after="0"/>
              <w:ind w:left="0" w:right="0" w:hanging="0"/>
              <w:rPr/>
            </w:pPr>
            <w:r>
              <w:rPr/>
              <w:t> </w:t>
            </w:r>
          </w:p>
        </w:tc>
      </w:tr>
      <w:tr>
        <w:trPr/>
        <w:tc>
          <w:tcPr>
            <w:tcW w:w="273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Balance at end of period</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118,339,513</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94,948,745</w:t>
            </w:r>
          </w:p>
        </w:tc>
        <w:tc>
          <w:tcPr>
            <w:tcW w:w="170"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claims reserving practices are designed to set reserves that, in the aggregate, are adequate to pay all claims at their ultimate settlement value.</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Loss and Loss Adjustment Expenses Development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The table below shows the net loss development of reserves held as of each calendar year-end from 2012 through 2022.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first section of the table reflects the changes in our loss and LAE reserves after each subsequent calendar year of development. The table displays the re-estimated values of incurred losses and LAE at each succeeding calendar year-end, including payments made during the years indicated. The second section of the table shows by year the cumulative amounts of loss and LAE payments, net of amounts recoverable from reinsurers, as of the end of each succeeding year. An example with respect to the net loss and LAE reserves of $12,065,000 as of December 31, 2012 is as follows. By December 31, 2014 (two years later), $8,833,000 had actually been paid in settlement of the claims that relate to liabilities as of December 31, 2012. The re-estimated ultimate reserves two years later for those claims as of December 31, 2012 had grown to $16,875,000.</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11</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The “cumulative redundancy (deficiency)” represents, as of December 31, 2022, the difference between the latest re-estimated liability and the amounts as originally estimated. A redundancy means that the original estimate was higher than the current estimate. A deficiency means that the current estimate is higher than the original estimate. </w:t>
      </w:r>
    </w:p>
    <w:p>
      <w:pPr>
        <w:pStyle w:val="TextBody"/>
        <w:spacing w:before="0" w:after="0"/>
        <w:ind w:left="0" w:right="0" w:firstLine="720"/>
        <w:jc w:val="both"/>
        <w:rPr/>
      </w:pPr>
      <w:r>
        <w:rPr/>
        <w:t> </w:t>
      </w:r>
    </w:p>
    <w:tbl>
      <w:tblPr>
        <w:tblW w:w="12890" w:type="dxa"/>
        <w:jc w:val="left"/>
        <w:tblInd w:w="0" w:type="dxa"/>
        <w:tblCellMar>
          <w:top w:w="0" w:type="dxa"/>
          <w:left w:w="0" w:type="dxa"/>
          <w:bottom w:w="28" w:type="dxa"/>
          <w:right w:w="0" w:type="dxa"/>
        </w:tblCellMar>
      </w:tblPr>
      <w:tblGrid>
        <w:gridCol w:w="1220"/>
        <w:gridCol w:w="90"/>
        <w:gridCol w:w="90"/>
        <w:gridCol w:w="785"/>
        <w:gridCol w:w="125"/>
        <w:gridCol w:w="90"/>
        <w:gridCol w:w="90"/>
        <w:gridCol w:w="710"/>
        <w:gridCol w:w="125"/>
        <w:gridCol w:w="90"/>
        <w:gridCol w:w="90"/>
        <w:gridCol w:w="710"/>
        <w:gridCol w:w="125"/>
        <w:gridCol w:w="90"/>
        <w:gridCol w:w="90"/>
        <w:gridCol w:w="785"/>
        <w:gridCol w:w="125"/>
        <w:gridCol w:w="90"/>
        <w:gridCol w:w="90"/>
        <w:gridCol w:w="785"/>
        <w:gridCol w:w="125"/>
        <w:gridCol w:w="90"/>
        <w:gridCol w:w="90"/>
        <w:gridCol w:w="785"/>
        <w:gridCol w:w="125"/>
        <w:gridCol w:w="90"/>
        <w:gridCol w:w="90"/>
        <w:gridCol w:w="785"/>
        <w:gridCol w:w="125"/>
        <w:gridCol w:w="90"/>
        <w:gridCol w:w="90"/>
        <w:gridCol w:w="710"/>
        <w:gridCol w:w="125"/>
        <w:gridCol w:w="90"/>
        <w:gridCol w:w="90"/>
        <w:gridCol w:w="710"/>
        <w:gridCol w:w="125"/>
        <w:gridCol w:w="90"/>
        <w:gridCol w:w="90"/>
        <w:gridCol w:w="710"/>
        <w:gridCol w:w="125"/>
        <w:gridCol w:w="90"/>
        <w:gridCol w:w="90"/>
        <w:gridCol w:w="830"/>
        <w:gridCol w:w="135"/>
      </w:tblGrid>
      <w:tr>
        <w:trPr/>
        <w:tc>
          <w:tcPr>
            <w:tcW w:w="1220" w:type="dxa"/>
            <w:tcBorders>
              <w:bottom w:val="single" w:sz="2" w:space="0" w:color="000000"/>
            </w:tcBorders>
            <w:shd w:fill="auto" w:val="clear"/>
            <w:vAlign w:val="center"/>
          </w:tcPr>
          <w:p>
            <w:pPr>
              <w:pStyle w:val="TableContents"/>
              <w:spacing w:before="0" w:after="0"/>
              <w:ind w:left="0" w:right="0" w:hanging="0"/>
              <w:rPr/>
            </w:pPr>
            <w:r>
              <w:rPr>
                <w:rStyle w:val="StrongEmphasis"/>
                <w:rFonts w:ascii="times new roman" w:hAnsi="times new roman"/>
                <w:sz w:val="20"/>
              </w:rPr>
              <w:t>(in thousands of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875"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2012</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800"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2013</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800"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2014</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875"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2015</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875"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2016</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875"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2017</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875"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2018</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800"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2019</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800"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2020</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800"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2021</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920"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2022</w:t>
            </w:r>
          </w:p>
        </w:tc>
        <w:tc>
          <w:tcPr>
            <w:tcW w:w="135" w:type="dxa"/>
            <w:tcBorders/>
            <w:shd w:fill="auto" w:val="clear"/>
            <w:tcMar>
              <w:bottom w:w="0" w:type="dxa"/>
            </w:tcMar>
            <w:vAlign w:val="center"/>
          </w:tcPr>
          <w:p>
            <w:pPr>
              <w:pStyle w:val="TableContents"/>
              <w:spacing w:before="0" w:after="0"/>
              <w:ind w:left="0" w:right="0" w:hanging="0"/>
              <w:rPr/>
            </w:pPr>
            <w:r>
              <w:rPr/>
              <w:t> </w:t>
            </w:r>
          </w:p>
        </w:tc>
      </w:tr>
      <w:tr>
        <w:trPr/>
        <w:tc>
          <w:tcPr>
            <w:tcW w:w="1220"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Reserve for loss and loss adjustment expenses, net of reinsurance recoverables</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12,065</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17,139</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21,663</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23,170</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25,960</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32,051</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40,526</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64,770</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62,647</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84,311</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830" w:type="dxa"/>
            <w:tcBorders/>
            <w:shd w:fill="CCEEFF" w:val="clear"/>
            <w:tcMar>
              <w:bottom w:w="0" w:type="dxa"/>
            </w:tcMar>
            <w:vAlign w:val="center"/>
          </w:tcPr>
          <w:p>
            <w:pPr>
              <w:pStyle w:val="TableContents"/>
              <w:spacing w:before="0" w:after="283"/>
              <w:jc w:val="right"/>
              <w:rPr/>
            </w:pPr>
            <w:r>
              <w:rPr/>
              <w:t>90,680</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1220" w:type="dxa"/>
            <w:tcBorders/>
            <w:shd w:fill="FFFF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Net reserve estimated as of One year later</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13,886</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18,903</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21,200</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23,107</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25,899</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33,203</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51,664</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64,811</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62,632</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87,011</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830" w:type="dxa"/>
            <w:tcBorders/>
            <w:shd w:fill="FFFFFF" w:val="clear"/>
            <w:tcMar>
              <w:bottom w:w="0" w:type="dxa"/>
            </w:tcMar>
            <w:vAlign w:val="center"/>
          </w:tcPr>
          <w:p>
            <w:pPr>
              <w:pStyle w:val="TableContents"/>
              <w:spacing w:before="0" w:after="0"/>
              <w:ind w:left="0" w:right="0" w:hanging="0"/>
              <w:rPr/>
            </w:pPr>
            <w:r>
              <w:rPr/>
              <w:t> </w:t>
            </w:r>
          </w:p>
        </w:tc>
        <w:tc>
          <w:tcPr>
            <w:tcW w:w="135" w:type="dxa"/>
            <w:tcBorders/>
            <w:shd w:fill="FFFFFF" w:val="clear"/>
            <w:tcMar>
              <w:bottom w:w="0" w:type="dxa"/>
            </w:tcMar>
            <w:vAlign w:val="center"/>
          </w:tcPr>
          <w:p>
            <w:pPr>
              <w:pStyle w:val="TableContents"/>
              <w:spacing w:before="0" w:after="0"/>
              <w:ind w:left="0" w:right="0" w:hanging="0"/>
              <w:rPr/>
            </w:pPr>
            <w:r>
              <w:rPr/>
              <w:t> </w:t>
            </w:r>
          </w:p>
        </w:tc>
      </w:tr>
      <w:tr>
        <w:trPr/>
        <w:tc>
          <w:tcPr>
            <w:tcW w:w="1220"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Two years later</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16,875</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18,332</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21,501</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24,413</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26,970</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42,723</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55,145</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65,113</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65,339</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830" w:type="dxa"/>
            <w:tcBorders/>
            <w:shd w:fill="CCEEFF" w:val="clear"/>
            <w:tcMar>
              <w:bottom w:w="0" w:type="dxa"/>
            </w:tcMar>
            <w:vAlign w:val="center"/>
          </w:tcPr>
          <w:p>
            <w:pPr>
              <w:pStyle w:val="TableContents"/>
              <w:spacing w:before="0" w:after="0"/>
              <w:ind w:left="0" w:right="0" w:hanging="0"/>
              <w:rPr/>
            </w:pPr>
            <w:r>
              <w:rPr/>
              <w:t> </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1220" w:type="dxa"/>
            <w:tcBorders/>
            <w:shd w:fill="FFFF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Three years later</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16,624</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18,687</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22,576</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25,509</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33,298</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43,780</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56,346</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67,291</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830" w:type="dxa"/>
            <w:tcBorders/>
            <w:shd w:fill="FFFFFF" w:val="clear"/>
            <w:tcMar>
              <w:bottom w:w="0" w:type="dxa"/>
            </w:tcMar>
            <w:vAlign w:val="center"/>
          </w:tcPr>
          <w:p>
            <w:pPr>
              <w:pStyle w:val="TableContents"/>
              <w:spacing w:before="0" w:after="0"/>
              <w:ind w:left="0" w:right="0" w:hanging="0"/>
              <w:rPr/>
            </w:pPr>
            <w:r>
              <w:rPr/>
              <w:t> </w:t>
            </w:r>
          </w:p>
        </w:tc>
        <w:tc>
          <w:tcPr>
            <w:tcW w:w="135" w:type="dxa"/>
            <w:tcBorders/>
            <w:shd w:fill="FFFFFF" w:val="clear"/>
            <w:tcMar>
              <w:bottom w:w="0" w:type="dxa"/>
            </w:tcMar>
            <w:vAlign w:val="center"/>
          </w:tcPr>
          <w:p>
            <w:pPr>
              <w:pStyle w:val="TableContents"/>
              <w:spacing w:before="0" w:after="0"/>
              <w:ind w:left="0" w:right="0" w:hanging="0"/>
              <w:rPr/>
            </w:pPr>
            <w:r>
              <w:rPr/>
              <w:t> </w:t>
            </w:r>
          </w:p>
        </w:tc>
      </w:tr>
      <w:tr>
        <w:trPr/>
        <w:tc>
          <w:tcPr>
            <w:tcW w:w="1220"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Four years later</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16,767</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19,386</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23,243</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28,638</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33,342</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43,973</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58,048</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830" w:type="dxa"/>
            <w:tcBorders/>
            <w:shd w:fill="CCEEFF" w:val="clear"/>
            <w:tcMar>
              <w:bottom w:w="0" w:type="dxa"/>
            </w:tcMar>
            <w:vAlign w:val="center"/>
          </w:tcPr>
          <w:p>
            <w:pPr>
              <w:pStyle w:val="TableContents"/>
              <w:spacing w:before="0" w:after="0"/>
              <w:ind w:left="0" w:right="0" w:hanging="0"/>
              <w:rPr/>
            </w:pPr>
            <w:r>
              <w:rPr/>
              <w:t> </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1220" w:type="dxa"/>
            <w:tcBorders/>
            <w:shd w:fill="FFFF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Five years later</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16,985</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19,449</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25,442</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28,506</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33,120</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43,774</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830" w:type="dxa"/>
            <w:tcBorders/>
            <w:shd w:fill="FFFFFF" w:val="clear"/>
            <w:tcMar>
              <w:bottom w:w="0" w:type="dxa"/>
            </w:tcMar>
            <w:vAlign w:val="center"/>
          </w:tcPr>
          <w:p>
            <w:pPr>
              <w:pStyle w:val="TableContents"/>
              <w:spacing w:before="0" w:after="0"/>
              <w:ind w:left="0" w:right="0" w:hanging="0"/>
              <w:rPr/>
            </w:pPr>
            <w:r>
              <w:rPr/>
              <w:t> </w:t>
            </w:r>
          </w:p>
        </w:tc>
        <w:tc>
          <w:tcPr>
            <w:tcW w:w="135" w:type="dxa"/>
            <w:tcBorders/>
            <w:shd w:fill="FFFFFF" w:val="clear"/>
            <w:tcMar>
              <w:bottom w:w="0" w:type="dxa"/>
            </w:tcMar>
            <w:vAlign w:val="center"/>
          </w:tcPr>
          <w:p>
            <w:pPr>
              <w:pStyle w:val="TableContents"/>
              <w:spacing w:before="0" w:after="0"/>
              <w:ind w:left="0" w:right="0" w:hanging="0"/>
              <w:rPr/>
            </w:pPr>
            <w:r>
              <w:rPr/>
              <w:t> </w:t>
            </w:r>
          </w:p>
        </w:tc>
      </w:tr>
      <w:tr>
        <w:trPr/>
        <w:tc>
          <w:tcPr>
            <w:tcW w:w="1220"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Six years later</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16,959</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20,265</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25,353</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28,849</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32,936</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830" w:type="dxa"/>
            <w:tcBorders/>
            <w:shd w:fill="CCEEFF" w:val="clear"/>
            <w:tcMar>
              <w:bottom w:w="0" w:type="dxa"/>
            </w:tcMar>
            <w:vAlign w:val="center"/>
          </w:tcPr>
          <w:p>
            <w:pPr>
              <w:pStyle w:val="TableContents"/>
              <w:spacing w:before="0" w:after="0"/>
              <w:ind w:left="0" w:right="0" w:hanging="0"/>
              <w:rPr/>
            </w:pPr>
            <w:r>
              <w:rPr/>
              <w:t> </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1220" w:type="dxa"/>
            <w:tcBorders/>
            <w:shd w:fill="FFFF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Seven years later</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17,198</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20,069</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25,445</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28,734</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830" w:type="dxa"/>
            <w:tcBorders/>
            <w:shd w:fill="FFFFFF" w:val="clear"/>
            <w:tcMar>
              <w:bottom w:w="0" w:type="dxa"/>
            </w:tcMar>
            <w:vAlign w:val="center"/>
          </w:tcPr>
          <w:p>
            <w:pPr>
              <w:pStyle w:val="TableContents"/>
              <w:spacing w:before="0" w:after="0"/>
              <w:ind w:left="0" w:right="0" w:hanging="0"/>
              <w:rPr/>
            </w:pPr>
            <w:r>
              <w:rPr/>
              <w:t> </w:t>
            </w:r>
          </w:p>
        </w:tc>
        <w:tc>
          <w:tcPr>
            <w:tcW w:w="135" w:type="dxa"/>
            <w:tcBorders/>
            <w:shd w:fill="FFFFFF" w:val="clear"/>
            <w:tcMar>
              <w:bottom w:w="0" w:type="dxa"/>
            </w:tcMar>
            <w:vAlign w:val="center"/>
          </w:tcPr>
          <w:p>
            <w:pPr>
              <w:pStyle w:val="TableContents"/>
              <w:spacing w:before="0" w:after="0"/>
              <w:ind w:left="0" w:right="0" w:hanging="0"/>
              <w:rPr/>
            </w:pPr>
            <w:r>
              <w:rPr/>
              <w:t> </w:t>
            </w:r>
          </w:p>
        </w:tc>
      </w:tr>
      <w:tr>
        <w:trPr/>
        <w:tc>
          <w:tcPr>
            <w:tcW w:w="1220"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Eight years later</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17,089</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20,129</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25,324</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830" w:type="dxa"/>
            <w:tcBorders/>
            <w:shd w:fill="CCEEFF" w:val="clear"/>
            <w:tcMar>
              <w:bottom w:w="0" w:type="dxa"/>
            </w:tcMar>
            <w:vAlign w:val="center"/>
          </w:tcPr>
          <w:p>
            <w:pPr>
              <w:pStyle w:val="TableContents"/>
              <w:spacing w:before="0" w:after="0"/>
              <w:ind w:left="0" w:right="0" w:hanging="0"/>
              <w:rPr/>
            </w:pPr>
            <w:r>
              <w:rPr/>
              <w:t> </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1220" w:type="dxa"/>
            <w:tcBorders/>
            <w:shd w:fill="FFFF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Nine years later</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17,101</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19,963</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830" w:type="dxa"/>
            <w:tcBorders/>
            <w:shd w:fill="FFFFFF" w:val="clear"/>
            <w:tcMar>
              <w:bottom w:w="0" w:type="dxa"/>
            </w:tcMar>
            <w:vAlign w:val="center"/>
          </w:tcPr>
          <w:p>
            <w:pPr>
              <w:pStyle w:val="TableContents"/>
              <w:spacing w:before="0" w:after="0"/>
              <w:ind w:left="0" w:right="0" w:hanging="0"/>
              <w:rPr/>
            </w:pPr>
            <w:r>
              <w:rPr/>
              <w:t> </w:t>
            </w:r>
          </w:p>
        </w:tc>
        <w:tc>
          <w:tcPr>
            <w:tcW w:w="135" w:type="dxa"/>
            <w:tcBorders/>
            <w:shd w:fill="FFFFFF" w:val="clear"/>
            <w:tcMar>
              <w:bottom w:w="0" w:type="dxa"/>
            </w:tcMar>
            <w:vAlign w:val="center"/>
          </w:tcPr>
          <w:p>
            <w:pPr>
              <w:pStyle w:val="TableContents"/>
              <w:spacing w:before="0" w:after="0"/>
              <w:ind w:left="0" w:right="0" w:hanging="0"/>
              <w:rPr/>
            </w:pPr>
            <w:r>
              <w:rPr/>
              <w:t> </w:t>
            </w:r>
          </w:p>
        </w:tc>
      </w:tr>
      <w:tr>
        <w:trPr/>
        <w:tc>
          <w:tcPr>
            <w:tcW w:w="1220"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Ten years later</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16,974</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830" w:type="dxa"/>
            <w:tcBorders/>
            <w:shd w:fill="CCEEFF" w:val="clear"/>
            <w:tcMar>
              <w:bottom w:w="0" w:type="dxa"/>
            </w:tcMar>
            <w:vAlign w:val="center"/>
          </w:tcPr>
          <w:p>
            <w:pPr>
              <w:pStyle w:val="TableContents"/>
              <w:spacing w:before="0" w:after="0"/>
              <w:ind w:left="0" w:right="0" w:hanging="0"/>
              <w:rPr/>
            </w:pPr>
            <w:r>
              <w:rPr/>
              <w:t> </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1220" w:type="dxa"/>
            <w:tcBorders/>
            <w:shd w:fill="FFFF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Net cumulative redundancy (deficiency)</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(4,909</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(2,824</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(3,661</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(5,564</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(6,976</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(11,723</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(17,522</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(2,521</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(2,692</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(2,700</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830" w:type="dxa"/>
            <w:tcBorders/>
            <w:shd w:fill="FFFFFF" w:val="clear"/>
            <w:tcMar>
              <w:bottom w:w="0" w:type="dxa"/>
            </w:tcMar>
            <w:vAlign w:val="center"/>
          </w:tcPr>
          <w:p>
            <w:pPr>
              <w:pStyle w:val="TableContents"/>
              <w:spacing w:before="0" w:after="0"/>
              <w:ind w:left="0" w:right="0" w:hanging="0"/>
              <w:rPr/>
            </w:pPr>
            <w:r>
              <w:rPr/>
              <w:t> </w:t>
            </w:r>
          </w:p>
        </w:tc>
        <w:tc>
          <w:tcPr>
            <w:tcW w:w="135" w:type="dxa"/>
            <w:tcBorders/>
            <w:shd w:fill="FFFFFF" w:val="clear"/>
            <w:tcMar>
              <w:bottom w:w="0" w:type="dxa"/>
            </w:tcMar>
            <w:vAlign w:val="center"/>
          </w:tcPr>
          <w:p>
            <w:pPr>
              <w:pStyle w:val="TableContents"/>
              <w:spacing w:before="0" w:after="0"/>
              <w:ind w:left="0" w:right="0" w:hanging="0"/>
              <w:rPr/>
            </w:pPr>
            <w:r>
              <w:rPr/>
              <w:t> </w:t>
            </w:r>
          </w:p>
        </w:tc>
      </w:tr>
      <w:tr>
        <w:trPr/>
        <w:tc>
          <w:tcPr>
            <w:tcW w:w="122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830" w:type="dxa"/>
            <w:tcBorders/>
            <w:shd w:fill="FFFFFF" w:val="clear"/>
            <w:tcMar>
              <w:bottom w:w="0" w:type="dxa"/>
            </w:tcMar>
            <w:vAlign w:val="center"/>
          </w:tcPr>
          <w:p>
            <w:pPr>
              <w:pStyle w:val="TableContents"/>
              <w:spacing w:before="0" w:after="0"/>
              <w:ind w:left="0" w:right="0" w:hanging="0"/>
              <w:rPr/>
            </w:pPr>
            <w:r>
              <w:rPr/>
              <w:t> </w:t>
            </w:r>
          </w:p>
        </w:tc>
        <w:tc>
          <w:tcPr>
            <w:tcW w:w="135" w:type="dxa"/>
            <w:tcBorders/>
            <w:shd w:fill="FFFFFF" w:val="clear"/>
            <w:tcMar>
              <w:bottom w:w="0" w:type="dxa"/>
            </w:tcMar>
            <w:vAlign w:val="center"/>
          </w:tcPr>
          <w:p>
            <w:pPr>
              <w:pStyle w:val="TableContents"/>
              <w:spacing w:before="0" w:after="0"/>
              <w:ind w:left="0" w:right="0" w:hanging="0"/>
              <w:rPr/>
            </w:pPr>
            <w:r>
              <w:rPr/>
              <w:t> </w:t>
            </w:r>
          </w:p>
        </w:tc>
      </w:tr>
      <w:tr>
        <w:trPr/>
        <w:tc>
          <w:tcPr>
            <w:tcW w:w="122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FFFFFF" w:val="clear"/>
            <w:vAlign w:val="center"/>
          </w:tcPr>
          <w:p>
            <w:pPr>
              <w:pStyle w:val="TableContents"/>
              <w:spacing w:before="0" w:after="0"/>
              <w:ind w:left="0" w:right="0" w:hanging="0"/>
              <w:rPr/>
            </w:pPr>
            <w:r>
              <w:rPr/>
              <w:t> </w:t>
            </w:r>
          </w:p>
        </w:tc>
        <w:tc>
          <w:tcPr>
            <w:tcW w:w="785" w:type="dxa"/>
            <w:tcBorders>
              <w:bottom w:val="single" w:sz="2" w:space="0" w:color="000000"/>
            </w:tcBorders>
            <w:shd w:fill="FFFFFF" w:val="cle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FFFFFF" w:val="clear"/>
            <w:vAlign w:val="center"/>
          </w:tcPr>
          <w:p>
            <w:pPr>
              <w:pStyle w:val="TableContents"/>
              <w:spacing w:before="0" w:after="0"/>
              <w:ind w:left="0" w:right="0" w:hanging="0"/>
              <w:rPr/>
            </w:pPr>
            <w:r>
              <w:rPr/>
              <w:t> </w:t>
            </w:r>
          </w:p>
        </w:tc>
        <w:tc>
          <w:tcPr>
            <w:tcW w:w="710" w:type="dxa"/>
            <w:tcBorders>
              <w:bottom w:val="single" w:sz="2" w:space="0" w:color="000000"/>
            </w:tcBorders>
            <w:shd w:fill="FFFFFF" w:val="cle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FFFFFF" w:val="clear"/>
            <w:vAlign w:val="center"/>
          </w:tcPr>
          <w:p>
            <w:pPr>
              <w:pStyle w:val="TableContents"/>
              <w:spacing w:before="0" w:after="0"/>
              <w:ind w:left="0" w:right="0" w:hanging="0"/>
              <w:rPr/>
            </w:pPr>
            <w:r>
              <w:rPr/>
              <w:t> </w:t>
            </w:r>
          </w:p>
        </w:tc>
        <w:tc>
          <w:tcPr>
            <w:tcW w:w="710" w:type="dxa"/>
            <w:tcBorders>
              <w:bottom w:val="single" w:sz="2" w:space="0" w:color="000000"/>
            </w:tcBorders>
            <w:shd w:fill="FFFFFF" w:val="cle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FFFFFF" w:val="clear"/>
            <w:vAlign w:val="center"/>
          </w:tcPr>
          <w:p>
            <w:pPr>
              <w:pStyle w:val="TableContents"/>
              <w:spacing w:before="0" w:after="0"/>
              <w:ind w:left="0" w:right="0" w:hanging="0"/>
              <w:rPr/>
            </w:pPr>
            <w:r>
              <w:rPr/>
              <w:t> </w:t>
            </w:r>
          </w:p>
        </w:tc>
        <w:tc>
          <w:tcPr>
            <w:tcW w:w="785" w:type="dxa"/>
            <w:tcBorders>
              <w:bottom w:val="single" w:sz="2" w:space="0" w:color="000000"/>
            </w:tcBorders>
            <w:shd w:fill="FFFFFF" w:val="cle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FFFFFF" w:val="clear"/>
            <w:vAlign w:val="center"/>
          </w:tcPr>
          <w:p>
            <w:pPr>
              <w:pStyle w:val="TableContents"/>
              <w:spacing w:before="0" w:after="0"/>
              <w:ind w:left="0" w:right="0" w:hanging="0"/>
              <w:rPr/>
            </w:pPr>
            <w:r>
              <w:rPr/>
              <w:t> </w:t>
            </w:r>
          </w:p>
        </w:tc>
        <w:tc>
          <w:tcPr>
            <w:tcW w:w="785" w:type="dxa"/>
            <w:tcBorders>
              <w:bottom w:val="single" w:sz="2" w:space="0" w:color="000000"/>
            </w:tcBorders>
            <w:shd w:fill="FFFFFF" w:val="cle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FFFFFF" w:val="clear"/>
            <w:vAlign w:val="center"/>
          </w:tcPr>
          <w:p>
            <w:pPr>
              <w:pStyle w:val="TableContents"/>
              <w:spacing w:before="0" w:after="0"/>
              <w:ind w:left="0" w:right="0" w:hanging="0"/>
              <w:rPr/>
            </w:pPr>
            <w:r>
              <w:rPr/>
              <w:t> </w:t>
            </w:r>
          </w:p>
        </w:tc>
        <w:tc>
          <w:tcPr>
            <w:tcW w:w="785" w:type="dxa"/>
            <w:tcBorders>
              <w:bottom w:val="single" w:sz="2" w:space="0" w:color="000000"/>
            </w:tcBorders>
            <w:shd w:fill="FFFFFF" w:val="cle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FFFFFF" w:val="clear"/>
            <w:vAlign w:val="center"/>
          </w:tcPr>
          <w:p>
            <w:pPr>
              <w:pStyle w:val="TableContents"/>
              <w:spacing w:before="0" w:after="0"/>
              <w:ind w:left="0" w:right="0" w:hanging="0"/>
              <w:rPr/>
            </w:pPr>
            <w:r>
              <w:rPr/>
              <w:t> </w:t>
            </w:r>
          </w:p>
        </w:tc>
        <w:tc>
          <w:tcPr>
            <w:tcW w:w="785" w:type="dxa"/>
            <w:tcBorders>
              <w:bottom w:val="single" w:sz="2" w:space="0" w:color="000000"/>
            </w:tcBorders>
            <w:shd w:fill="FFFFFF" w:val="cle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FFFFFF" w:val="clear"/>
            <w:vAlign w:val="center"/>
          </w:tcPr>
          <w:p>
            <w:pPr>
              <w:pStyle w:val="TableContents"/>
              <w:spacing w:before="0" w:after="0"/>
              <w:ind w:left="0" w:right="0" w:hanging="0"/>
              <w:rPr/>
            </w:pPr>
            <w:r>
              <w:rPr/>
              <w:t> </w:t>
            </w:r>
          </w:p>
        </w:tc>
        <w:tc>
          <w:tcPr>
            <w:tcW w:w="710" w:type="dxa"/>
            <w:tcBorders>
              <w:bottom w:val="single" w:sz="2" w:space="0" w:color="000000"/>
            </w:tcBorders>
            <w:shd w:fill="FFFFFF" w:val="cle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FFFFFF" w:val="clear"/>
            <w:vAlign w:val="center"/>
          </w:tcPr>
          <w:p>
            <w:pPr>
              <w:pStyle w:val="TableContents"/>
              <w:spacing w:before="0" w:after="0"/>
              <w:ind w:left="0" w:right="0" w:hanging="0"/>
              <w:rPr/>
            </w:pPr>
            <w:r>
              <w:rPr/>
              <w:t> </w:t>
            </w:r>
          </w:p>
        </w:tc>
        <w:tc>
          <w:tcPr>
            <w:tcW w:w="710" w:type="dxa"/>
            <w:tcBorders>
              <w:bottom w:val="single" w:sz="2" w:space="0" w:color="000000"/>
            </w:tcBorders>
            <w:shd w:fill="FFFFFF" w:val="cle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FFFFFF" w:val="clear"/>
            <w:vAlign w:val="center"/>
          </w:tcPr>
          <w:p>
            <w:pPr>
              <w:pStyle w:val="TableContents"/>
              <w:spacing w:before="0" w:after="0"/>
              <w:ind w:left="0" w:right="0" w:hanging="0"/>
              <w:rPr/>
            </w:pPr>
            <w:r>
              <w:rPr/>
              <w:t> </w:t>
            </w:r>
          </w:p>
        </w:tc>
        <w:tc>
          <w:tcPr>
            <w:tcW w:w="710" w:type="dxa"/>
            <w:tcBorders>
              <w:bottom w:val="single" w:sz="2" w:space="0" w:color="000000"/>
            </w:tcBorders>
            <w:shd w:fill="FFFFFF" w:val="cle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FFFFFF" w:val="clear"/>
            <w:vAlign w:val="center"/>
          </w:tcPr>
          <w:p>
            <w:pPr>
              <w:pStyle w:val="TableContents"/>
              <w:spacing w:before="0" w:after="0"/>
              <w:ind w:left="0" w:right="0" w:hanging="0"/>
              <w:rPr/>
            </w:pPr>
            <w:r>
              <w:rPr/>
              <w:t> </w:t>
            </w:r>
          </w:p>
        </w:tc>
        <w:tc>
          <w:tcPr>
            <w:tcW w:w="830" w:type="dxa"/>
            <w:tcBorders>
              <w:bottom w:val="single" w:sz="2" w:space="0" w:color="000000"/>
            </w:tcBorders>
            <w:shd w:fill="FFFFFF" w:val="clear"/>
            <w:vAlign w:val="center"/>
          </w:tcPr>
          <w:p>
            <w:pPr>
              <w:pStyle w:val="TableContents"/>
              <w:spacing w:before="0" w:after="0"/>
              <w:ind w:left="0" w:right="0" w:hanging="0"/>
              <w:rPr/>
            </w:pPr>
            <w:r>
              <w:rPr/>
              <w:t> </w:t>
            </w:r>
          </w:p>
        </w:tc>
        <w:tc>
          <w:tcPr>
            <w:tcW w:w="135" w:type="dxa"/>
            <w:tcBorders/>
            <w:shd w:fill="FFFFFF" w:val="clear"/>
            <w:tcMar>
              <w:bottom w:w="0" w:type="dxa"/>
            </w:tcMar>
            <w:vAlign w:val="center"/>
          </w:tcPr>
          <w:p>
            <w:pPr>
              <w:pStyle w:val="TableContents"/>
              <w:spacing w:before="0" w:after="0"/>
              <w:ind w:left="0" w:right="0" w:hanging="0"/>
              <w:rPr/>
            </w:pPr>
            <w:r>
              <w:rPr/>
              <w:t> </w:t>
            </w:r>
          </w:p>
        </w:tc>
      </w:tr>
      <w:tr>
        <w:trPr/>
        <w:tc>
          <w:tcPr>
            <w:tcW w:w="1220" w:type="dxa"/>
            <w:tcBorders>
              <w:bottom w:val="single" w:sz="2" w:space="0" w:color="000000"/>
            </w:tcBorders>
            <w:shd w:fill="FFFFFF" w:val="clear"/>
            <w:vAlign w:val="center"/>
          </w:tcPr>
          <w:p>
            <w:pPr>
              <w:pStyle w:val="TableContents"/>
              <w:spacing w:before="0" w:after="0"/>
              <w:ind w:left="0" w:right="0" w:hanging="0"/>
              <w:rPr/>
            </w:pPr>
            <w:r>
              <w:rPr>
                <w:rStyle w:val="StrongEmphasis"/>
                <w:rFonts w:ascii="times new roman" w:hAnsi="times new roman"/>
                <w:sz w:val="20"/>
              </w:rPr>
              <w:t>(in thousands of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875" w:type="dxa"/>
            <w:gridSpan w:val="2"/>
            <w:tcBorders>
              <w:bottom w:val="single" w:sz="2" w:space="0" w:color="000000"/>
            </w:tcBorders>
            <w:shd w:fill="FFFFFF" w:val="clear"/>
            <w:vAlign w:val="center"/>
          </w:tcPr>
          <w:p>
            <w:pPr>
              <w:pStyle w:val="TableContents"/>
              <w:spacing w:before="0" w:after="0"/>
              <w:ind w:left="0" w:right="0" w:hanging="0"/>
              <w:jc w:val="center"/>
              <w:rPr/>
            </w:pPr>
            <w:r>
              <w:rPr>
                <w:rStyle w:val="StrongEmphasis"/>
                <w:rFonts w:ascii="times new roman" w:hAnsi="times new roman"/>
                <w:sz w:val="20"/>
              </w:rPr>
              <w:t>2012</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800" w:type="dxa"/>
            <w:gridSpan w:val="2"/>
            <w:tcBorders>
              <w:bottom w:val="single" w:sz="2" w:space="0" w:color="000000"/>
            </w:tcBorders>
            <w:shd w:fill="FFFFFF" w:val="clear"/>
            <w:vAlign w:val="center"/>
          </w:tcPr>
          <w:p>
            <w:pPr>
              <w:pStyle w:val="TableContents"/>
              <w:spacing w:before="0" w:after="0"/>
              <w:ind w:left="0" w:right="0" w:hanging="0"/>
              <w:jc w:val="center"/>
              <w:rPr/>
            </w:pPr>
            <w:r>
              <w:rPr>
                <w:rStyle w:val="StrongEmphasis"/>
                <w:rFonts w:ascii="times new roman" w:hAnsi="times new roman"/>
                <w:sz w:val="20"/>
              </w:rPr>
              <w:t>2013</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800" w:type="dxa"/>
            <w:gridSpan w:val="2"/>
            <w:tcBorders>
              <w:bottom w:val="single" w:sz="2" w:space="0" w:color="000000"/>
            </w:tcBorders>
            <w:shd w:fill="FFFFFF" w:val="clear"/>
            <w:vAlign w:val="center"/>
          </w:tcPr>
          <w:p>
            <w:pPr>
              <w:pStyle w:val="TableContents"/>
              <w:spacing w:before="0" w:after="0"/>
              <w:ind w:left="0" w:right="0" w:hanging="0"/>
              <w:jc w:val="center"/>
              <w:rPr/>
            </w:pPr>
            <w:r>
              <w:rPr>
                <w:rStyle w:val="StrongEmphasis"/>
                <w:rFonts w:ascii="times new roman" w:hAnsi="times new roman"/>
                <w:sz w:val="20"/>
              </w:rPr>
              <w:t>2014</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875" w:type="dxa"/>
            <w:gridSpan w:val="2"/>
            <w:tcBorders>
              <w:bottom w:val="single" w:sz="2" w:space="0" w:color="000000"/>
            </w:tcBorders>
            <w:shd w:fill="FFFFFF" w:val="clear"/>
            <w:vAlign w:val="center"/>
          </w:tcPr>
          <w:p>
            <w:pPr>
              <w:pStyle w:val="TableContents"/>
              <w:spacing w:before="0" w:after="0"/>
              <w:ind w:left="0" w:right="0" w:hanging="0"/>
              <w:jc w:val="center"/>
              <w:rPr/>
            </w:pPr>
            <w:r>
              <w:rPr>
                <w:rStyle w:val="StrongEmphasis"/>
                <w:rFonts w:ascii="times new roman" w:hAnsi="times new roman"/>
                <w:sz w:val="20"/>
              </w:rPr>
              <w:t>2015</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875" w:type="dxa"/>
            <w:gridSpan w:val="2"/>
            <w:tcBorders>
              <w:bottom w:val="single" w:sz="2" w:space="0" w:color="000000"/>
            </w:tcBorders>
            <w:shd w:fill="FFFFFF" w:val="clear"/>
            <w:vAlign w:val="center"/>
          </w:tcPr>
          <w:p>
            <w:pPr>
              <w:pStyle w:val="TableContents"/>
              <w:spacing w:before="0" w:after="0"/>
              <w:ind w:left="0" w:right="0" w:hanging="0"/>
              <w:jc w:val="center"/>
              <w:rPr/>
            </w:pPr>
            <w:r>
              <w:rPr>
                <w:rStyle w:val="StrongEmphasis"/>
                <w:rFonts w:ascii="times new roman" w:hAnsi="times new roman"/>
                <w:sz w:val="20"/>
              </w:rPr>
              <w:t>2016</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875" w:type="dxa"/>
            <w:gridSpan w:val="2"/>
            <w:tcBorders>
              <w:bottom w:val="single" w:sz="2" w:space="0" w:color="000000"/>
            </w:tcBorders>
            <w:shd w:fill="FFFFFF" w:val="clear"/>
            <w:vAlign w:val="center"/>
          </w:tcPr>
          <w:p>
            <w:pPr>
              <w:pStyle w:val="TableContents"/>
              <w:spacing w:before="0" w:after="0"/>
              <w:ind w:left="0" w:right="0" w:hanging="0"/>
              <w:jc w:val="center"/>
              <w:rPr/>
            </w:pPr>
            <w:r>
              <w:rPr>
                <w:rStyle w:val="StrongEmphasis"/>
                <w:rFonts w:ascii="times new roman" w:hAnsi="times new roman"/>
                <w:sz w:val="20"/>
              </w:rPr>
              <w:t>2017</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875" w:type="dxa"/>
            <w:gridSpan w:val="2"/>
            <w:tcBorders>
              <w:bottom w:val="single" w:sz="2" w:space="0" w:color="000000"/>
            </w:tcBorders>
            <w:shd w:fill="FFFFFF" w:val="clear"/>
            <w:vAlign w:val="center"/>
          </w:tcPr>
          <w:p>
            <w:pPr>
              <w:pStyle w:val="TableContents"/>
              <w:spacing w:before="0" w:after="0"/>
              <w:ind w:left="0" w:right="0" w:hanging="0"/>
              <w:jc w:val="center"/>
              <w:rPr/>
            </w:pPr>
            <w:r>
              <w:rPr>
                <w:rStyle w:val="StrongEmphasis"/>
                <w:rFonts w:ascii="times new roman" w:hAnsi="times new roman"/>
                <w:sz w:val="20"/>
              </w:rPr>
              <w:t>2018</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800" w:type="dxa"/>
            <w:gridSpan w:val="2"/>
            <w:tcBorders>
              <w:bottom w:val="single" w:sz="2" w:space="0" w:color="000000"/>
            </w:tcBorders>
            <w:shd w:fill="FFFFFF" w:val="clear"/>
            <w:vAlign w:val="center"/>
          </w:tcPr>
          <w:p>
            <w:pPr>
              <w:pStyle w:val="TableContents"/>
              <w:spacing w:before="0" w:after="0"/>
              <w:ind w:left="0" w:right="0" w:hanging="0"/>
              <w:jc w:val="center"/>
              <w:rPr/>
            </w:pPr>
            <w:r>
              <w:rPr>
                <w:rStyle w:val="StrongEmphasis"/>
                <w:rFonts w:ascii="times new roman" w:hAnsi="times new roman"/>
                <w:sz w:val="20"/>
              </w:rPr>
              <w:t>2019</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800" w:type="dxa"/>
            <w:gridSpan w:val="2"/>
            <w:tcBorders>
              <w:bottom w:val="single" w:sz="2" w:space="0" w:color="000000"/>
            </w:tcBorders>
            <w:shd w:fill="FFFFFF" w:val="clear"/>
            <w:vAlign w:val="center"/>
          </w:tcPr>
          <w:p>
            <w:pPr>
              <w:pStyle w:val="TableContents"/>
              <w:spacing w:before="0" w:after="0"/>
              <w:ind w:left="0" w:right="0" w:hanging="0"/>
              <w:jc w:val="center"/>
              <w:rPr/>
            </w:pPr>
            <w:r>
              <w:rPr>
                <w:rStyle w:val="StrongEmphasis"/>
                <w:rFonts w:ascii="times new roman" w:hAnsi="times new roman"/>
                <w:sz w:val="20"/>
              </w:rPr>
              <w:t>2020</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800" w:type="dxa"/>
            <w:gridSpan w:val="2"/>
            <w:tcBorders>
              <w:bottom w:val="single" w:sz="2" w:space="0" w:color="000000"/>
            </w:tcBorders>
            <w:shd w:fill="FFFFFF" w:val="clear"/>
            <w:vAlign w:val="center"/>
          </w:tcPr>
          <w:p>
            <w:pPr>
              <w:pStyle w:val="TableContents"/>
              <w:spacing w:before="0" w:after="0"/>
              <w:ind w:left="0" w:right="0" w:hanging="0"/>
              <w:jc w:val="center"/>
              <w:rPr/>
            </w:pPr>
            <w:r>
              <w:rPr>
                <w:rStyle w:val="StrongEmphasis"/>
                <w:rFonts w:ascii="times new roman" w:hAnsi="times new roman"/>
                <w:sz w:val="20"/>
              </w:rPr>
              <w:t>2021</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20" w:type="dxa"/>
            <w:gridSpan w:val="2"/>
            <w:tcBorders>
              <w:bottom w:val="single" w:sz="2" w:space="0" w:color="000000"/>
            </w:tcBorders>
            <w:shd w:fill="FFFFFF" w:val="clear"/>
            <w:vAlign w:val="center"/>
          </w:tcPr>
          <w:p>
            <w:pPr>
              <w:pStyle w:val="TableContents"/>
              <w:spacing w:before="0" w:after="0"/>
              <w:ind w:left="0" w:right="0" w:hanging="0"/>
              <w:jc w:val="center"/>
              <w:rPr/>
            </w:pPr>
            <w:r>
              <w:rPr>
                <w:rStyle w:val="StrongEmphasis"/>
                <w:rFonts w:ascii="times new roman" w:hAnsi="times new roman"/>
                <w:sz w:val="20"/>
              </w:rPr>
              <w:t>2022</w:t>
            </w:r>
          </w:p>
        </w:tc>
        <w:tc>
          <w:tcPr>
            <w:tcW w:w="135" w:type="dxa"/>
            <w:tcBorders/>
            <w:shd w:fill="FFFFFF" w:val="clear"/>
            <w:tcMar>
              <w:bottom w:w="0" w:type="dxa"/>
            </w:tcMar>
            <w:vAlign w:val="center"/>
          </w:tcPr>
          <w:p>
            <w:pPr>
              <w:pStyle w:val="TableContents"/>
              <w:spacing w:before="0" w:after="0"/>
              <w:ind w:left="0" w:right="0" w:hanging="0"/>
              <w:rPr/>
            </w:pPr>
            <w:r>
              <w:rPr/>
              <w:t> </w:t>
            </w:r>
          </w:p>
        </w:tc>
      </w:tr>
      <w:tr>
        <w:trPr/>
        <w:tc>
          <w:tcPr>
            <w:tcW w:w="1220" w:type="dxa"/>
            <w:tcBorders/>
            <w:shd w:fill="FFFF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Cumulative amount of reserve paid, net of reinsurance recoverable through</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830" w:type="dxa"/>
            <w:tcBorders/>
            <w:shd w:fill="FFFFFF" w:val="clear"/>
            <w:tcMar>
              <w:bottom w:w="0" w:type="dxa"/>
            </w:tcMar>
            <w:vAlign w:val="center"/>
          </w:tcPr>
          <w:p>
            <w:pPr>
              <w:pStyle w:val="TableContents"/>
              <w:spacing w:before="0" w:after="0"/>
              <w:ind w:left="0" w:right="0" w:hanging="0"/>
              <w:rPr/>
            </w:pPr>
            <w:r>
              <w:rPr/>
              <w:t> </w:t>
            </w:r>
          </w:p>
        </w:tc>
        <w:tc>
          <w:tcPr>
            <w:tcW w:w="135" w:type="dxa"/>
            <w:tcBorders/>
            <w:shd w:fill="FFFFFF" w:val="clear"/>
            <w:tcMar>
              <w:bottom w:w="0" w:type="dxa"/>
            </w:tcMar>
            <w:vAlign w:val="center"/>
          </w:tcPr>
          <w:p>
            <w:pPr>
              <w:pStyle w:val="TableContents"/>
              <w:spacing w:before="0" w:after="0"/>
              <w:ind w:left="0" w:right="0" w:hanging="0"/>
              <w:rPr/>
            </w:pPr>
            <w:r>
              <w:rPr/>
              <w:t> </w:t>
            </w:r>
          </w:p>
        </w:tc>
      </w:tr>
      <w:tr>
        <w:trPr/>
        <w:tc>
          <w:tcPr>
            <w:tcW w:w="1220"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One year later</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4,804</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6,156</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8,500</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8,503</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9,900</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15,795</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23,075</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27,454</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20,137</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32,419</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830" w:type="dxa"/>
            <w:tcBorders/>
            <w:shd w:fill="CCEEFF" w:val="clear"/>
            <w:tcMar>
              <w:bottom w:w="0" w:type="dxa"/>
            </w:tcMar>
            <w:vAlign w:val="center"/>
          </w:tcPr>
          <w:p>
            <w:pPr>
              <w:pStyle w:val="TableContents"/>
              <w:spacing w:before="0" w:after="0"/>
              <w:ind w:left="0" w:right="0" w:hanging="0"/>
              <w:rPr/>
            </w:pPr>
            <w:r>
              <w:rPr/>
              <w:t> </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1220" w:type="dxa"/>
            <w:tcBorders/>
            <w:shd w:fill="FFFF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Two years later</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8,833</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10,629</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12,853</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14,456</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17,187</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26,168</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35,924</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35,142</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30,262</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830" w:type="dxa"/>
            <w:tcBorders/>
            <w:shd w:fill="FFFFFF" w:val="clear"/>
            <w:tcMar>
              <w:bottom w:w="0" w:type="dxa"/>
            </w:tcMar>
            <w:vAlign w:val="center"/>
          </w:tcPr>
          <w:p>
            <w:pPr>
              <w:pStyle w:val="TableContents"/>
              <w:spacing w:before="0" w:after="0"/>
              <w:ind w:left="0" w:right="0" w:hanging="0"/>
              <w:rPr/>
            </w:pPr>
            <w:r>
              <w:rPr/>
              <w:t> </w:t>
            </w:r>
          </w:p>
        </w:tc>
        <w:tc>
          <w:tcPr>
            <w:tcW w:w="135" w:type="dxa"/>
            <w:tcBorders/>
            <w:shd w:fill="FFFFFF" w:val="clear"/>
            <w:tcMar>
              <w:bottom w:w="0" w:type="dxa"/>
            </w:tcMar>
            <w:vAlign w:val="center"/>
          </w:tcPr>
          <w:p>
            <w:pPr>
              <w:pStyle w:val="TableContents"/>
              <w:spacing w:before="0" w:after="0"/>
              <w:ind w:left="0" w:right="0" w:hanging="0"/>
              <w:rPr/>
            </w:pPr>
            <w:r>
              <w:rPr/>
              <w:t> </w:t>
            </w:r>
          </w:p>
        </w:tc>
      </w:tr>
      <w:tr>
        <w:trPr/>
        <w:tc>
          <w:tcPr>
            <w:tcW w:w="1220"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Three years later</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11,873</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13,571</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16,564</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19,533</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23,484</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32,704</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40,264</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42,365</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830" w:type="dxa"/>
            <w:tcBorders/>
            <w:shd w:fill="CCEEFF" w:val="clear"/>
            <w:tcMar>
              <w:bottom w:w="0" w:type="dxa"/>
            </w:tcMar>
            <w:vAlign w:val="center"/>
          </w:tcPr>
          <w:p>
            <w:pPr>
              <w:pStyle w:val="TableContents"/>
              <w:spacing w:before="0" w:after="0"/>
              <w:ind w:left="0" w:right="0" w:hanging="0"/>
              <w:rPr/>
            </w:pPr>
            <w:r>
              <w:rPr/>
              <w:t> </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1220" w:type="dxa"/>
            <w:tcBorders/>
            <w:shd w:fill="FFFF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Four years later</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13,785</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16,166</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19,838</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22,816</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27,203</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35,510</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45,085</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830" w:type="dxa"/>
            <w:tcBorders/>
            <w:shd w:fill="FFFFFF" w:val="clear"/>
            <w:tcMar>
              <w:bottom w:w="0" w:type="dxa"/>
            </w:tcMar>
            <w:vAlign w:val="center"/>
          </w:tcPr>
          <w:p>
            <w:pPr>
              <w:pStyle w:val="TableContents"/>
              <w:spacing w:before="0" w:after="0"/>
              <w:ind w:left="0" w:right="0" w:hanging="0"/>
              <w:rPr/>
            </w:pPr>
            <w:r>
              <w:rPr/>
              <w:t> </w:t>
            </w:r>
          </w:p>
        </w:tc>
        <w:tc>
          <w:tcPr>
            <w:tcW w:w="135" w:type="dxa"/>
            <w:tcBorders/>
            <w:shd w:fill="FFFFFF" w:val="clear"/>
            <w:tcMar>
              <w:bottom w:w="0" w:type="dxa"/>
            </w:tcMar>
            <w:vAlign w:val="center"/>
          </w:tcPr>
          <w:p>
            <w:pPr>
              <w:pStyle w:val="TableContents"/>
              <w:spacing w:before="0" w:after="0"/>
              <w:ind w:left="0" w:right="0" w:hanging="0"/>
              <w:rPr/>
            </w:pPr>
            <w:r>
              <w:rPr/>
              <w:t> </w:t>
            </w:r>
          </w:p>
        </w:tc>
      </w:tr>
      <w:tr>
        <w:trPr/>
        <w:tc>
          <w:tcPr>
            <w:tcW w:w="1220"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Five years later</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15,479</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17,262</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21,976</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25,210</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28,833</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37,846</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830" w:type="dxa"/>
            <w:tcBorders/>
            <w:shd w:fill="CCEEFF" w:val="clear"/>
            <w:tcMar>
              <w:bottom w:w="0" w:type="dxa"/>
            </w:tcMar>
            <w:vAlign w:val="center"/>
          </w:tcPr>
          <w:p>
            <w:pPr>
              <w:pStyle w:val="TableContents"/>
              <w:spacing w:before="0" w:after="0"/>
              <w:ind w:left="0" w:right="0" w:hanging="0"/>
              <w:rPr/>
            </w:pPr>
            <w:r>
              <w:rPr/>
              <w:t> </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1220" w:type="dxa"/>
            <w:tcBorders/>
            <w:shd w:fill="FFFF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Six years later</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15,882</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18,265</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23,280</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26,298</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30,141</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830" w:type="dxa"/>
            <w:tcBorders/>
            <w:shd w:fill="FFFFFF" w:val="clear"/>
            <w:tcMar>
              <w:bottom w:w="0" w:type="dxa"/>
            </w:tcMar>
            <w:vAlign w:val="center"/>
          </w:tcPr>
          <w:p>
            <w:pPr>
              <w:pStyle w:val="TableContents"/>
              <w:spacing w:before="0" w:after="0"/>
              <w:ind w:left="0" w:right="0" w:hanging="0"/>
              <w:rPr/>
            </w:pPr>
            <w:r>
              <w:rPr/>
              <w:t> </w:t>
            </w:r>
          </w:p>
        </w:tc>
        <w:tc>
          <w:tcPr>
            <w:tcW w:w="135" w:type="dxa"/>
            <w:tcBorders/>
            <w:shd w:fill="FFFFFF" w:val="clear"/>
            <w:tcMar>
              <w:bottom w:w="0" w:type="dxa"/>
            </w:tcMar>
            <w:vAlign w:val="center"/>
          </w:tcPr>
          <w:p>
            <w:pPr>
              <w:pStyle w:val="TableContents"/>
              <w:spacing w:before="0" w:after="0"/>
              <w:ind w:left="0" w:right="0" w:hanging="0"/>
              <w:rPr/>
            </w:pPr>
            <w:r>
              <w:rPr/>
              <w:t> </w:t>
            </w:r>
          </w:p>
        </w:tc>
      </w:tr>
      <w:tr>
        <w:trPr/>
        <w:tc>
          <w:tcPr>
            <w:tcW w:w="1220"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Seven years later</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16,152</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18,954</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24,146</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26,945</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830" w:type="dxa"/>
            <w:tcBorders/>
            <w:shd w:fill="CCEEFF" w:val="clear"/>
            <w:tcMar>
              <w:bottom w:w="0" w:type="dxa"/>
            </w:tcMar>
            <w:vAlign w:val="center"/>
          </w:tcPr>
          <w:p>
            <w:pPr>
              <w:pStyle w:val="TableContents"/>
              <w:spacing w:before="0" w:after="0"/>
              <w:ind w:left="0" w:right="0" w:hanging="0"/>
              <w:rPr/>
            </w:pPr>
            <w:r>
              <w:rPr/>
              <w:t> </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1220" w:type="dxa"/>
            <w:tcBorders/>
            <w:shd w:fill="FFFF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Eight years later</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16,516</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19,511</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24,633</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830" w:type="dxa"/>
            <w:tcBorders/>
            <w:shd w:fill="FFFFFF" w:val="clear"/>
            <w:tcMar>
              <w:bottom w:w="0" w:type="dxa"/>
            </w:tcMar>
            <w:vAlign w:val="center"/>
          </w:tcPr>
          <w:p>
            <w:pPr>
              <w:pStyle w:val="TableContents"/>
              <w:spacing w:before="0" w:after="0"/>
              <w:ind w:left="0" w:right="0" w:hanging="0"/>
              <w:rPr/>
            </w:pPr>
            <w:r>
              <w:rPr/>
              <w:t> </w:t>
            </w:r>
          </w:p>
        </w:tc>
        <w:tc>
          <w:tcPr>
            <w:tcW w:w="135" w:type="dxa"/>
            <w:tcBorders/>
            <w:shd w:fill="FFFFFF" w:val="clear"/>
            <w:tcMar>
              <w:bottom w:w="0" w:type="dxa"/>
            </w:tcMar>
            <w:vAlign w:val="center"/>
          </w:tcPr>
          <w:p>
            <w:pPr>
              <w:pStyle w:val="TableContents"/>
              <w:spacing w:before="0" w:after="0"/>
              <w:ind w:left="0" w:right="0" w:hanging="0"/>
              <w:rPr/>
            </w:pPr>
            <w:r>
              <w:rPr/>
              <w:t> </w:t>
            </w:r>
          </w:p>
        </w:tc>
      </w:tr>
      <w:tr>
        <w:trPr/>
        <w:tc>
          <w:tcPr>
            <w:tcW w:w="1220"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Nine years later</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16,667</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19,635</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830" w:type="dxa"/>
            <w:tcBorders/>
            <w:shd w:fill="CCEEFF" w:val="clear"/>
            <w:tcMar>
              <w:bottom w:w="0" w:type="dxa"/>
            </w:tcMar>
            <w:vAlign w:val="center"/>
          </w:tcPr>
          <w:p>
            <w:pPr>
              <w:pStyle w:val="TableContents"/>
              <w:spacing w:before="0" w:after="0"/>
              <w:ind w:left="0" w:right="0" w:hanging="0"/>
              <w:rPr/>
            </w:pPr>
            <w:r>
              <w:rPr/>
              <w:t> </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1220" w:type="dxa"/>
            <w:tcBorders/>
            <w:shd w:fill="FFFF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Ten years later</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16,709</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830" w:type="dxa"/>
            <w:tcBorders/>
            <w:shd w:fill="FFFFFF" w:val="clear"/>
            <w:tcMar>
              <w:bottom w:w="0" w:type="dxa"/>
            </w:tcMar>
            <w:vAlign w:val="center"/>
          </w:tcPr>
          <w:p>
            <w:pPr>
              <w:pStyle w:val="TableContents"/>
              <w:spacing w:before="0" w:after="0"/>
              <w:ind w:left="0" w:right="0" w:hanging="0"/>
              <w:rPr/>
            </w:pPr>
            <w:r>
              <w:rPr/>
              <w:t> </w:t>
            </w:r>
          </w:p>
        </w:tc>
        <w:tc>
          <w:tcPr>
            <w:tcW w:w="135" w:type="dxa"/>
            <w:tcBorders/>
            <w:shd w:fill="FFFFFF" w:val="clear"/>
            <w:tcMar>
              <w:bottom w:w="0" w:type="dxa"/>
            </w:tcMar>
            <w:vAlign w:val="center"/>
          </w:tcPr>
          <w:p>
            <w:pPr>
              <w:pStyle w:val="TableContents"/>
              <w:spacing w:before="0" w:after="0"/>
              <w:ind w:left="0" w:right="0" w:hanging="0"/>
              <w:rPr/>
            </w:pPr>
            <w:r>
              <w:rPr/>
              <w:t> </w:t>
            </w:r>
          </w:p>
        </w:tc>
      </w:tr>
      <w:tr>
        <w:trPr/>
        <w:tc>
          <w:tcPr>
            <w:tcW w:w="122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830" w:type="dxa"/>
            <w:tcBorders/>
            <w:shd w:fill="CCEEFF" w:val="clear"/>
            <w:tcMar>
              <w:bottom w:w="0" w:type="dxa"/>
            </w:tcMar>
            <w:vAlign w:val="center"/>
          </w:tcPr>
          <w:p>
            <w:pPr>
              <w:pStyle w:val="TableContents"/>
              <w:spacing w:before="0" w:after="0"/>
              <w:ind w:left="0" w:right="0" w:hanging="0"/>
              <w:rPr/>
            </w:pPr>
            <w:r>
              <w:rPr/>
              <w:t> </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1220" w:type="dxa"/>
            <w:tcBorders/>
            <w:shd w:fill="FFFF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Net reserve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830" w:type="dxa"/>
            <w:tcBorders/>
            <w:shd w:fill="FFFFFF" w:val="clear"/>
            <w:tcMar>
              <w:bottom w:w="0" w:type="dxa"/>
            </w:tcMar>
            <w:vAlign w:val="center"/>
          </w:tcPr>
          <w:p>
            <w:pPr>
              <w:pStyle w:val="TableContents"/>
              <w:spacing w:before="0" w:after="0"/>
              <w:ind w:left="0" w:right="0" w:hanging="0"/>
              <w:rPr/>
            </w:pPr>
            <w:r>
              <w:rPr/>
              <w:t> </w:t>
            </w:r>
          </w:p>
        </w:tc>
        <w:tc>
          <w:tcPr>
            <w:tcW w:w="135" w:type="dxa"/>
            <w:tcBorders/>
            <w:shd w:fill="FFFFFF" w:val="clear"/>
            <w:tcMar>
              <w:bottom w:w="0" w:type="dxa"/>
            </w:tcMar>
            <w:vAlign w:val="center"/>
          </w:tcPr>
          <w:p>
            <w:pPr>
              <w:pStyle w:val="TableContents"/>
              <w:spacing w:before="0" w:after="0"/>
              <w:ind w:left="0" w:right="0" w:hanging="0"/>
              <w:rPr/>
            </w:pPr>
            <w:r>
              <w:rPr/>
              <w:t> </w:t>
            </w:r>
          </w:p>
        </w:tc>
      </w:tr>
      <w:tr>
        <w:trPr/>
        <w:tc>
          <w:tcPr>
            <w:tcW w:w="1220"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December 31,</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12,065</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17,139</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21,663</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23,170</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25,960</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32,051</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283"/>
              <w:jc w:val="right"/>
              <w:rPr/>
            </w:pPr>
            <w:r>
              <w:rPr/>
              <w:t>40,526</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64,770</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62,647</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283"/>
              <w:jc w:val="right"/>
              <w:rPr/>
            </w:pPr>
            <w:r>
              <w:rPr/>
              <w:t>84,311</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830" w:type="dxa"/>
            <w:tcBorders/>
            <w:shd w:fill="CCEEFF" w:val="clear"/>
            <w:tcMar>
              <w:bottom w:w="0" w:type="dxa"/>
            </w:tcMar>
            <w:vAlign w:val="center"/>
          </w:tcPr>
          <w:p>
            <w:pPr>
              <w:pStyle w:val="TableContents"/>
              <w:spacing w:before="0" w:after="283"/>
              <w:jc w:val="right"/>
              <w:rPr/>
            </w:pPr>
            <w:r>
              <w:rPr/>
              <w:t>90,680</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1220" w:type="dxa"/>
            <w:tcBorders/>
            <w:shd w:fill="FFFF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Reinsurance Recoverable</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18,420</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17,364</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18,250</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16,707</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15,777</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16,749</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15,671</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15,728</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20,154</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10,638</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830" w:type="dxa"/>
            <w:tcBorders/>
            <w:shd w:fill="FFFFFF" w:val="clear"/>
            <w:tcMar>
              <w:bottom w:w="0" w:type="dxa"/>
            </w:tcMar>
            <w:vAlign w:val="center"/>
          </w:tcPr>
          <w:p>
            <w:pPr>
              <w:pStyle w:val="TableContents"/>
              <w:spacing w:before="0" w:after="283"/>
              <w:jc w:val="right"/>
              <w:rPr/>
            </w:pPr>
            <w:r>
              <w:rPr/>
              <w:t>27,660</w:t>
            </w:r>
          </w:p>
        </w:tc>
        <w:tc>
          <w:tcPr>
            <w:tcW w:w="135" w:type="dxa"/>
            <w:tcBorders/>
            <w:shd w:fill="FFFFFF" w:val="clear"/>
            <w:tcMar>
              <w:bottom w:w="0" w:type="dxa"/>
            </w:tcMar>
            <w:vAlign w:val="center"/>
          </w:tcPr>
          <w:p>
            <w:pPr>
              <w:pStyle w:val="TableContents"/>
              <w:spacing w:before="0" w:after="0"/>
              <w:ind w:left="0" w:right="0" w:hanging="0"/>
              <w:rPr/>
            </w:pPr>
            <w:r>
              <w:rPr/>
              <w:t> </w:t>
            </w:r>
          </w:p>
        </w:tc>
      </w:tr>
      <w:tr>
        <w:trPr/>
        <w:tc>
          <w:tcPr>
            <w:tcW w:w="1220"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Gross reserves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CCEEFF" w:val="clear"/>
            <w:vAlign w:val="center"/>
          </w:tcPr>
          <w:p>
            <w:pPr>
              <w:pStyle w:val="TableContents"/>
              <w:spacing w:before="0" w:after="0"/>
              <w:ind w:left="0" w:right="0" w:hanging="0"/>
              <w:rPr/>
            </w:pPr>
            <w:r>
              <w:rPr/>
              <w:t> </w:t>
            </w:r>
          </w:p>
        </w:tc>
        <w:tc>
          <w:tcPr>
            <w:tcW w:w="785" w:type="dxa"/>
            <w:tcBorders>
              <w:bottom w:val="single" w:sz="2" w:space="0" w:color="000000"/>
            </w:tcBorders>
            <w:shd w:fill="CCEEFF" w:val="cle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CCEEFF" w:val="clear"/>
            <w:vAlign w:val="center"/>
          </w:tcPr>
          <w:p>
            <w:pPr>
              <w:pStyle w:val="TableContents"/>
              <w:spacing w:before="0" w:after="0"/>
              <w:ind w:left="0" w:right="0" w:hanging="0"/>
              <w:rPr/>
            </w:pPr>
            <w:r>
              <w:rPr/>
              <w:t> </w:t>
            </w:r>
          </w:p>
        </w:tc>
        <w:tc>
          <w:tcPr>
            <w:tcW w:w="710" w:type="dxa"/>
            <w:tcBorders>
              <w:bottom w:val="single" w:sz="2" w:space="0" w:color="000000"/>
            </w:tcBorders>
            <w:shd w:fill="CCEEFF" w:val="cle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CCEEFF" w:val="clear"/>
            <w:vAlign w:val="center"/>
          </w:tcPr>
          <w:p>
            <w:pPr>
              <w:pStyle w:val="TableContents"/>
              <w:spacing w:before="0" w:after="0"/>
              <w:ind w:left="0" w:right="0" w:hanging="0"/>
              <w:rPr/>
            </w:pPr>
            <w:r>
              <w:rPr/>
              <w:t> </w:t>
            </w:r>
          </w:p>
        </w:tc>
        <w:tc>
          <w:tcPr>
            <w:tcW w:w="710" w:type="dxa"/>
            <w:tcBorders>
              <w:bottom w:val="single" w:sz="2" w:space="0" w:color="000000"/>
            </w:tcBorders>
            <w:shd w:fill="CCEEFF" w:val="cle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CCEEFF" w:val="clear"/>
            <w:vAlign w:val="center"/>
          </w:tcPr>
          <w:p>
            <w:pPr>
              <w:pStyle w:val="TableContents"/>
              <w:spacing w:before="0" w:after="0"/>
              <w:ind w:left="0" w:right="0" w:hanging="0"/>
              <w:rPr/>
            </w:pPr>
            <w:r>
              <w:rPr/>
              <w:t> </w:t>
            </w:r>
          </w:p>
        </w:tc>
        <w:tc>
          <w:tcPr>
            <w:tcW w:w="785" w:type="dxa"/>
            <w:tcBorders>
              <w:bottom w:val="single" w:sz="2" w:space="0" w:color="000000"/>
            </w:tcBorders>
            <w:shd w:fill="CCEEFF" w:val="cle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CCEEFF" w:val="clear"/>
            <w:vAlign w:val="center"/>
          </w:tcPr>
          <w:p>
            <w:pPr>
              <w:pStyle w:val="TableContents"/>
              <w:spacing w:before="0" w:after="0"/>
              <w:ind w:left="0" w:right="0" w:hanging="0"/>
              <w:rPr/>
            </w:pPr>
            <w:r>
              <w:rPr/>
              <w:t> </w:t>
            </w:r>
          </w:p>
        </w:tc>
        <w:tc>
          <w:tcPr>
            <w:tcW w:w="785" w:type="dxa"/>
            <w:tcBorders>
              <w:bottom w:val="single" w:sz="2" w:space="0" w:color="000000"/>
            </w:tcBorders>
            <w:shd w:fill="CCEEFF" w:val="cle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CCEEFF" w:val="clear"/>
            <w:vAlign w:val="center"/>
          </w:tcPr>
          <w:p>
            <w:pPr>
              <w:pStyle w:val="TableContents"/>
              <w:spacing w:before="0" w:after="0"/>
              <w:ind w:left="0" w:right="0" w:hanging="0"/>
              <w:rPr/>
            </w:pPr>
            <w:r>
              <w:rPr/>
              <w:t> </w:t>
            </w:r>
          </w:p>
        </w:tc>
        <w:tc>
          <w:tcPr>
            <w:tcW w:w="785" w:type="dxa"/>
            <w:tcBorders>
              <w:bottom w:val="single" w:sz="2" w:space="0" w:color="000000"/>
            </w:tcBorders>
            <w:shd w:fill="CCEEFF" w:val="cle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CCEEFF" w:val="clear"/>
            <w:vAlign w:val="center"/>
          </w:tcPr>
          <w:p>
            <w:pPr>
              <w:pStyle w:val="TableContents"/>
              <w:spacing w:before="0" w:after="0"/>
              <w:ind w:left="0" w:right="0" w:hanging="0"/>
              <w:rPr/>
            </w:pPr>
            <w:r>
              <w:rPr/>
              <w:t> </w:t>
            </w:r>
          </w:p>
        </w:tc>
        <w:tc>
          <w:tcPr>
            <w:tcW w:w="785" w:type="dxa"/>
            <w:tcBorders>
              <w:bottom w:val="single" w:sz="2" w:space="0" w:color="000000"/>
            </w:tcBorders>
            <w:shd w:fill="CCEEFF" w:val="cle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CCEEFF" w:val="clear"/>
            <w:vAlign w:val="center"/>
          </w:tcPr>
          <w:p>
            <w:pPr>
              <w:pStyle w:val="TableContents"/>
              <w:spacing w:before="0" w:after="0"/>
              <w:ind w:left="0" w:right="0" w:hanging="0"/>
              <w:rPr/>
            </w:pPr>
            <w:r>
              <w:rPr/>
              <w:t> </w:t>
            </w:r>
          </w:p>
        </w:tc>
        <w:tc>
          <w:tcPr>
            <w:tcW w:w="710" w:type="dxa"/>
            <w:tcBorders>
              <w:bottom w:val="single" w:sz="2" w:space="0" w:color="000000"/>
            </w:tcBorders>
            <w:shd w:fill="CCEEFF" w:val="cle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CCEEFF" w:val="clear"/>
            <w:vAlign w:val="center"/>
          </w:tcPr>
          <w:p>
            <w:pPr>
              <w:pStyle w:val="TableContents"/>
              <w:spacing w:before="0" w:after="0"/>
              <w:ind w:left="0" w:right="0" w:hanging="0"/>
              <w:rPr/>
            </w:pPr>
            <w:r>
              <w:rPr/>
              <w:t> </w:t>
            </w:r>
          </w:p>
        </w:tc>
        <w:tc>
          <w:tcPr>
            <w:tcW w:w="710" w:type="dxa"/>
            <w:tcBorders>
              <w:bottom w:val="single" w:sz="2" w:space="0" w:color="000000"/>
            </w:tcBorders>
            <w:shd w:fill="CCEEFF" w:val="cle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CCEEFF" w:val="clear"/>
            <w:vAlign w:val="center"/>
          </w:tcPr>
          <w:p>
            <w:pPr>
              <w:pStyle w:val="TableContents"/>
              <w:spacing w:before="0" w:after="0"/>
              <w:ind w:left="0" w:right="0" w:hanging="0"/>
              <w:rPr/>
            </w:pPr>
            <w:r>
              <w:rPr/>
              <w:t> </w:t>
            </w:r>
          </w:p>
        </w:tc>
        <w:tc>
          <w:tcPr>
            <w:tcW w:w="710" w:type="dxa"/>
            <w:tcBorders>
              <w:bottom w:val="single" w:sz="2" w:space="0" w:color="000000"/>
            </w:tcBorders>
            <w:shd w:fill="CCEEFF" w:val="cle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CCEEFF" w:val="clear"/>
            <w:vAlign w:val="center"/>
          </w:tcPr>
          <w:p>
            <w:pPr>
              <w:pStyle w:val="TableContents"/>
              <w:spacing w:before="0" w:after="0"/>
              <w:ind w:left="0" w:right="0" w:hanging="0"/>
              <w:rPr/>
            </w:pPr>
            <w:r>
              <w:rPr/>
              <w:t> </w:t>
            </w:r>
          </w:p>
        </w:tc>
        <w:tc>
          <w:tcPr>
            <w:tcW w:w="830" w:type="dxa"/>
            <w:tcBorders>
              <w:bottom w:val="single" w:sz="2" w:space="0" w:color="000000"/>
            </w:tcBorders>
            <w:shd w:fill="CCEEFF" w:val="clear"/>
            <w:vAlign w:val="center"/>
          </w:tcPr>
          <w:p>
            <w:pPr>
              <w:pStyle w:val="TableContents"/>
              <w:spacing w:before="0" w:after="0"/>
              <w:ind w:left="0" w:right="0" w:hanging="0"/>
              <w:rPr/>
            </w:pPr>
            <w:r>
              <w:rPr/>
              <w:t> </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1220" w:type="dxa"/>
            <w:tcBorders/>
            <w:shd w:fill="FFFFFF" w:val="clear"/>
            <w:tcMar>
              <w:bottom w:w="0" w:type="dxa"/>
            </w:tcMar>
            <w:vAlign w:val="center"/>
          </w:tcPr>
          <w:p>
            <w:pPr>
              <w:pStyle w:val="TableContents"/>
              <w:spacing w:before="0" w:after="0"/>
              <w:ind w:left="0" w:right="0" w:hanging="0"/>
              <w:rPr/>
            </w:pPr>
            <w:r>
              <w:rPr/>
              <w:t xml:space="preserve">  </w:t>
            </w:r>
            <w:r>
              <w:rPr>
                <w:rFonts w:ascii="times new roman" w:hAnsi="times new roman"/>
                <w:sz w:val="20"/>
              </w:rPr>
              <w:t>December 31,</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85" w:type="dxa"/>
            <w:tcBorders>
              <w:bottom w:val="double" w:sz="6" w:space="0" w:color="000000"/>
            </w:tcBorders>
            <w:shd w:fill="FFFFFF" w:val="clear"/>
            <w:vAlign w:val="center"/>
          </w:tcPr>
          <w:p>
            <w:pPr>
              <w:pStyle w:val="TableContents"/>
              <w:spacing w:before="0" w:after="283"/>
              <w:jc w:val="right"/>
              <w:rPr/>
            </w:pPr>
            <w:r>
              <w:rPr/>
              <w:t>30,485</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10" w:type="dxa"/>
            <w:tcBorders>
              <w:bottom w:val="double" w:sz="6" w:space="0" w:color="000000"/>
            </w:tcBorders>
            <w:shd w:fill="FFFFFF" w:val="clear"/>
            <w:vAlign w:val="center"/>
          </w:tcPr>
          <w:p>
            <w:pPr>
              <w:pStyle w:val="TableContents"/>
              <w:spacing w:before="0" w:after="283"/>
              <w:jc w:val="right"/>
              <w:rPr/>
            </w:pPr>
            <w:r>
              <w:rPr/>
              <w:t>34,503</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10" w:type="dxa"/>
            <w:tcBorders>
              <w:bottom w:val="double" w:sz="6" w:space="0" w:color="000000"/>
            </w:tcBorders>
            <w:shd w:fill="FFFFFF" w:val="clear"/>
            <w:vAlign w:val="center"/>
          </w:tcPr>
          <w:p>
            <w:pPr>
              <w:pStyle w:val="TableContents"/>
              <w:spacing w:before="0" w:after="283"/>
              <w:jc w:val="right"/>
              <w:rPr/>
            </w:pPr>
            <w:r>
              <w:rPr/>
              <w:t>39,913</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85" w:type="dxa"/>
            <w:tcBorders>
              <w:bottom w:val="double" w:sz="6" w:space="0" w:color="000000"/>
            </w:tcBorders>
            <w:shd w:fill="FFFFFF" w:val="clear"/>
            <w:vAlign w:val="center"/>
          </w:tcPr>
          <w:p>
            <w:pPr>
              <w:pStyle w:val="TableContents"/>
              <w:spacing w:before="0" w:after="283"/>
              <w:jc w:val="right"/>
              <w:rPr/>
            </w:pPr>
            <w:r>
              <w:rPr/>
              <w:t>39,877</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85" w:type="dxa"/>
            <w:tcBorders>
              <w:bottom w:val="double" w:sz="6" w:space="0" w:color="000000"/>
            </w:tcBorders>
            <w:shd w:fill="FFFFFF" w:val="clear"/>
            <w:vAlign w:val="center"/>
          </w:tcPr>
          <w:p>
            <w:pPr>
              <w:pStyle w:val="TableContents"/>
              <w:spacing w:before="0" w:after="283"/>
              <w:jc w:val="right"/>
              <w:rPr/>
            </w:pPr>
            <w:r>
              <w:rPr/>
              <w:t>41,737</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85" w:type="dxa"/>
            <w:tcBorders>
              <w:bottom w:val="double" w:sz="6" w:space="0" w:color="000000"/>
            </w:tcBorders>
            <w:shd w:fill="FFFFFF" w:val="clear"/>
            <w:vAlign w:val="center"/>
          </w:tcPr>
          <w:p>
            <w:pPr>
              <w:pStyle w:val="TableContents"/>
              <w:spacing w:before="0" w:after="283"/>
              <w:jc w:val="right"/>
              <w:rPr/>
            </w:pPr>
            <w:r>
              <w:rPr/>
              <w:t>48,800</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85" w:type="dxa"/>
            <w:tcBorders>
              <w:bottom w:val="double" w:sz="6" w:space="0" w:color="000000"/>
            </w:tcBorders>
            <w:shd w:fill="FFFFFF" w:val="clear"/>
            <w:vAlign w:val="center"/>
          </w:tcPr>
          <w:p>
            <w:pPr>
              <w:pStyle w:val="TableContents"/>
              <w:spacing w:before="0" w:after="283"/>
              <w:jc w:val="right"/>
              <w:rPr/>
            </w:pPr>
            <w:r>
              <w:rPr/>
              <w:t>56,197</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10" w:type="dxa"/>
            <w:tcBorders>
              <w:bottom w:val="double" w:sz="6" w:space="0" w:color="000000"/>
            </w:tcBorders>
            <w:shd w:fill="FFFFFF" w:val="clear"/>
            <w:vAlign w:val="center"/>
          </w:tcPr>
          <w:p>
            <w:pPr>
              <w:pStyle w:val="TableContents"/>
              <w:spacing w:before="0" w:after="283"/>
              <w:jc w:val="right"/>
              <w:rPr/>
            </w:pPr>
            <w:r>
              <w:rPr/>
              <w:t>80,499</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10" w:type="dxa"/>
            <w:tcBorders>
              <w:bottom w:val="double" w:sz="6" w:space="0" w:color="000000"/>
            </w:tcBorders>
            <w:shd w:fill="FFFFFF" w:val="clear"/>
            <w:vAlign w:val="center"/>
          </w:tcPr>
          <w:p>
            <w:pPr>
              <w:pStyle w:val="TableContents"/>
              <w:spacing w:before="0" w:after="283"/>
              <w:jc w:val="right"/>
              <w:rPr/>
            </w:pPr>
            <w:r>
              <w:rPr/>
              <w:t>82,801</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10" w:type="dxa"/>
            <w:tcBorders>
              <w:bottom w:val="double" w:sz="6" w:space="0" w:color="000000"/>
            </w:tcBorders>
            <w:shd w:fill="FFFFFF" w:val="clear"/>
            <w:vAlign w:val="center"/>
          </w:tcPr>
          <w:p>
            <w:pPr>
              <w:pStyle w:val="TableContents"/>
              <w:spacing w:before="0" w:after="283"/>
              <w:jc w:val="right"/>
              <w:rPr/>
            </w:pPr>
            <w:r>
              <w:rPr/>
              <w:t>94,949</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830" w:type="dxa"/>
            <w:tcBorders>
              <w:bottom w:val="double" w:sz="6" w:space="0" w:color="000000"/>
            </w:tcBorders>
            <w:shd w:fill="FFFFFF" w:val="clear"/>
            <w:vAlign w:val="center"/>
          </w:tcPr>
          <w:p>
            <w:pPr>
              <w:pStyle w:val="TableContents"/>
              <w:spacing w:before="0" w:after="283"/>
              <w:jc w:val="right"/>
              <w:rPr/>
            </w:pPr>
            <w:r>
              <w:rPr/>
              <w:t>118,340</w:t>
            </w:r>
          </w:p>
        </w:tc>
        <w:tc>
          <w:tcPr>
            <w:tcW w:w="135" w:type="dxa"/>
            <w:tcBorders/>
            <w:shd w:fill="FFFFFF" w:val="clear"/>
            <w:tcMar>
              <w:bottom w:w="0" w:type="dxa"/>
            </w:tcMar>
            <w:vAlign w:val="center"/>
          </w:tcPr>
          <w:p>
            <w:pPr>
              <w:pStyle w:val="TableContents"/>
              <w:spacing w:before="0" w:after="0"/>
              <w:ind w:left="0" w:right="0" w:hanging="0"/>
              <w:rPr/>
            </w:pPr>
            <w:r>
              <w:rPr/>
              <w:t> </w:t>
            </w:r>
          </w:p>
        </w:tc>
      </w:tr>
      <w:tr>
        <w:trPr/>
        <w:tc>
          <w:tcPr>
            <w:tcW w:w="122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830" w:type="dxa"/>
            <w:tcBorders/>
            <w:shd w:fill="CCEEFF" w:val="clear"/>
            <w:tcMar>
              <w:bottom w:w="0" w:type="dxa"/>
            </w:tcMar>
            <w:vAlign w:val="center"/>
          </w:tcPr>
          <w:p>
            <w:pPr>
              <w:pStyle w:val="TableContents"/>
              <w:spacing w:before="0" w:after="0"/>
              <w:ind w:left="0" w:right="0" w:hanging="0"/>
              <w:rPr/>
            </w:pPr>
            <w:r>
              <w:rPr/>
              <w:t> </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1220" w:type="dxa"/>
            <w:tcBorders/>
            <w:shd w:fill="FFFF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Net re-estimated reserve</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16,974</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19,963</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25,324</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28,734</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32,936</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43,774</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85" w:type="dxa"/>
            <w:tcBorders/>
            <w:shd w:fill="FFFFFF" w:val="clear"/>
            <w:tcMar>
              <w:bottom w:w="0" w:type="dxa"/>
            </w:tcMar>
            <w:vAlign w:val="center"/>
          </w:tcPr>
          <w:p>
            <w:pPr>
              <w:pStyle w:val="TableContents"/>
              <w:spacing w:before="0" w:after="283"/>
              <w:jc w:val="right"/>
              <w:rPr/>
            </w:pPr>
            <w:r>
              <w:rPr/>
              <w:t>58,048</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67,291</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65,339</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10" w:type="dxa"/>
            <w:tcBorders/>
            <w:shd w:fill="FFFFFF" w:val="clear"/>
            <w:tcMar>
              <w:bottom w:w="0" w:type="dxa"/>
            </w:tcMar>
            <w:vAlign w:val="center"/>
          </w:tcPr>
          <w:p>
            <w:pPr>
              <w:pStyle w:val="TableContents"/>
              <w:spacing w:before="0" w:after="283"/>
              <w:jc w:val="right"/>
              <w:rPr/>
            </w:pPr>
            <w:r>
              <w:rPr/>
              <w:t>87,011</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830" w:type="dxa"/>
            <w:tcBorders/>
            <w:shd w:fill="FFFFFF" w:val="clear"/>
            <w:tcMar>
              <w:bottom w:w="0" w:type="dxa"/>
            </w:tcMar>
            <w:vAlign w:val="center"/>
          </w:tcPr>
          <w:p>
            <w:pPr>
              <w:pStyle w:val="TableContents"/>
              <w:spacing w:before="0" w:after="0"/>
              <w:ind w:left="0" w:right="0" w:hanging="0"/>
              <w:rPr/>
            </w:pPr>
            <w:r>
              <w:rPr/>
              <w:t> </w:t>
            </w:r>
          </w:p>
        </w:tc>
        <w:tc>
          <w:tcPr>
            <w:tcW w:w="135" w:type="dxa"/>
            <w:tcBorders/>
            <w:shd w:fill="FFFFFF" w:val="clear"/>
            <w:tcMar>
              <w:bottom w:w="0" w:type="dxa"/>
            </w:tcMar>
            <w:vAlign w:val="center"/>
          </w:tcPr>
          <w:p>
            <w:pPr>
              <w:pStyle w:val="TableContents"/>
              <w:spacing w:before="0" w:after="0"/>
              <w:ind w:left="0" w:right="0" w:hanging="0"/>
              <w:rPr/>
            </w:pPr>
            <w:r>
              <w:rPr/>
              <w:t> </w:t>
            </w:r>
          </w:p>
        </w:tc>
      </w:tr>
      <w:tr>
        <w:trPr/>
        <w:tc>
          <w:tcPr>
            <w:tcW w:w="1220"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Re-estimated reinsurance recoverable</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CCEEFF" w:val="clear"/>
            <w:vAlign w:val="center"/>
          </w:tcPr>
          <w:p>
            <w:pPr>
              <w:pStyle w:val="TableContents"/>
              <w:spacing w:before="0" w:after="0"/>
              <w:ind w:left="0" w:right="0" w:hanging="0"/>
              <w:rPr/>
            </w:pPr>
            <w:r>
              <w:rPr/>
              <w:t> </w:t>
            </w:r>
          </w:p>
        </w:tc>
        <w:tc>
          <w:tcPr>
            <w:tcW w:w="785" w:type="dxa"/>
            <w:tcBorders>
              <w:bottom w:val="single" w:sz="2" w:space="0" w:color="000000"/>
            </w:tcBorders>
            <w:shd w:fill="CCEEFF" w:val="clear"/>
            <w:vAlign w:val="center"/>
          </w:tcPr>
          <w:p>
            <w:pPr>
              <w:pStyle w:val="TableContents"/>
              <w:spacing w:before="0" w:after="283"/>
              <w:jc w:val="right"/>
              <w:rPr/>
            </w:pPr>
            <w:r>
              <w:rPr/>
              <w:t>28,161</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CCEEFF" w:val="clear"/>
            <w:vAlign w:val="center"/>
          </w:tcPr>
          <w:p>
            <w:pPr>
              <w:pStyle w:val="TableContents"/>
              <w:spacing w:before="0" w:after="0"/>
              <w:ind w:left="0" w:right="0" w:hanging="0"/>
              <w:rPr/>
            </w:pPr>
            <w:r>
              <w:rPr/>
              <w:t> </w:t>
            </w:r>
          </w:p>
        </w:tc>
        <w:tc>
          <w:tcPr>
            <w:tcW w:w="710" w:type="dxa"/>
            <w:tcBorders>
              <w:bottom w:val="single" w:sz="2" w:space="0" w:color="000000"/>
            </w:tcBorders>
            <w:shd w:fill="CCEEFF" w:val="clear"/>
            <w:vAlign w:val="center"/>
          </w:tcPr>
          <w:p>
            <w:pPr>
              <w:pStyle w:val="TableContents"/>
              <w:spacing w:before="0" w:after="283"/>
              <w:jc w:val="right"/>
              <w:rPr/>
            </w:pPr>
            <w:r>
              <w:rPr/>
              <w:t>22,215</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CCEEFF" w:val="clear"/>
            <w:vAlign w:val="center"/>
          </w:tcPr>
          <w:p>
            <w:pPr>
              <w:pStyle w:val="TableContents"/>
              <w:spacing w:before="0" w:after="0"/>
              <w:ind w:left="0" w:right="0" w:hanging="0"/>
              <w:rPr/>
            </w:pPr>
            <w:r>
              <w:rPr/>
              <w:t> </w:t>
            </w:r>
          </w:p>
        </w:tc>
        <w:tc>
          <w:tcPr>
            <w:tcW w:w="710" w:type="dxa"/>
            <w:tcBorders>
              <w:bottom w:val="single" w:sz="2" w:space="0" w:color="000000"/>
            </w:tcBorders>
            <w:shd w:fill="CCEEFF" w:val="clear"/>
            <w:vAlign w:val="center"/>
          </w:tcPr>
          <w:p>
            <w:pPr>
              <w:pStyle w:val="TableContents"/>
              <w:spacing w:before="0" w:after="283"/>
              <w:jc w:val="right"/>
              <w:rPr/>
            </w:pPr>
            <w:r>
              <w:rPr/>
              <w:t>23,368</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CCEEFF" w:val="clear"/>
            <w:vAlign w:val="center"/>
          </w:tcPr>
          <w:p>
            <w:pPr>
              <w:pStyle w:val="TableContents"/>
              <w:spacing w:before="0" w:after="0"/>
              <w:ind w:left="0" w:right="0" w:hanging="0"/>
              <w:rPr/>
            </w:pPr>
            <w:r>
              <w:rPr/>
              <w:t> </w:t>
            </w:r>
          </w:p>
        </w:tc>
        <w:tc>
          <w:tcPr>
            <w:tcW w:w="785" w:type="dxa"/>
            <w:tcBorders>
              <w:bottom w:val="single" w:sz="2" w:space="0" w:color="000000"/>
            </w:tcBorders>
            <w:shd w:fill="CCEEFF" w:val="clear"/>
            <w:vAlign w:val="center"/>
          </w:tcPr>
          <w:p>
            <w:pPr>
              <w:pStyle w:val="TableContents"/>
              <w:spacing w:before="0" w:after="283"/>
              <w:jc w:val="right"/>
              <w:rPr/>
            </w:pPr>
            <w:r>
              <w:rPr/>
              <w:t>21,374</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CCEEFF" w:val="clear"/>
            <w:vAlign w:val="center"/>
          </w:tcPr>
          <w:p>
            <w:pPr>
              <w:pStyle w:val="TableContents"/>
              <w:spacing w:before="0" w:after="0"/>
              <w:ind w:left="0" w:right="0" w:hanging="0"/>
              <w:rPr/>
            </w:pPr>
            <w:r>
              <w:rPr/>
              <w:t> </w:t>
            </w:r>
          </w:p>
        </w:tc>
        <w:tc>
          <w:tcPr>
            <w:tcW w:w="785" w:type="dxa"/>
            <w:tcBorders>
              <w:bottom w:val="single" w:sz="2" w:space="0" w:color="000000"/>
            </w:tcBorders>
            <w:shd w:fill="CCEEFF" w:val="clear"/>
            <w:vAlign w:val="center"/>
          </w:tcPr>
          <w:p>
            <w:pPr>
              <w:pStyle w:val="TableContents"/>
              <w:spacing w:before="0" w:after="283"/>
              <w:jc w:val="right"/>
              <w:rPr/>
            </w:pPr>
            <w:r>
              <w:rPr/>
              <w:t>20,694</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CCEEFF" w:val="clear"/>
            <w:vAlign w:val="center"/>
          </w:tcPr>
          <w:p>
            <w:pPr>
              <w:pStyle w:val="TableContents"/>
              <w:spacing w:before="0" w:after="0"/>
              <w:ind w:left="0" w:right="0" w:hanging="0"/>
              <w:rPr/>
            </w:pPr>
            <w:r>
              <w:rPr/>
              <w:t> </w:t>
            </w:r>
          </w:p>
        </w:tc>
        <w:tc>
          <w:tcPr>
            <w:tcW w:w="785" w:type="dxa"/>
            <w:tcBorders>
              <w:bottom w:val="single" w:sz="2" w:space="0" w:color="000000"/>
            </w:tcBorders>
            <w:shd w:fill="CCEEFF" w:val="clear"/>
            <w:vAlign w:val="center"/>
          </w:tcPr>
          <w:p>
            <w:pPr>
              <w:pStyle w:val="TableContents"/>
              <w:spacing w:before="0" w:after="283"/>
              <w:jc w:val="right"/>
              <w:rPr/>
            </w:pPr>
            <w:r>
              <w:rPr/>
              <w:t>20,853</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CCEEFF" w:val="clear"/>
            <w:vAlign w:val="center"/>
          </w:tcPr>
          <w:p>
            <w:pPr>
              <w:pStyle w:val="TableContents"/>
              <w:spacing w:before="0" w:after="0"/>
              <w:ind w:left="0" w:right="0" w:hanging="0"/>
              <w:rPr/>
            </w:pPr>
            <w:r>
              <w:rPr/>
              <w:t> </w:t>
            </w:r>
          </w:p>
        </w:tc>
        <w:tc>
          <w:tcPr>
            <w:tcW w:w="785" w:type="dxa"/>
            <w:tcBorders>
              <w:bottom w:val="single" w:sz="2" w:space="0" w:color="000000"/>
            </w:tcBorders>
            <w:shd w:fill="CCEEFF" w:val="clear"/>
            <w:vAlign w:val="center"/>
          </w:tcPr>
          <w:p>
            <w:pPr>
              <w:pStyle w:val="TableContents"/>
              <w:spacing w:before="0" w:after="283"/>
              <w:jc w:val="right"/>
              <w:rPr/>
            </w:pPr>
            <w:r>
              <w:rPr/>
              <w:t>19,024</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CCEEFF" w:val="clear"/>
            <w:vAlign w:val="center"/>
          </w:tcPr>
          <w:p>
            <w:pPr>
              <w:pStyle w:val="TableContents"/>
              <w:spacing w:before="0" w:after="0"/>
              <w:ind w:left="0" w:right="0" w:hanging="0"/>
              <w:rPr/>
            </w:pPr>
            <w:r>
              <w:rPr/>
              <w:t> </w:t>
            </w:r>
          </w:p>
        </w:tc>
        <w:tc>
          <w:tcPr>
            <w:tcW w:w="710" w:type="dxa"/>
            <w:tcBorders>
              <w:bottom w:val="single" w:sz="2" w:space="0" w:color="000000"/>
            </w:tcBorders>
            <w:shd w:fill="CCEEFF" w:val="clear"/>
            <w:vAlign w:val="center"/>
          </w:tcPr>
          <w:p>
            <w:pPr>
              <w:pStyle w:val="TableContents"/>
              <w:spacing w:before="0" w:after="283"/>
              <w:jc w:val="right"/>
              <w:rPr/>
            </w:pPr>
            <w:r>
              <w:rPr/>
              <w:t>15,447</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CCEEFF" w:val="clear"/>
            <w:vAlign w:val="center"/>
          </w:tcPr>
          <w:p>
            <w:pPr>
              <w:pStyle w:val="TableContents"/>
              <w:spacing w:before="0" w:after="0"/>
              <w:ind w:left="0" w:right="0" w:hanging="0"/>
              <w:rPr/>
            </w:pPr>
            <w:r>
              <w:rPr/>
              <w:t> </w:t>
            </w:r>
          </w:p>
        </w:tc>
        <w:tc>
          <w:tcPr>
            <w:tcW w:w="710" w:type="dxa"/>
            <w:tcBorders>
              <w:bottom w:val="single" w:sz="2" w:space="0" w:color="000000"/>
            </w:tcBorders>
            <w:shd w:fill="CCEEFF" w:val="clear"/>
            <w:vAlign w:val="center"/>
          </w:tcPr>
          <w:p>
            <w:pPr>
              <w:pStyle w:val="TableContents"/>
              <w:spacing w:before="0" w:after="283"/>
              <w:jc w:val="right"/>
              <w:rPr/>
            </w:pPr>
            <w:r>
              <w:rPr/>
              <w:t>19,443</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CCEEFF" w:val="clear"/>
            <w:vAlign w:val="center"/>
          </w:tcPr>
          <w:p>
            <w:pPr>
              <w:pStyle w:val="TableContents"/>
              <w:spacing w:before="0" w:after="0"/>
              <w:ind w:left="0" w:right="0" w:hanging="0"/>
              <w:rPr/>
            </w:pPr>
            <w:r>
              <w:rPr/>
              <w:t> </w:t>
            </w:r>
          </w:p>
        </w:tc>
        <w:tc>
          <w:tcPr>
            <w:tcW w:w="710" w:type="dxa"/>
            <w:tcBorders>
              <w:bottom w:val="single" w:sz="2" w:space="0" w:color="000000"/>
            </w:tcBorders>
            <w:shd w:fill="CCEEFF" w:val="clear"/>
            <w:vAlign w:val="center"/>
          </w:tcPr>
          <w:p>
            <w:pPr>
              <w:pStyle w:val="TableContents"/>
              <w:spacing w:before="0" w:after="283"/>
              <w:jc w:val="right"/>
              <w:rPr/>
            </w:pPr>
            <w:r>
              <w:rPr/>
              <w:t>10,942</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830" w:type="dxa"/>
            <w:tcBorders/>
            <w:shd w:fill="CCEEFF" w:val="clear"/>
            <w:tcMar>
              <w:bottom w:w="0" w:type="dxa"/>
            </w:tcMar>
            <w:vAlign w:val="center"/>
          </w:tcPr>
          <w:p>
            <w:pPr>
              <w:pStyle w:val="TableContents"/>
              <w:spacing w:before="0" w:after="0"/>
              <w:ind w:left="0" w:right="0" w:hanging="0"/>
              <w:rPr/>
            </w:pPr>
            <w:r>
              <w:rPr/>
              <w:t> </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1220" w:type="dxa"/>
            <w:tcBorders/>
            <w:shd w:fill="FFFF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Gross re-estimated reserve</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85" w:type="dxa"/>
            <w:tcBorders>
              <w:bottom w:val="double" w:sz="6" w:space="0" w:color="000000"/>
            </w:tcBorders>
            <w:shd w:fill="FFFFFF" w:val="clear"/>
            <w:vAlign w:val="center"/>
          </w:tcPr>
          <w:p>
            <w:pPr>
              <w:pStyle w:val="TableContents"/>
              <w:spacing w:before="0" w:after="283"/>
              <w:jc w:val="right"/>
              <w:rPr/>
            </w:pPr>
            <w:r>
              <w:rPr/>
              <w:t>45,135</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10" w:type="dxa"/>
            <w:tcBorders>
              <w:bottom w:val="double" w:sz="6" w:space="0" w:color="000000"/>
            </w:tcBorders>
            <w:shd w:fill="FFFFFF" w:val="clear"/>
            <w:vAlign w:val="center"/>
          </w:tcPr>
          <w:p>
            <w:pPr>
              <w:pStyle w:val="TableContents"/>
              <w:spacing w:before="0" w:after="283"/>
              <w:jc w:val="right"/>
              <w:rPr/>
            </w:pPr>
            <w:r>
              <w:rPr/>
              <w:t>42,178</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10" w:type="dxa"/>
            <w:tcBorders>
              <w:bottom w:val="double" w:sz="6" w:space="0" w:color="000000"/>
            </w:tcBorders>
            <w:shd w:fill="FFFFFF" w:val="clear"/>
            <w:vAlign w:val="center"/>
          </w:tcPr>
          <w:p>
            <w:pPr>
              <w:pStyle w:val="TableContents"/>
              <w:spacing w:before="0" w:after="283"/>
              <w:jc w:val="right"/>
              <w:rPr/>
            </w:pPr>
            <w:r>
              <w:rPr/>
              <w:t>48,692</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85" w:type="dxa"/>
            <w:tcBorders>
              <w:bottom w:val="double" w:sz="6" w:space="0" w:color="000000"/>
            </w:tcBorders>
            <w:shd w:fill="FFFFFF" w:val="clear"/>
            <w:vAlign w:val="center"/>
          </w:tcPr>
          <w:p>
            <w:pPr>
              <w:pStyle w:val="TableContents"/>
              <w:spacing w:before="0" w:after="283"/>
              <w:jc w:val="right"/>
              <w:rPr/>
            </w:pPr>
            <w:r>
              <w:rPr/>
              <w:t>50,108</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85" w:type="dxa"/>
            <w:tcBorders>
              <w:bottom w:val="double" w:sz="6" w:space="0" w:color="000000"/>
            </w:tcBorders>
            <w:shd w:fill="FFFFFF" w:val="clear"/>
            <w:vAlign w:val="center"/>
          </w:tcPr>
          <w:p>
            <w:pPr>
              <w:pStyle w:val="TableContents"/>
              <w:spacing w:before="0" w:after="283"/>
              <w:jc w:val="right"/>
              <w:rPr/>
            </w:pPr>
            <w:r>
              <w:rPr/>
              <w:t>53,630</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85" w:type="dxa"/>
            <w:tcBorders>
              <w:bottom w:val="double" w:sz="6" w:space="0" w:color="000000"/>
            </w:tcBorders>
            <w:shd w:fill="FFFFFF" w:val="clear"/>
            <w:vAlign w:val="center"/>
          </w:tcPr>
          <w:p>
            <w:pPr>
              <w:pStyle w:val="TableContents"/>
              <w:spacing w:before="0" w:after="283"/>
              <w:jc w:val="right"/>
              <w:rPr/>
            </w:pPr>
            <w:r>
              <w:rPr/>
              <w:t>64,627</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85" w:type="dxa"/>
            <w:tcBorders>
              <w:bottom w:val="double" w:sz="6" w:space="0" w:color="000000"/>
            </w:tcBorders>
            <w:shd w:fill="FFFFFF" w:val="clear"/>
            <w:vAlign w:val="center"/>
          </w:tcPr>
          <w:p>
            <w:pPr>
              <w:pStyle w:val="TableContents"/>
              <w:spacing w:before="0" w:after="283"/>
              <w:jc w:val="right"/>
              <w:rPr/>
            </w:pPr>
            <w:r>
              <w:rPr/>
              <w:t>77,072</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10" w:type="dxa"/>
            <w:tcBorders>
              <w:bottom w:val="double" w:sz="6" w:space="0" w:color="000000"/>
            </w:tcBorders>
            <w:shd w:fill="FFFFFF" w:val="clear"/>
            <w:vAlign w:val="center"/>
          </w:tcPr>
          <w:p>
            <w:pPr>
              <w:pStyle w:val="TableContents"/>
              <w:spacing w:before="0" w:after="283"/>
              <w:jc w:val="right"/>
              <w:rPr/>
            </w:pPr>
            <w:r>
              <w:rPr/>
              <w:t>82,738</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10" w:type="dxa"/>
            <w:tcBorders>
              <w:bottom w:val="double" w:sz="6" w:space="0" w:color="000000"/>
            </w:tcBorders>
            <w:shd w:fill="FFFFFF" w:val="clear"/>
            <w:vAlign w:val="center"/>
          </w:tcPr>
          <w:p>
            <w:pPr>
              <w:pStyle w:val="TableContents"/>
              <w:spacing w:before="0" w:after="283"/>
              <w:jc w:val="right"/>
              <w:rPr/>
            </w:pPr>
            <w:r>
              <w:rPr/>
              <w:t>84,782</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10" w:type="dxa"/>
            <w:tcBorders>
              <w:bottom w:val="double" w:sz="6" w:space="0" w:color="000000"/>
            </w:tcBorders>
            <w:shd w:fill="FFFFFF" w:val="clear"/>
            <w:vAlign w:val="center"/>
          </w:tcPr>
          <w:p>
            <w:pPr>
              <w:pStyle w:val="TableContents"/>
              <w:spacing w:before="0" w:after="283"/>
              <w:jc w:val="right"/>
              <w:rPr/>
            </w:pPr>
            <w:r>
              <w:rPr/>
              <w:t>97,953</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830" w:type="dxa"/>
            <w:tcBorders/>
            <w:shd w:fill="FFFFFF" w:val="clear"/>
            <w:tcMar>
              <w:bottom w:w="0" w:type="dxa"/>
            </w:tcMar>
            <w:vAlign w:val="center"/>
          </w:tcPr>
          <w:p>
            <w:pPr>
              <w:pStyle w:val="TableContents"/>
              <w:spacing w:before="0" w:after="0"/>
              <w:ind w:left="0" w:right="0" w:hanging="0"/>
              <w:rPr/>
            </w:pPr>
            <w:r>
              <w:rPr/>
              <w:t> </w:t>
            </w:r>
          </w:p>
        </w:tc>
        <w:tc>
          <w:tcPr>
            <w:tcW w:w="135" w:type="dxa"/>
            <w:tcBorders/>
            <w:shd w:fill="FFFFFF" w:val="clear"/>
            <w:tcMar>
              <w:bottom w:w="0" w:type="dxa"/>
            </w:tcMar>
            <w:vAlign w:val="center"/>
          </w:tcPr>
          <w:p>
            <w:pPr>
              <w:pStyle w:val="TableContents"/>
              <w:spacing w:before="0" w:after="0"/>
              <w:ind w:left="0" w:right="0" w:hanging="0"/>
              <w:rPr/>
            </w:pPr>
            <w:r>
              <w:rPr/>
              <w:t> </w:t>
            </w:r>
          </w:p>
        </w:tc>
      </w:tr>
      <w:tr>
        <w:trPr/>
        <w:tc>
          <w:tcPr>
            <w:tcW w:w="122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830" w:type="dxa"/>
            <w:tcBorders/>
            <w:shd w:fill="CCEEFF" w:val="clear"/>
            <w:tcMar>
              <w:bottom w:w="0" w:type="dxa"/>
            </w:tcMar>
            <w:vAlign w:val="center"/>
          </w:tcPr>
          <w:p>
            <w:pPr>
              <w:pStyle w:val="TableContents"/>
              <w:spacing w:before="0" w:after="0"/>
              <w:ind w:left="0" w:right="0" w:hanging="0"/>
              <w:rPr/>
            </w:pPr>
            <w:r>
              <w:rPr/>
              <w:t> </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1220" w:type="dxa"/>
            <w:tcBorders/>
            <w:shd w:fill="FFFF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Gross cumulative redundancy (deficiency)</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85" w:type="dxa"/>
            <w:tcBorders>
              <w:bottom w:val="double" w:sz="6" w:space="0" w:color="000000"/>
            </w:tcBorders>
            <w:shd w:fill="FFFFFF" w:val="clear"/>
            <w:vAlign w:val="center"/>
          </w:tcPr>
          <w:p>
            <w:pPr>
              <w:pStyle w:val="TableContents"/>
              <w:spacing w:before="0" w:after="283"/>
              <w:jc w:val="right"/>
              <w:rPr/>
            </w:pPr>
            <w:r>
              <w:rPr/>
              <w:t>(14,650</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10" w:type="dxa"/>
            <w:tcBorders>
              <w:bottom w:val="double" w:sz="6" w:space="0" w:color="000000"/>
            </w:tcBorders>
            <w:shd w:fill="FFFFFF" w:val="clear"/>
            <w:vAlign w:val="center"/>
          </w:tcPr>
          <w:p>
            <w:pPr>
              <w:pStyle w:val="TableContents"/>
              <w:spacing w:before="0" w:after="283"/>
              <w:jc w:val="right"/>
              <w:rPr/>
            </w:pPr>
            <w:r>
              <w:rPr/>
              <w:t>(7,675</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10" w:type="dxa"/>
            <w:tcBorders>
              <w:bottom w:val="double" w:sz="6" w:space="0" w:color="000000"/>
            </w:tcBorders>
            <w:shd w:fill="FFFFFF" w:val="clear"/>
            <w:vAlign w:val="center"/>
          </w:tcPr>
          <w:p>
            <w:pPr>
              <w:pStyle w:val="TableContents"/>
              <w:spacing w:before="0" w:after="283"/>
              <w:jc w:val="right"/>
              <w:rPr/>
            </w:pPr>
            <w:r>
              <w:rPr/>
              <w:t>(8,779</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85" w:type="dxa"/>
            <w:tcBorders>
              <w:bottom w:val="double" w:sz="6" w:space="0" w:color="000000"/>
            </w:tcBorders>
            <w:shd w:fill="FFFFFF" w:val="clear"/>
            <w:vAlign w:val="center"/>
          </w:tcPr>
          <w:p>
            <w:pPr>
              <w:pStyle w:val="TableContents"/>
              <w:spacing w:before="0" w:after="283"/>
              <w:jc w:val="right"/>
              <w:rPr/>
            </w:pPr>
            <w:r>
              <w:rPr/>
              <w:t>(10,231</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85" w:type="dxa"/>
            <w:tcBorders>
              <w:bottom w:val="double" w:sz="6" w:space="0" w:color="000000"/>
            </w:tcBorders>
            <w:shd w:fill="FFFFFF" w:val="clear"/>
            <w:vAlign w:val="center"/>
          </w:tcPr>
          <w:p>
            <w:pPr>
              <w:pStyle w:val="TableContents"/>
              <w:spacing w:before="0" w:after="283"/>
              <w:jc w:val="right"/>
              <w:rPr/>
            </w:pPr>
            <w:r>
              <w:rPr/>
              <w:t>(11,893</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85" w:type="dxa"/>
            <w:tcBorders>
              <w:bottom w:val="double" w:sz="6" w:space="0" w:color="000000"/>
            </w:tcBorders>
            <w:shd w:fill="FFFFFF" w:val="clear"/>
            <w:vAlign w:val="center"/>
          </w:tcPr>
          <w:p>
            <w:pPr>
              <w:pStyle w:val="TableContents"/>
              <w:spacing w:before="0" w:after="283"/>
              <w:jc w:val="right"/>
              <w:rPr/>
            </w:pPr>
            <w:r>
              <w:rPr/>
              <w:t>(15,827</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85" w:type="dxa"/>
            <w:tcBorders>
              <w:bottom w:val="double" w:sz="6" w:space="0" w:color="000000"/>
            </w:tcBorders>
            <w:shd w:fill="FFFFFF" w:val="clear"/>
            <w:vAlign w:val="center"/>
          </w:tcPr>
          <w:p>
            <w:pPr>
              <w:pStyle w:val="TableContents"/>
              <w:spacing w:before="0" w:after="283"/>
              <w:jc w:val="right"/>
              <w:rPr/>
            </w:pPr>
            <w:r>
              <w:rPr/>
              <w:t>(20,875</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10" w:type="dxa"/>
            <w:tcBorders>
              <w:bottom w:val="double" w:sz="6" w:space="0" w:color="000000"/>
            </w:tcBorders>
            <w:shd w:fill="FFFFFF" w:val="clear"/>
            <w:vAlign w:val="center"/>
          </w:tcPr>
          <w:p>
            <w:pPr>
              <w:pStyle w:val="TableContents"/>
              <w:spacing w:before="0" w:after="283"/>
              <w:jc w:val="right"/>
              <w:rPr/>
            </w:pPr>
            <w:r>
              <w:rPr/>
              <w:t>(2,239</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10" w:type="dxa"/>
            <w:tcBorders>
              <w:bottom w:val="double" w:sz="6" w:space="0" w:color="000000"/>
            </w:tcBorders>
            <w:shd w:fill="FFFFFF" w:val="clear"/>
            <w:vAlign w:val="center"/>
          </w:tcPr>
          <w:p>
            <w:pPr>
              <w:pStyle w:val="TableContents"/>
              <w:spacing w:before="0" w:after="283"/>
              <w:jc w:val="right"/>
              <w:rPr/>
            </w:pPr>
            <w:r>
              <w:rPr/>
              <w:t>(1,981</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bottom w:val="double" w:sz="6" w:space="0" w:color="000000"/>
            </w:tcBorders>
            <w:shd w:fill="FFFFFF" w:val="clear"/>
            <w:vAlign w:val="center"/>
          </w:tcPr>
          <w:p>
            <w:pPr>
              <w:pStyle w:val="TableContents"/>
              <w:spacing w:before="0" w:after="0"/>
              <w:ind w:left="0" w:right="0" w:hanging="0"/>
              <w:rPr/>
            </w:pPr>
            <w:r>
              <w:rPr/>
              <w:t> </w:t>
            </w:r>
          </w:p>
        </w:tc>
        <w:tc>
          <w:tcPr>
            <w:tcW w:w="710" w:type="dxa"/>
            <w:tcBorders>
              <w:bottom w:val="double" w:sz="6" w:space="0" w:color="000000"/>
            </w:tcBorders>
            <w:shd w:fill="FFFFFF" w:val="clear"/>
            <w:vAlign w:val="center"/>
          </w:tcPr>
          <w:p>
            <w:pPr>
              <w:pStyle w:val="TableContents"/>
              <w:spacing w:before="0" w:after="283"/>
              <w:jc w:val="right"/>
              <w:rPr/>
            </w:pPr>
            <w:r>
              <w:rPr/>
              <w:t>(3,004</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830" w:type="dxa"/>
            <w:tcBorders/>
            <w:shd w:fill="FFFFFF" w:val="clear"/>
            <w:tcMar>
              <w:bottom w:w="0" w:type="dxa"/>
            </w:tcMar>
            <w:vAlign w:val="center"/>
          </w:tcPr>
          <w:p>
            <w:pPr>
              <w:pStyle w:val="TableContents"/>
              <w:spacing w:before="0" w:after="0"/>
              <w:ind w:left="0" w:right="0" w:hanging="0"/>
              <w:rPr/>
            </w:pPr>
            <w:r>
              <w:rPr/>
              <w:t> </w:t>
            </w:r>
          </w:p>
        </w:tc>
        <w:tc>
          <w:tcPr>
            <w:tcW w:w="135" w:type="dxa"/>
            <w:tcBorders/>
            <w:shd w:fill="FFFFFF" w:val="clear"/>
            <w:tcMar>
              <w:bottom w:w="0" w:type="dxa"/>
            </w:tcMar>
            <w:vAlign w:val="center"/>
          </w:tcPr>
          <w:p>
            <w:pPr>
              <w:pStyle w:val="TableContents"/>
              <w:spacing w:before="0" w:after="0"/>
              <w:ind w:left="0" w:right="0" w:hanging="0"/>
              <w:rPr/>
            </w:pPr>
            <w:r>
              <w:rPr/>
              <w:t> </w:t>
            </w:r>
          </w:p>
        </w:tc>
      </w:tr>
      <w:tr>
        <w:trPr/>
        <w:tc>
          <w:tcPr>
            <w:tcW w:w="122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875" w:type="dxa"/>
            <w:gridSpan w:val="2"/>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10"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830" w:type="dxa"/>
            <w:tcBorders/>
            <w:shd w:fill="CCEEFF" w:val="clear"/>
            <w:tcMar>
              <w:bottom w:w="0" w:type="dxa"/>
            </w:tcMar>
            <w:vAlign w:val="center"/>
          </w:tcPr>
          <w:p>
            <w:pPr>
              <w:pStyle w:val="TableContents"/>
              <w:spacing w:before="0" w:after="0"/>
              <w:ind w:left="0" w:right="0" w:hanging="0"/>
              <w:rPr/>
            </w:pPr>
            <w:r>
              <w:rPr/>
              <w:t> </w:t>
            </w:r>
          </w:p>
        </w:tc>
        <w:tc>
          <w:tcPr>
            <w:tcW w:w="135" w:type="dxa"/>
            <w:tcBorders/>
            <w:shd w:fill="CCEEFF" w:val="clear"/>
            <w:tcMar>
              <w:bottom w:w="0" w:type="dxa"/>
            </w:tcMar>
            <w:vAlign w:val="center"/>
          </w:tcPr>
          <w:p>
            <w:pPr>
              <w:pStyle w:val="TableContents"/>
              <w:spacing w:before="0" w:after="0"/>
              <w:ind w:left="0" w:right="0" w:hanging="0"/>
              <w:rPr/>
            </w:pPr>
            <w:r>
              <w:rPr/>
              <w:t> </w:t>
            </w:r>
          </w:p>
        </w:tc>
      </w:tr>
    </w:tbl>
    <w:p>
      <w:pPr>
        <w:pStyle w:val="TextBody"/>
        <w:spacing w:before="0" w:after="0"/>
        <w:ind w:left="0" w:right="0" w:hanging="0"/>
        <w:rPr/>
      </w:pPr>
      <w:r>
        <w:rPr/>
        <w:t xml:space="preserve">  </w:t>
      </w:r>
    </w:p>
    <w:p>
      <w:pPr>
        <w:pStyle w:val="TextBody"/>
        <w:spacing w:before="0" w:after="0"/>
        <w:ind w:left="0" w:right="0" w:hanging="0"/>
        <w:rPr/>
      </w:pPr>
      <w:r>
        <w:rPr>
          <w:rStyle w:val="Emphasis"/>
          <w:rFonts w:ascii="times new roman" w:hAnsi="times new roman"/>
          <w:sz w:val="20"/>
        </w:rPr>
        <w:t>(Components may not sum to totals due to rounding)</w:t>
      </w:r>
      <w:r>
        <w:rPr>
          <w:rFonts w:ascii="times new roman" w:hAnsi="times new roman"/>
          <w:sz w:val="20"/>
        </w:rPr>
        <w:t>                  </w:t>
      </w:r>
    </w:p>
    <w:p>
      <w:pPr>
        <w:pStyle w:val="TextBody"/>
        <w:spacing w:before="0" w:after="0"/>
        <w:ind w:left="0" w:right="0" w:hanging="0"/>
        <w:rPr/>
      </w:pPr>
      <w:r>
        <w:rPr/>
        <w:t xml:space="preserve">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12</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xml:space="preserve">  </w:t>
      </w:r>
    </w:p>
    <w:p>
      <w:pPr>
        <w:pStyle w:val="TextBody"/>
        <w:spacing w:before="0" w:after="0"/>
        <w:ind w:left="0" w:right="0" w:hanging="0"/>
        <w:jc w:val="both"/>
        <w:rPr/>
      </w:pPr>
      <w:r>
        <w:rPr>
          <w:rStyle w:val="Emphasis"/>
          <w:rFonts w:ascii="times new roman" w:hAnsi="times new roman"/>
          <w:sz w:val="20"/>
        </w:rPr>
        <w:t>Reinsurance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purchase reinsurance to reduce our net liability on individual risks, to protect against possible catastrophes, to remain within a target ratio of net premiums written to policyholders’ surplus, and to expand our underwriting capacity. Participation in reinsurance arrangements does not relieve us from our obligations to policyholders. Our reinsurance program is structured to reflect our obligations and goals.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Reinsurance via quota share allows a carrier to write business without increasing its underwriting leverage above a level determined by management. The business written under a quota share reinsurance structure obligates a reinsurer to assume some portion of the risks involved, and gives the reinsurer the profit (or loss) associated with such in exchange for a ceding commission.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Effective December 31, 2021, we entered into a quota share reinsurance treaty for our personal lines business, which primarily consists of homeowners’ and dwelling fire policies, covering the period from December 31, 2021 through January 1, 2023 (“2021/2023 Treaty”). Upon the expiration of the 2021/2023 Treaty on January 1, 2023, we entered into a new quota share reinsurance treaty for our personal lines business, covering the period from January 1, 2023 through January 1, 2024 (“2023/2024 Treaty”).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Excess of loss contracts provide coverage for individual loss occurrences exceeding a certain threshold. The quota share reinsurance treaties inure to the benefit of our excess of loss treaties, as the maximum net retention on any single risk occurrence is first limited through the excess of loss treaty, and then that loss is shared again through the quota share reinsurance treaty. Our maximum net retention under the quota share and excess of loss treaties for any one personal lines occurrence for dates of loss on or after December 31, 2020 through December 30, 2021 was $1,000,000. Effective December 31, 2021 through January 1, 2023, our maximum net retention under the 2021/2023 Treaty decreased to $700,000. Effective January 1, 2022, we entered into an underlying excess of loss reinsurance treaty (“Underlying XOL Treaty”) covering the period from January 1, 2022 through January 1, 2023. The Underlying XOL Treaty provides 50% reinsurance coverage for losses, other than from a named storm, of $400,000 in excess of $600,000. Our maximum net retention for any one personal lines occurrence is further reduced from $700,000 to $500,000. Effective January 1, 2023, the Underlying XOL Treaty was renewed covering the period from January 1, 2023 through January 1, 2024. Our maximum net retention under the excess of loss treaties for any one commercial general liability occurrence for dates of loss on or after July 1, 2020 is $750,000.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We previously earned ceding commission revenue under the quota share reinsurance treaties based on a provisional commission rate on all premiums ceded to the reinsurers as adjusted by a sliding scale based on the ultimate treaty year loss ratios on the policies reinsured under each agreement. The sliding scale provided minimum and maximum ceding commission rates in relation to specified ultimate loss ratios. Under the 2021/2023 Treaty, KICO received a fixed provisional rate with no adjustment for sliding scale contingent commissions. Under the 2023/2024 Treaty, KICO will receive a fixed provisional rate with no adjustment for sliding scale contingent commissions.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2021/2023 Treaty and 2023/2024 Treaty are on a “net” of catastrophe reinsurance basis, as opposed to the “gross” arrangement that existed in prior treaties. Under a “net” arrangement, all catastrophe reinsurance coverage is purchased directly by us. Since we pay for all of the catastrophe coverage, none of the losses covered under a catastrophic event will be included in the quota share ceded amounts.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2022, we purchased catastrophe reinsurance to provide coverage of up to $345,000,000 for losses associated with a single event. One of the most commonly used catastrophe forecasting models prepared for us indicates that the catastrophe reinsurance treaties provide coverage in excess of our estimated probable maximum loss associated with a single more than one-in-100 year storm event. Effective October 18, 2021, we entered into a stub catastrophe reinsurance treaty (“Stub Treaty”) covering the period from October 18, 2021 through December 31, 2021. The Stub Treaty provided reinsurance coverage for catastrophe losses of $5,000,000 in excess of $5,000,000. The Stub Treaty reduced direct retention to $5,000,000 during the period it was in effect. Effective December 31, 2021 through January 1, 2023, losses on personal lines policies are subject to the 2021/2023 Treaty, which covered 26% of catastrophe losses and resulted in a net retention by us of $7,400,000 of exposure per catastrophe occurrence. Effective January 1, 2023 through January 1, 2024, losses on personal lines policies are subject to the 2023/2024 Treaty, which will cover 12.5% of catastrophe losses and will result in a net retention by us of $8,750,000 of exposure per catastrophe occurrence. From July 1, 2020 through June 30, 2022, we had reinstatement premium protection on the first $70,000,000 layer of catastrophe coverage in excess of $10,000,000. Effective July 1, 2022 and through June 30, 2023, we have reinstatement premium protection for $9,800,000 of catastrophe coverage in excess of $10,000,000. This protects us from having to pay an additional premium to reinstate catastrophe coverage for an event up to this level.</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13</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See “Management’s Discussion and Analysis of Financial Condition and Results of Operations – Principal Revenue and Expense Items” in Item 7 of this Annual Report and Note 2 and Note 11 in the accompanying consolidated financial statements for additional information. </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 xml:space="preserve">Ratings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Many insurance buyers, agents, brokers and secured lenders use the ratings assigned by A.M. Best and other agencies to assist them in assessing the financial strength and overall quality of the companies with which they do business and from which they are considering purchasing insurance or in determining the financial strength of the company that provides insurance with respect to the collateral they hold. A.M. Best financial strength ratings are derived from an in-depth evaluation of an insurance company’s balance sheet strengths, operating performances and business profiles. A.M. Best evaluates, among other factors, the company’s capitalization, underwriting leverage, financial leverage, asset leverage, capital structure, quality and appropriateness of reinsurance, adequacy of reserves, quality and diversification of assets, liquidity, profitability, spread of risk, revenue composition, market position, management, market risk and event risk. A.M. Best financial strength ratings are intended to provide an independent opinion of an insurer’s ability to meet its obligations to policyholders and are not an evaluation directed at investors.</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KICO has a financial strength rating from A.M. Best of B (Fair). The Company’s previous ratings from A.M. Best (for Kingstone Companies, Inc.) and Kroll Rating Agency were withdrawn at the request of the Company. Other ratings assigned to KICO and previously assigned to Kingstone by A.M. Best and Kroll Bond Rating Agency were as follows:</w:t>
      </w:r>
    </w:p>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476"/>
        <w:gridCol w:w="90"/>
        <w:gridCol w:w="1725"/>
        <w:gridCol w:w="90"/>
        <w:gridCol w:w="1824"/>
      </w:tblGrid>
      <w:tr>
        <w:trPr/>
        <w:tc>
          <w:tcPr>
            <w:tcW w:w="6476"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725"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rPr/>
            </w:pPr>
            <w:r>
              <w:rPr/>
              <w:t> </w:t>
            </w:r>
          </w:p>
        </w:tc>
        <w:tc>
          <w:tcPr>
            <w:tcW w:w="1824" w:type="dxa"/>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Kingstone </w:t>
            </w:r>
          </w:p>
        </w:tc>
      </w:tr>
      <w:tr>
        <w:trPr/>
        <w:tc>
          <w:tcPr>
            <w:tcW w:w="6476"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725"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KICO </w:t>
            </w:r>
          </w:p>
        </w:tc>
        <w:tc>
          <w:tcPr>
            <w:tcW w:w="90" w:type="dxa"/>
            <w:tcBorders/>
            <w:shd w:fill="auto" w:val="clear"/>
            <w:vAlign w:val="center"/>
          </w:tcPr>
          <w:p>
            <w:pPr>
              <w:pStyle w:val="TableContents"/>
              <w:spacing w:before="0" w:after="0"/>
              <w:ind w:left="0" w:right="0" w:hanging="0"/>
              <w:rPr/>
            </w:pPr>
            <w:r>
              <w:rPr/>
              <w:t> </w:t>
            </w:r>
          </w:p>
        </w:tc>
        <w:tc>
          <w:tcPr>
            <w:tcW w:w="1824"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Companies </w:t>
            </w:r>
          </w:p>
        </w:tc>
      </w:tr>
      <w:tr>
        <w:trPr/>
        <w:tc>
          <w:tcPr>
            <w:tcW w:w="6476"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725" w:type="dxa"/>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rPr/>
            </w:pPr>
            <w:r>
              <w:rPr/>
              <w:t> </w:t>
            </w:r>
          </w:p>
        </w:tc>
        <w:tc>
          <w:tcPr>
            <w:tcW w:w="1824" w:type="dxa"/>
            <w:tcBorders/>
            <w:shd w:fill="auto" w:val="clear"/>
            <w:vAlign w:val="center"/>
          </w:tcPr>
          <w:p>
            <w:pPr>
              <w:pStyle w:val="TableContents"/>
              <w:spacing w:before="0" w:after="0"/>
              <w:ind w:left="0" w:right="0" w:hanging="0"/>
              <w:jc w:val="center"/>
              <w:rPr/>
            </w:pPr>
            <w:r>
              <w:rPr/>
              <w:t> </w:t>
            </w:r>
          </w:p>
        </w:tc>
      </w:tr>
      <w:tr>
        <w:trPr/>
        <w:tc>
          <w:tcPr>
            <w:tcW w:w="647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A.M. Best Long-Term issuer credit rating (ICR)</w:t>
            </w:r>
          </w:p>
        </w:tc>
        <w:tc>
          <w:tcPr>
            <w:tcW w:w="90" w:type="dxa"/>
            <w:tcBorders/>
            <w:shd w:fill="CCEEFF" w:val="clear"/>
            <w:vAlign w:val="center"/>
          </w:tcPr>
          <w:p>
            <w:pPr>
              <w:pStyle w:val="TableContents"/>
              <w:spacing w:before="0" w:after="0"/>
              <w:ind w:left="0" w:right="0" w:hanging="0"/>
              <w:rPr/>
            </w:pPr>
            <w:r>
              <w:rPr/>
              <w:t> </w:t>
            </w:r>
          </w:p>
        </w:tc>
        <w:tc>
          <w:tcPr>
            <w:tcW w:w="1725"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bb (negative outlook)</w:t>
            </w:r>
          </w:p>
        </w:tc>
        <w:tc>
          <w:tcPr>
            <w:tcW w:w="90" w:type="dxa"/>
            <w:tcBorders/>
            <w:shd w:fill="CCEEFF" w:val="clear"/>
            <w:vAlign w:val="center"/>
          </w:tcPr>
          <w:p>
            <w:pPr>
              <w:pStyle w:val="TableContents"/>
              <w:spacing w:before="0" w:after="0"/>
              <w:ind w:left="0" w:right="0" w:hanging="0"/>
              <w:rPr/>
            </w:pPr>
            <w:r>
              <w:rPr/>
              <w:t> </w:t>
            </w:r>
          </w:p>
        </w:tc>
        <w:tc>
          <w:tcPr>
            <w:tcW w:w="1824"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b- (negative outlook)</w:t>
            </w:r>
          </w:p>
        </w:tc>
      </w:tr>
      <w:tr>
        <w:trPr/>
        <w:tc>
          <w:tcPr>
            <w:tcW w:w="6476"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A.M. Best Long-Term issue credit rating (IR) $30.0 million, 5.50% senior unsecured notes due Dec. 30, 2022</w:t>
            </w:r>
          </w:p>
        </w:tc>
        <w:tc>
          <w:tcPr>
            <w:tcW w:w="90" w:type="dxa"/>
            <w:tcBorders/>
            <w:shd w:fill="FFFFFF" w:val="clear"/>
            <w:vAlign w:val="center"/>
          </w:tcPr>
          <w:p>
            <w:pPr>
              <w:pStyle w:val="TableContents"/>
              <w:spacing w:before="0" w:after="0"/>
              <w:ind w:left="0" w:right="0" w:hanging="0"/>
              <w:rPr/>
            </w:pPr>
            <w:r>
              <w:rPr/>
              <w:t> </w:t>
            </w:r>
          </w:p>
        </w:tc>
        <w:tc>
          <w:tcPr>
            <w:tcW w:w="1725" w:type="dxa"/>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n/a</w:t>
            </w:r>
          </w:p>
        </w:tc>
        <w:tc>
          <w:tcPr>
            <w:tcW w:w="90" w:type="dxa"/>
            <w:tcBorders/>
            <w:shd w:fill="FFFFFF" w:val="clear"/>
            <w:vAlign w:val="center"/>
          </w:tcPr>
          <w:p>
            <w:pPr>
              <w:pStyle w:val="TableContents"/>
              <w:spacing w:before="0" w:after="0"/>
              <w:ind w:left="0" w:right="0" w:hanging="0"/>
              <w:rPr/>
            </w:pPr>
            <w:r>
              <w:rPr/>
              <w:t> </w:t>
            </w:r>
          </w:p>
        </w:tc>
        <w:tc>
          <w:tcPr>
            <w:tcW w:w="1824" w:type="dxa"/>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bb- (stable outlook)</w:t>
            </w:r>
          </w:p>
        </w:tc>
      </w:tr>
      <w:tr>
        <w:trPr/>
        <w:tc>
          <w:tcPr>
            <w:tcW w:w="647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Kroll Bond Rating Agency insurance financial strength rating (IFSR)</w:t>
            </w:r>
          </w:p>
        </w:tc>
        <w:tc>
          <w:tcPr>
            <w:tcW w:w="90" w:type="dxa"/>
            <w:tcBorders/>
            <w:shd w:fill="CCEEFF" w:val="clear"/>
            <w:vAlign w:val="center"/>
          </w:tcPr>
          <w:p>
            <w:pPr>
              <w:pStyle w:val="TableContents"/>
              <w:spacing w:before="0" w:after="0"/>
              <w:ind w:left="0" w:right="0" w:hanging="0"/>
              <w:rPr/>
            </w:pPr>
            <w:r>
              <w:rPr/>
              <w:t> </w:t>
            </w:r>
          </w:p>
        </w:tc>
        <w:tc>
          <w:tcPr>
            <w:tcW w:w="1725"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BBB+ (negative outlook)</w:t>
            </w:r>
          </w:p>
        </w:tc>
        <w:tc>
          <w:tcPr>
            <w:tcW w:w="90" w:type="dxa"/>
            <w:tcBorders/>
            <w:shd w:fill="CCEEFF" w:val="clear"/>
            <w:vAlign w:val="center"/>
          </w:tcPr>
          <w:p>
            <w:pPr>
              <w:pStyle w:val="TableContents"/>
              <w:spacing w:before="0" w:after="0"/>
              <w:ind w:left="0" w:right="0" w:hanging="0"/>
              <w:rPr/>
            </w:pPr>
            <w:r>
              <w:rPr/>
              <w:t> </w:t>
            </w:r>
          </w:p>
        </w:tc>
        <w:tc>
          <w:tcPr>
            <w:tcW w:w="1824"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n/a</w:t>
            </w:r>
          </w:p>
        </w:tc>
      </w:tr>
      <w:tr>
        <w:trPr/>
        <w:tc>
          <w:tcPr>
            <w:tcW w:w="6476"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Kroll Bond Rating Agency issuer rating</w:t>
            </w:r>
          </w:p>
        </w:tc>
        <w:tc>
          <w:tcPr>
            <w:tcW w:w="90" w:type="dxa"/>
            <w:tcBorders/>
            <w:shd w:fill="FFFFFF" w:val="clear"/>
            <w:vAlign w:val="center"/>
          </w:tcPr>
          <w:p>
            <w:pPr>
              <w:pStyle w:val="TableContents"/>
              <w:spacing w:before="0" w:after="0"/>
              <w:ind w:left="0" w:right="0" w:hanging="0"/>
              <w:rPr/>
            </w:pPr>
            <w:r>
              <w:rPr/>
              <w:t> </w:t>
            </w:r>
          </w:p>
        </w:tc>
        <w:tc>
          <w:tcPr>
            <w:tcW w:w="1725" w:type="dxa"/>
            <w:tcBorders/>
            <w:shd w:fill="FFFFFF" w:val="clear"/>
            <w:vAlign w:val="center"/>
          </w:tcPr>
          <w:p>
            <w:pPr>
              <w:pStyle w:val="TableContents"/>
              <w:spacing w:before="0" w:after="0"/>
              <w:ind w:left="0" w:right="0" w:hanging="0"/>
              <w:jc w:val="right"/>
              <w:rPr/>
            </w:pPr>
            <w:r>
              <w:rPr/>
              <w:t> </w:t>
            </w:r>
            <w:r>
              <w:rPr>
                <w:rFonts w:ascii="times new roman" w:hAnsi="times new roman"/>
                <w:sz w:val="20"/>
              </w:rPr>
              <w:t xml:space="preserve">n/a </w:t>
            </w:r>
          </w:p>
        </w:tc>
        <w:tc>
          <w:tcPr>
            <w:tcW w:w="90" w:type="dxa"/>
            <w:tcBorders/>
            <w:shd w:fill="FFFFFF" w:val="clear"/>
            <w:vAlign w:val="center"/>
          </w:tcPr>
          <w:p>
            <w:pPr>
              <w:pStyle w:val="TableContents"/>
              <w:spacing w:before="0" w:after="0"/>
              <w:ind w:left="0" w:right="0" w:hanging="0"/>
              <w:rPr/>
            </w:pPr>
            <w:r>
              <w:rPr/>
              <w:t> </w:t>
            </w:r>
          </w:p>
        </w:tc>
        <w:tc>
          <w:tcPr>
            <w:tcW w:w="1824" w:type="dxa"/>
            <w:tcBorders/>
            <w:shd w:fill="FFFFFF" w:val="clear"/>
            <w:vAlign w:val="center"/>
          </w:tcPr>
          <w:p>
            <w:pPr>
              <w:pStyle w:val="TableContents"/>
              <w:spacing w:before="0" w:after="0"/>
              <w:ind w:left="0" w:right="0" w:hanging="0"/>
              <w:jc w:val="right"/>
              <w:rPr/>
            </w:pPr>
            <w:r>
              <w:rPr/>
              <w:t> </w:t>
            </w:r>
            <w:r>
              <w:rPr>
                <w:rFonts w:ascii="times new roman" w:hAnsi="times new roman"/>
                <w:sz w:val="20"/>
              </w:rPr>
              <w:t xml:space="preserve">BB+ (negative outlook) </w:t>
            </w:r>
          </w:p>
        </w:tc>
      </w:tr>
    </w:tbl>
    <w:p>
      <w:pPr>
        <w:pStyle w:val="TextBody"/>
        <w:spacing w:before="0" w:after="0"/>
        <w:ind w:left="0" w:right="0" w:firstLine="720"/>
        <w:jc w:val="both"/>
        <w:rPr/>
      </w:pPr>
      <w:r>
        <w:rPr/>
        <w:t> </w:t>
      </w:r>
    </w:p>
    <w:p>
      <w:pPr>
        <w:pStyle w:val="TextBody"/>
        <w:spacing w:before="0" w:after="0"/>
        <w:ind w:left="0" w:right="0" w:firstLine="675"/>
        <w:jc w:val="both"/>
        <w:rPr/>
      </w:pPr>
      <w:r>
        <w:rPr>
          <w:rStyle w:val="Emphasis"/>
          <w:rFonts w:ascii="times new roman" w:hAnsi="times new roman"/>
          <w:sz w:val="20"/>
        </w:rPr>
        <w:t>Catastrophe Losses</w:t>
      </w:r>
    </w:p>
    <w:p>
      <w:pPr>
        <w:pStyle w:val="TextBody"/>
        <w:spacing w:before="0" w:after="0"/>
        <w:ind w:left="0" w:right="0" w:firstLine="675"/>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 xml:space="preserve">In 2022 we had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 Our predominant market, downstate New York, was affected by several events during 2022, none of which were named storms. The effects of catastrophes during 2022 increased our net loss ratio by 6.7 percentage points in such year. Our predominant market, downstate New York, was affected by several events during 2021, including three named storms. The remnants of Hurricane Ida, included as one of the named storms, increased our loss ratio by 7.1 percentage points. The effects of this catastrophe and other catastrophes during 2021 increased our net loss ratio by 10.3 percentage points in such year.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14</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both"/>
        <w:rPr/>
      </w:pPr>
      <w:r>
        <w:rPr>
          <w:rStyle w:val="StrongEmphasis"/>
          <w:rFonts w:ascii="times new roman" w:hAnsi="times new roman"/>
          <w:sz w:val="20"/>
        </w:rPr>
        <w:t>Government Regulation</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Holding Company Regulation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We, as the parent of KICO, are subject to the insurance holding company laws of the state of New York. These laws generally require an insurance company to register with the New York State Department of Financial Services (the “DFS”) and to furnish annually financial and other information about the operations of companies within our holding company system. Generally, under these laws, all material transactions among companies in the holding company system to which KICO is a party must be fair and reasonable and, if material or of a specified category, require prior notice and approval or acknowledgement (absence of disapproval) by the DFS. </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 xml:space="preserve">Change of Control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The insurance holding company laws of the state of New York require approval by the DFS for any change of control of an insurer. “Control” is generally defined as the possession, direct or indirect, of the power to direct or cause the direction of the management and policies of the company, whether through the ownership of voting securities, by contract or otherwise. Control is generally presumed to exist through the direct or indirect ownership of 10% or more of the voting securities of a domestic insurance company or any entity that controls a domestic insurance company; however, the ownership of less than 10% of such voting securities could constitute control under certain circumstances. Any future transactions that would constitute a change of control of KICO, including a change of control of Kingstone Companies, Inc., would generally require the party acquiring control to obtain the approval of the DFS (and in any other state in which KICO may operate). Obtaining these approvals may result in the material delay of, or deter, any such transaction. These laws may discourage potential acquisition proposals and may delay, deter or prevent a change of control of Kingstone Companies, Inc., including through transactions, and in particular unsolicited transactions, that some or all of our stockholders might consider to be desirable. </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 xml:space="preserve">State Insurance Regulation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Insurance companies are subject to regulation and supervision by the department of insurance in the state in which they are domiciled and, to a lesser extent, other states in which they conduct business. The primary purpose of such regulatory powers is to protect individual policyholders. State insurance authorities have broad regulatory, supervisory and administrative powers, including, among other things, the power to grant and revoke licenses to transact business, set the standards of solvency to be met and maintained, determine the nature of, and limitations on, investments and dividends, approve policy forms and rates, and in some instances to regulate unfair trade and claims practices.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KICO is required to file detailed financial statements and other reports with the insurance regulatory authorities in the states in which it is licensed to transact business. These financial statements are subject to periodic examination by the insurance regulators.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In addition, many states have laws and regulations that limit an insurer’s ability to withdraw from a particular market. For example, states may limit an insurer’s ability to cancel or not renew policies. Furthermore, certain states prohibit an insurer from withdrawing from one or more lines of business written in the state, except pursuant to a plan that is approved by the insurance regulatory authority. The state regulator may reject a plan that may lead to market disruption. Laws and regulations, including those in New York, that limit cancellation and non-renewal and that subject program withdrawals to prior approval requirements may restrict the ability of KICO to exit unprofitable markets. Such laws did not affect KICO’s ability to withdraw from the commercial liability market in New York State in 2019 and the commercial auto market in New York State in 2015.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15</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firstLine="720"/>
        <w:jc w:val="both"/>
        <w:rPr/>
      </w:pPr>
      <w:r>
        <w:rPr>
          <w:rStyle w:val="Emphasis"/>
          <w:rFonts w:ascii="times new roman" w:hAnsi="times new roman"/>
          <w:sz w:val="20"/>
        </w:rPr>
        <w:t>Federal and State Legislative and Regulatory Changes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From time to time, various regulatory and legislative changes have been proposed in the insurance industry. Among the proposals that either have been or are being considered are the possible introduction of Federal regulation in addition to, or in lieu of, the current system of state regulation of insurers, and proposals in various state legislatures. Some of these proposals have been enacted to conform portions of their insurance laws and regulations to various model acts adopted by the National Association of Insurance Commissioners (the “NAIC”).</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In 2017, the DFS implemented new comprehensive cybersecurity regulations, which became effective on March 1, 2017, with transitional implementation periods. The regulations require covered entities, including KICO, to establish a cybersecurity policy, a chief information security officer (“CISO”), oversight over third party service providers, penetration and vulnerability assessments, secure systems to maintain an audit trail, risk assessments to include access privileges to nonpublic information, use of multi-factor authentication, and an incident response plan, among other provisions. KICO must annually certify compliance to the DFS with the applicable cybersecurity regulatory provisions. Annual certifications are due April 15. Recently, the DFS has provided additional guidance on ransomware, and potential cyber-attacks from Russia’s invasion of Ukraine.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October 2022, the DFS issued proposed amendments updating the 2017 cyber regulations. The amendments would require all covered entities’ written cybersecurity policy be approved at least annually by the body’s directors or committee thereof, require that a covered entity’s CISO have sufficient authority to ensure that cybersecurity risks are appropriately managed, and require the CISO to report material cybersecurity issues. Covered entities would be further required under the amendments to implement asset inventory management, develop and implement a business continuity and disaster recovery plan, and maintain backups protected from unauthorized alterations or destruction. The proposed regulation updates certain cybersecurity event reporting requirements, including notice and explanation of extortion payments, and amends the April 15 annual reporting requirement to include a written acknowledgment of any areas of noncompliance and remediation plans signed by the entity’s highest-ranking executive and CISO. Finally, the proposed regulation updates the factors the Superintendent may consider in assessing violations.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In 2010 the Dodd-Frank Wall Street Reform and Consumer Protection Act (the “Dodd-Frank Act”) became law. It established a Federal Insurance Office (the “FIO”) within the U.S. Department of the Treasury. The FIO is initially charged with monitoring all aspects of the insurance industry (other than health insurance, certain long-term care insurance and crop insurance), gathering data, and conducting a study on methods to modernize and improve the insurance regulatory system in the United States. In December 2013, the FIO issued a report (as required under the Dodd-Frank Act) entitled “How to Modernize and Improve the System of Insurance Regulation in the United States”, which stated that, given the “uneven” progress the states have made with several near-term state reforms, should the states fail to accomplish the necessary modernization reforms in the near term, “Congress should strongly consider direct federal involvement.” The FIO continues to support the current state-based regulatory regime, but will consider federal regulation should the states fail to take steps to greater uniformity (e.g., federal licensing of insurers.) In its September 2022 Annual Report on the Insurance Industry (the “Report”), the FIO provided an overview of its statutory responsibilities and its role. The Report then summarized the FIO’s key activities since those described in its prior Annual Report on the Insurance Industry. The Report observed that, in 2021, the property/casualty sector direct premium written was $798 billion, a 9% growth over 2020 levels, the highest annual growth in the past decade. In September 2021, the FIO issued a Preemption Report. This document noted “that during the fiscal year ending September 30, 2021, FIO did not take any action regarding the preemption of any state insurance measures that were inconsistent with a covered agreement.” In addition to reviewing the financial status of the property/casualty industry, the Report includes Topical Updates and FIO activities, climate change, mitigation and resilience and Cyber Risks, Ransomware, and Cyber Insurance.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16</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On December 20, 2020, the Terrorism Risk Insurance Program Reauthorization Act of 2019 was enacted and is now scheduled to expire on December 31, 2027. The Terrorism Risk Insurance Program serves as a federal “backstop” for insurance claims related to acts of terrorism.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November 15, 2021, the DFS issued its final Guidance for New York Domestic Insurers On Managing the Financial Risks from Climate Change. On June 15, 2022, the DFS released its 2021 annual report. The report references the creation of a standalone Climate Division, which was the source of the aforementioned guidance.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In 2021, the Governor of the State of New York signed into law, effective January 28, 2022 and subsequently clarified by law taking effect March 15, 2023, legislation that seeks to prevent homeowner insurers from discriminating solely on the basis of breed of dog.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2021, the Comprehensive Insurance Disclosure Act was enacted in New York State. This law, as amended by a subsequent chapter amendment, requires any defendant to provide to the plaintiff, within a limited timeframe, proof of existence and the contents of any insurance agreement under which any person or entity may be liable to satisfy part or all of a judgment and details what the information and documentation includes. The new law applies to actions commenced on or after December 31, 2021.</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2022, the New York legislature passed legislation to greatly expand wrongful death actions. This bill sought to expand the categories of claimants and scope of losses for which a wrongful death lawsuit could be brought. The bill was vetoed in January 2023, but observers suspect the substance of the bill may reappear for future consideration.</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State Regulatory Examinations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As part of their regulatory oversight process, state regulatory authorities conduct periodic detailed examinations of the financial reporting of insurance companies domiciled in their states, generally once every three to five years. Examinations are generally carried out in cooperation with the insurance regulators of other states under guidelines promulgated by the NAIC. The DFS has notified KICO that it will commence an examination of KICO in 2023 for the years 2019 through 2022. </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 xml:space="preserve">Risk-Based Capital Regulations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State regulatory authorities impose risk-based capital (“RBC”) requirements on insurance enterprises. The RBC Model serves as a benchmark for the regulation of insurance companies. RBC provides for targeted surplus levels based on formulas, which specify various weighting factors that are applied to financial balances or various levels of activity based on the perceived degree of risk, and are set forth in the RBC requirements. Such formulas focus on four general types of risk: (a) the risk with respect to the company’s assets (asset or default risk); (b) the risk of default on amounts due from reinsurers, policyholders, or other creditors (credit risk); (c) the risk of underestimating liabilities from business already written or inadequately pricing business to be written in the coming year (underwriting risk); and (d) the risk associated with items such as excessive premium growth, contingent liabilities, and other items not reflected on the balance sheet (off-balance sheet risk). The amount determined under such formulas is called the authorized control level RBC (“ACL”).</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17</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RBC guidelines define specific capital levels based on a company’s ACL that are determined by the ratio of the company’s total adjusted capital (“TAC”) to its ACL. TAC is equal to statutory capital, plus or minus certain other specified adjustments. KICO’s TAC is above the ACL and is in compliance with New York’s RBC requirements as of December 31, 2022.</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Dividend Limitations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ability to receive dividends from KICO is restricted by the state laws and insurance regulations of New York. These restrictions are related to surplus and net investment income. Dividends may be paid, without the need for DFS approval, from unassigned surplus and are restricted to the lesser of 10% of surplus or 100% of investment income (on a statutory accounting basis) for the trailing 36 months, less dividends by KICO paid during such period. See Item 5 (“Market for Registrant’s Common Equity, Related Stockholder Matters and Issuer Purchases of Equity Securities”) – Dividends of this Annual Report for a further discussion as to KICO’s ability to pay dividends to us.</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Insurance Regulatory Information System Ratios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Insurance Regulatory Information System (“IRIS”) was developed by the NAIC and is intended primarily to assist state insurance regulators in meeting their statutory mandates to oversee the financial condition of insurance companies operating in their respective states. IRIS identifies thirteen industry ratios and specifies “usual values” for each ratio. Departure from the usual values on four or more of the ratios can lead to inquiries from individual state insurance commissioners as to certain aspects of an insurer’s business. As of December 31, 2022, KICO had three ratios outside the usual range.</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 xml:space="preserve">Accounting Principles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Statutory accounting principles (“SAP”) are a basis of accounting developed by the NAIC. They are used to prepare the statutory financial statements of insurance companies and to assist insurance regulators in monitoring and regulating the solvency of insurance companies. SAP is primarily concerned with measuring an insurer’s policyholder surplus. Accordingly, statutory accounting focuses on valuing assets and liabilities of insurers at financial reporting dates in accordance with appropriate insurance law and regulatory provisions applicable in each insurer’s domiciliary state.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Generally accepted accounting principles (“GAAP”) are concerned with a company’s solvency, but are also concerned with other financial measurements, principally results of operations and cash flows. Accordingly, GAAP gives more consideration to appropriate matching of revenue and expenses and accounting for management’s stewardship of assets than does SAP. As a direct result, different types and amounts of assets and liabilities will be reflected in financial statements prepared in accordance with GAAP as compared to SAP.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Statutory accounting practices established by the NAIC and adopted in part by New York insurance regulators determine, among other things, the amount of statutory surplus and statutory net income of KICO and thus determine, in part, the amount of funds that are available for KICO to pay dividends to Kingstone Companies, Inc.</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18</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both"/>
        <w:rPr/>
      </w:pPr>
      <w:r>
        <w:rPr>
          <w:rStyle w:val="StrongEmphasis"/>
          <w:rFonts w:ascii="times new roman" w:hAnsi="times new roman"/>
          <w:sz w:val="20"/>
        </w:rPr>
        <w:t>Legal Structure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were incorporated in 1961 and assumed the name DCAP Group, Inc. in 1999. On July 1, 2009, we changed our name to Kingstone Companies, Inc.</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 xml:space="preserve">Employees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As of December 31, 2022, we had 95 employees. None of our employees are covered by a collective bargaining agreement. We believe that our relationship with our employees is good.</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 xml:space="preserve">Availability of Information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Annual Reports on Form 10-K, Quarterly Reports on Form 10-Q, Current Reports on Form 8-K, and amendments to reports filed pursuant to Sections 13(a) and 15(d) of the Securities Exchange Act of 1934, as amended (the “Exchange Act”), are filed with the U.S. Securities and Exchange Commission (the “SEC”). Such reports and other information filed by us with the SEC are available free of charge at the investor relations section of our website at www.kingstonecompanies.com as soon as reasonably practicable after such reports are electronically filed with, or furnished to, the SEC. Copies are also available, without charge, by writing to Kingstone Companies, Inc., Investor Relations, 15 Joys Lane, Kingstone, New York 12401. The SEC also maintains a website, www.sec.gov, which contains reports, proxy and information statements, and other information regarding issuers that file electronically with the SEC. The inclusion of our website address in this Annual Report does not include or incorporate by reference the information on our website into this Annual Report.</w:t>
      </w:r>
    </w:p>
    <w:p>
      <w:pPr>
        <w:pStyle w:val="TextBody"/>
        <w:spacing w:before="0" w:after="0"/>
        <w:ind w:left="0" w:right="0" w:hanging="0"/>
        <w:jc w:val="both"/>
        <w:rPr/>
      </w:pPr>
      <w:r>
        <w:rPr/>
        <w:t> </w:t>
      </w:r>
    </w:p>
    <w:p>
      <w:pPr>
        <w:pStyle w:val="TextBody"/>
        <w:spacing w:before="0" w:after="0"/>
        <w:ind w:left="0" w:right="0" w:hanging="0"/>
        <w:jc w:val="both"/>
        <w:rPr/>
      </w:pPr>
      <w:bookmarkStart w:id="4" w:name="i1a"/>
      <w:bookmarkEnd w:id="4"/>
      <w:r>
        <w:rPr>
          <w:rStyle w:val="StrongEmphasis"/>
          <w:rFonts w:ascii="times new roman" w:hAnsi="times new roman"/>
          <w:sz w:val="20"/>
          <w:u w:val="single"/>
        </w:rPr>
        <w:t>ITEM 1A</w:t>
      </w:r>
      <w:r>
        <w:rPr>
          <w:rFonts w:ascii="times new roman" w:hAnsi="times new roman"/>
          <w:sz w:val="20"/>
        </w:rPr>
        <w:t xml:space="preserve">. </w:t>
      </w:r>
      <w:r>
        <w:rPr>
          <w:rStyle w:val="StrongEmphasis"/>
          <w:rFonts w:ascii="times new roman" w:hAnsi="times new roman"/>
          <w:sz w:val="20"/>
          <w:u w:val="single"/>
        </w:rPr>
        <w:t>RISK FACTORS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Based upon the following factors, as well as other factors affecting our operating results and financial condition, past financial performance should not be considered to be a reliable indicator of future performance, and investors should not use historical trends to anticipate results or trends in future periods. These factors, among others, may affect the accuracy of certain forward-looking statements contained in this Annual Report.</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u w:val="single"/>
        </w:rPr>
        <w:t xml:space="preserve">Risks Related to Our Business </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The impact of pandemics and other public health issues (like COVID-19) and related risks could materially affect our results of operations, financial position and/or liquidity.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Beginning in March 2020, the global pandemic related to COVID-19 began to impact the global economy and our results of operations. Because of the size and breadth of this pandemic, all of the direct and indirect consequences of COVID-19 may not emerge for some time. Risks presented by the ongoing effects of COVID-19 include, among others, the following:</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u w:val="single"/>
        </w:rPr>
        <w:t>Investments.</w:t>
      </w:r>
      <w:r>
        <w:rPr>
          <w:rFonts w:ascii="times new roman" w:hAnsi="times new roman"/>
          <w:sz w:val="20"/>
        </w:rPr>
        <w:t xml:space="preserve"> The disruption in the financial markets related to COVID-19 has contributed to net investment losses, primarily due to the impact of changes in fair value on our equity investments and in our fixed-income investment portfolio. Our corporate fixed income portfolio may be adversely impacted by ratings downgrades, increased bankruptcies and credit spread widening in distressed industries. In addition, in recent years, many state and local governments have been operating under deficits or projected deficits. These deficits may be exacerbated by the costs of responding to COVID-19 and reduced tax revenues due to adverse economic conditions. The severity and duration of these deficits could have an adverse impact on the collectability and valuation of our municipal bond portfolio. Our investment portfolio also includes mortgage-backed securities which could be adversely impacted by declines in real estate valuations and/or financial market disruption. Further disruptions in global financial markets could adversely impact our net investment income in future periods.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19</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firstLine="720"/>
        <w:jc w:val="both"/>
        <w:rPr/>
      </w:pPr>
      <w:r>
        <w:rPr>
          <w:rStyle w:val="Emphasis"/>
          <w:rFonts w:ascii="times new roman" w:hAnsi="times new roman"/>
          <w:sz w:val="20"/>
          <w:u w:val="single"/>
        </w:rPr>
        <w:t>Adverse Legislative and/or Regulatory Action.</w:t>
      </w:r>
      <w:r>
        <w:rPr>
          <w:rFonts w:ascii="times new roman" w:hAnsi="times new roman"/>
          <w:sz w:val="20"/>
        </w:rPr>
        <w:t xml:space="preserve"> Federal, state and local government actions to address and contain the impact of pandemic and other public health issues (like COVID-19) may adversely affect us. For example, we may be subject to legislative and/or regulatory action that seeks to retroactively mandate coverage for losses which our insurance policies were not designed or priced to cover. Currently, in some states there is proposed legislation to require insurers to cover business interruption claims irrespective of terms, exclusions or other conditions included in the policies that would otherwise preclude coverage. Regulatory restrictions or requirements could also impact pricing, risk selection and our rights and obligations with respect to our policies and insureds, including our ability to cancel or non-renew policies and our right to collect premiums.</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u w:val="single"/>
        </w:rPr>
        <w:t>Operational Disruptions and Heightened Cybersecurity Risks.</w:t>
      </w:r>
      <w:r>
        <w:rPr>
          <w:rFonts w:ascii="times new roman" w:hAnsi="times new roman"/>
          <w:sz w:val="20"/>
        </w:rPr>
        <w:t xml:space="preserve"> Our operations could be disrupted if key members of our senior management or a significant percentage of our workforce or the workforce of our producers are unable to continue to work because of illness, government directives or otherwise. In addition, the interruption of our or their system capabilities could result in a deterioration of our ability to write and process new and renewal business, provide customer service, pay claims in a timely manner or perform other necessary business functions. Having shifted to remote working arrangements, we also face a heightened risk of cybersecurity attacks or data security incidents and are more dependent on internet and telecommunications access and capabilities.</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As a property and casualty insurer, we may face significant losses from catastrophes and severe weather events.</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Because of the exposure of our property and casualty business to catastrophic events and other severe weather events, our operating results and financial condition may vary significantly from one period to the next. Catastrophes can be caused by various natural and man-made disasters, including earthquakes, wildfires, tornadoes, hurricanes, severe winter weather, storms and certain types of terrorism. We currently have catastrophe reinsurance coverage with regard to losses of up to $345,000,000 ($335,000,000 in excess of $10,000,000). Effective January 1, 2023, $10,000,000 of losses in a catastrophe are subject to a quota share reinsurance treaty, which covers 12.5% of catastrophe losses such that we retain $8,750,000 of risk per catastrophe occurrence. With respect to any additional catastrophe losses of up to $335,000,000, we are 100% reinsured under our catastrophe reinsurance program. Catastrophe coverage is limited on an annual basis to two times the per occurrence amounts. We may incur catastrophe losses in excess of: (i) those that we project would be incurred, (ii) those that external modeling firms estimate would be incurred, (iii) the average expected level used in pricing or (iv) our current reinsurance coverage limits. Despite our catastrophe management programs, we are exposed to catastrophes that could have a material adverse effect on our operating results and financial condition. Our liquidity could be constrained by a catastrophe, or multiple catastrophes, which may result in extraordinary losses or a downgrade of our financial strength ratings. In addition, the reinsurance losses that are incurred in connection with a catastrophe could have an adverse impact on the terms and conditions of future reinsurance treaties.</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In addition, we are subject to claims arising from non-catastrophic weather events such as hurricanes, tropical storms, severe winter weather, rain, hail and high winds. The incidence and severity of weather conditions are largely unpredictable. There is generally an increase in the frequency and severity of claims when severe weather conditions occur.</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20</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firstLine="675"/>
        <w:jc w:val="both"/>
        <w:rPr/>
      </w:pPr>
      <w:r>
        <w:rPr>
          <w:rStyle w:val="Emphasis"/>
          <w:rFonts w:ascii="times new roman" w:hAnsi="times new roman"/>
          <w:sz w:val="20"/>
        </w:rPr>
        <w:t>Unanticipated increases in the severity or frequency of claims may adversely affect our operating results and financial condition.</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Changes in the severity or frequency of claims may affect our profitability. Changes in homeowners claim severity are driven by inflation in the construction industry, in building materials and home furnishings, and by other economic and environmental factors, including increased demand for services and supplies in areas affected by catastrophes. Changes in bodily injury claim severity are driven primarily by inflation in the medical sector of the economy and by litigation costs. Changes in auto physical damage claim severity are driven primarily by inflation in auto repair costs, prices of auto parts and used car prices. However, changes in the level of the severity of claims are not limited to the effects of inflation and demand surge in these various sectors of the economy. Increases in claim severity can arise from unexpected events that are inherently difficult to predict, such as a change in the law or an inability to enforce exclusions and limitations contained in our policies. Although we pursue various loss management initiatives to mitigate future increases in claim severity, there can be no assurances that these initiatives will successfully identify or reduce the effect of future increases in claim severity, and a significant increase in claim frequency could have an adverse effect on our operating results and financial condition.</w:t>
      </w:r>
    </w:p>
    <w:p>
      <w:pPr>
        <w:pStyle w:val="TextBody"/>
        <w:spacing w:before="0" w:after="0"/>
        <w:ind w:left="0" w:right="0" w:hanging="0"/>
        <w:jc w:val="both"/>
        <w:rPr/>
      </w:pPr>
      <w:r>
        <w:rPr/>
        <w:t> </w:t>
      </w:r>
    </w:p>
    <w:p>
      <w:pPr>
        <w:pStyle w:val="TextBody"/>
        <w:spacing w:before="0" w:after="0"/>
        <w:ind w:left="0" w:right="0" w:firstLine="675"/>
        <w:jc w:val="both"/>
        <w:rPr/>
      </w:pPr>
      <w:r>
        <w:rPr>
          <w:rStyle w:val="Emphasis"/>
          <w:rFonts w:ascii="times new roman" w:hAnsi="times new roman"/>
          <w:sz w:val="20"/>
        </w:rPr>
        <w:t>The financial strength rating assigned to our insurance subsidiary will impact our revenues and earnings.</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Financial strength ratings are an important factor influencing the competitive position of insurance companies. The objective of the rating agencies’ rating systems is to provide an opinion as to an insurer’s financial strength and ability to meet ongoing obligations to its policyholders. The ratings of Kingstone Insurance Company (“KICO”), our insurance subsidiary, reflect the rating agencies’ opinion as to its financial strength and are not evaluations directed to investors in our securities, nor are they recommendations to buy, sell or hold our securities.</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Our ratings are subject to periodic review by, and may be revised downward or revoked at the sole discretion of, the rating agencies. In July 2022, A.M. Best lowered the financial strength rating of KICO from “B+” (Good) to “B” (Fair). The outlook of A.M. Best’s credit rating is negative. Concurrently, A.M. Best’s public rating for Kingstone Companies, Inc. was withdrawn.</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Management believes that A.M. Best’s financial strength rating is more significant with regard to commercial liability insurance, as opposed to personal lines business. Since we have discontinued our commercial lines business, we believe that A.M. Best’s rating action will not result in a material decrease in the amount of business that KICO will be able to write. Also, KICO has a Demotech financial stability rating of A (Exceptional) which generally makes its policies acceptable to mortgage lenders that require homeowners to purchase insurance from highly-rated carriers.</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However, the prior A.M Best ratings downgrade has resulted in a material decrease in the business of our subsidiary, Cosi, a multi-state licensed general agency that had partnered with name-brand carriers which require an A.M. Best “A-” rating from its partners.</w:t>
      </w:r>
    </w:p>
    <w:p>
      <w:pPr>
        <w:pStyle w:val="TextBody"/>
        <w:spacing w:before="0" w:after="0"/>
        <w:ind w:left="0" w:right="0" w:hanging="0"/>
        <w:jc w:val="both"/>
        <w:rPr/>
      </w:pPr>
      <w:r>
        <w:rPr/>
        <w:t> </w:t>
      </w:r>
    </w:p>
    <w:p>
      <w:pPr>
        <w:pStyle w:val="TextBody"/>
        <w:spacing w:before="0" w:after="0"/>
        <w:ind w:left="0" w:right="0" w:firstLine="675"/>
        <w:jc w:val="both"/>
        <w:rPr/>
      </w:pPr>
      <w:r>
        <w:rPr>
          <w:rStyle w:val="Emphasis"/>
          <w:rFonts w:ascii="times new roman" w:hAnsi="times new roman"/>
          <w:sz w:val="20"/>
        </w:rPr>
        <w:t>The failure to comply with certain financial covenants could result in a default with regard to our debt due on December 30, 2024.</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On December 9, 2022, we entered into a Note and Warrant Exchange Agreement (the “Exchange Agreement”) with several holders (the “Exchanging Noteholders”) of our outstanding 5.50% Senior Notes due 2022 (the “2017 Notes”). On the date of the Exchange Agreement, the Exchanging Noteholders held 2017 Notes in the aggregate principal amount of $21,545,000 of the $30,000,000 aggregate principal amount of 2017 Notes then outstanding.</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21</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At the closing of the Exchange Agreement, the Exchanging Noteholders exchanged their respective 2017 Notes for, among other things, new 12.0% Senior Notes due December 30, 2024 in the aggregate principal amount of $19,950,000 (the “2022 Notes”). Pursuant to the Exchange Agreement, we are required to satisfy certain financial covenants, among other covenants, related to our performance. In the event we do not satisfy such covenants, the holders of the 2022 Notes could declare a default and seek to accelerate the due date for payment, among other remedies.</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We are exposed to significant financial and capital markets risk which may adversely affect our results of operations, financial condition and liquidity, and our net investment income can vary from period to period.</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We are exposed to significant financial and capital markets risk, including changes in interest rates, equity prices, market volatility, general economic conditions, the performance of the economy in general, the performance of the specific obligors included in our portfolio, and other factors outside our control. Our exposure to interest rate risk relates primarily to the market price and cash flow variability associated with changes in interest rates. Our investment portfolio contains interest rate sensitive instruments, such as fixed income securities, which may be adversely affected by changes in interest rates from governmental monetary policies, domestic and international economic and political conditions and other factors beyond our control. A rise in interest rates would increase the net unrealized loss position of our investment portfolio, which would be offset by our ability to earn higher rates of return on funds reinvested. Conversely, a decline in interest rates would decrease the net unrealized loss position of our investment portfolio, which would be offset by lower rates of return on funds reinvested.</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In addition, market volatility can make it difficult to value certain of our securities if trading becomes less frequent. As such, valuations may include assumptions or estimates that may have significant period to period changes which could have a material adverse effect on our consolidated results of operations or financial condition. If significant, continued volatility, changes in interest rates, changes in defaults, a lack of pricing transparency, market liquidity and declines in equity prices, individually or in tandem, could have a material adverse effect on our results of operations, financial condition or cash flows through realized losses, impairments, and changes in unrealized positions.</w:t>
      </w:r>
    </w:p>
    <w:p>
      <w:pPr>
        <w:pStyle w:val="TextBody"/>
        <w:spacing w:before="0" w:after="0"/>
        <w:ind w:left="0" w:right="0" w:hanging="0"/>
        <w:jc w:val="both"/>
        <w:rPr/>
      </w:pPr>
      <w:r>
        <w:rPr/>
        <w:t> </w:t>
      </w:r>
    </w:p>
    <w:p>
      <w:pPr>
        <w:pStyle w:val="TextBody"/>
        <w:spacing w:before="0" w:after="0"/>
        <w:ind w:left="0" w:right="0" w:firstLine="675"/>
        <w:jc w:val="both"/>
        <w:rPr/>
      </w:pPr>
      <w:r>
        <w:rPr>
          <w:rStyle w:val="Emphasis"/>
          <w:rFonts w:ascii="times new roman" w:hAnsi="times new roman"/>
          <w:sz w:val="20"/>
        </w:rPr>
        <w:t>Reinsurance may be unavailable at current levels and prices, which may limit our ability to write new business.</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We purchase reinsurance to reduce our net liability on individual risks, to protect against possible catastrophes, to remain within a target ratio of net premiums written to policyholders’ surplus and to expand our underwriting capacity. Participation in reinsurance arrangements does not relieve us from our obligations to policyholders. Our personal lines catastrophe reinsurance program was designed, utilizing our risk management methodology, to address our exposure to catastrophes. Market conditions beyond our control impact the availability and cost of the reinsurance we purchase. No assurances can be given that reinsurance will remain continuously available to us on terms and rates that are commercially reasonable. For example, our ability to afford reinsurance to reduce our catastrophe risk may be dependent upon our ability to adjust premium rates for its cost, and there are no assurances that the terms and rates for our current reinsurance program will continue to be available in the future. If we are unable to maintain our current level of reinsurance or purchase new reinsurance protection in amounts that we consider sufficient and at prices that we consider acceptable, we will have to either accept an increase in our exposure risk, reduce our insurance writings or seek other alternatives.</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22</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firstLine="675"/>
        <w:jc w:val="both"/>
        <w:rPr/>
      </w:pPr>
      <w:r>
        <w:rPr>
          <w:rStyle w:val="Emphasis"/>
          <w:rFonts w:ascii="times new roman" w:hAnsi="times new roman"/>
          <w:sz w:val="20"/>
        </w:rPr>
        <w:t>Reinsurance subjects us to the credit risk of our reinsurers, which may have a material adverse effect on our operating results and financial condition.</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The collectability of reinsurance recoverables is subject to uncertainty arising from a number of factors, including changes in market conditions, whether insured losses meet the qualifying conditions of the reinsurance contract and whether reinsurers, or their affiliates, have the financial capacity and willingness to make payments under the terms of a reinsurance treaty or contract. Since we are primarily liable to an insured for the full amount of insurance coverage, our inability to collect a material recovery from a reinsurer could have a material adverse effect on our operating results and financial condition.</w:t>
      </w:r>
    </w:p>
    <w:p>
      <w:pPr>
        <w:pStyle w:val="TextBody"/>
        <w:spacing w:before="0" w:after="0"/>
        <w:ind w:left="0" w:right="0" w:hanging="0"/>
        <w:jc w:val="both"/>
        <w:rPr/>
      </w:pPr>
      <w:r>
        <w:rPr/>
        <w:t> </w:t>
      </w:r>
    </w:p>
    <w:p>
      <w:pPr>
        <w:pStyle w:val="TextBody"/>
        <w:spacing w:before="0" w:after="0"/>
        <w:ind w:left="0" w:right="0" w:firstLine="675"/>
        <w:jc w:val="both"/>
        <w:rPr/>
      </w:pPr>
      <w:r>
        <w:rPr>
          <w:rStyle w:val="Emphasis"/>
          <w:rFonts w:ascii="times new roman" w:hAnsi="times new roman"/>
          <w:sz w:val="20"/>
        </w:rPr>
        <w:t>Applicable insurance laws regarding the change of control of our company may impede potential acquisitions that our stockholders might consider desirable.</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We are subject to statutes and regulations of the state of New York which generally require that any person or entity desiring to acquire direct or indirect control of KICO, our insurance company subsidiary, obtain prior regulatory approval. In addition, a change of control of Kingstone Companies, Inc. would require such approval. These laws may discourage potential acquisition proposals and may delay, deter or prevent a change of control of our company, including through transactions, and in particular unsolicited transactions. Some of our stockholders might consider such transactions to be desirable. Similar regulations may apply in other states in which we may operate.</w:t>
      </w:r>
    </w:p>
    <w:p>
      <w:pPr>
        <w:pStyle w:val="TextBody"/>
        <w:spacing w:before="0" w:after="0"/>
        <w:ind w:left="0" w:right="0" w:hanging="0"/>
        <w:jc w:val="both"/>
        <w:rPr/>
      </w:pPr>
      <w:r>
        <w:rPr/>
        <w:t> </w:t>
      </w:r>
    </w:p>
    <w:p>
      <w:pPr>
        <w:pStyle w:val="TextBody"/>
        <w:spacing w:before="0" w:after="0"/>
        <w:ind w:left="0" w:right="0" w:firstLine="675"/>
        <w:jc w:val="both"/>
        <w:rPr/>
      </w:pPr>
      <w:r>
        <w:rPr>
          <w:rStyle w:val="Emphasis"/>
          <w:rFonts w:ascii="times new roman" w:hAnsi="times new roman"/>
          <w:sz w:val="20"/>
        </w:rPr>
        <w:t>The insurance industry is subject to extensive regulation that may affect our operating costs and limit the growth of our business, and changes within this regulatory environment may adversely affect our operating costs and limit the growth of our business.</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We are subject to extensive laws and regulations. State insurance regulators are charged with protecting policyholders and have broad regulatory, supervisory and administrative powers over our business practices. These include, among other things, the power to grant and revoke licenses to transact business and the power to regulate and approve underwriting practices and rate changes, which may delay the implementation of premium rate changes, prevent us from making changes we believe are necessary to match rate to risk or delay or prevent our entry into new states. In addition, many states have laws and regulations that limit an insurer’s ability to cancel or not renew policies and that prohibit an insurer from withdrawing from one or more lines of business written in the state, except pursuant to a plan that is approved by state regulatory authorities. Laws and regulations that limit cancellation and non-renewal and that subject program withdrawals to prior approval requirements may restrict our ability to exit unprofitable markets.</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Because the laws and regulations under which we operate are administered and enforced by a number of different governmental authorities, including state insurance regulators, state securities administrators and the SEC, each of which exercises a degree of interpretive latitude, we are subject to the risk that compliance with any particular regulator’s or enforcement authority’s interpretation of a legal issue may not result in compliance with another’s interpretation of the same issue, particularly when compliance is judged in hindsight. In addition, there is risk that any particular regulator’s or enforcement authority’s interpretation of a legal issue may change over time to our detriment, or that changes in the overall legal and regulatory environment may, even in the absence of any change to a particular regulator’s or enforcement authority’s interpretation of a legal issue changing, cause us to change our views regarding the actions we need to take from a legal risk management perspective, thereby necessitating changes to our practices that may, in some cases, limit our ability to grow and/or to improve the profitability of our business.</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23</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While the United States federal government does not directly regulate the insurance industry, federal legislation and administrative policies can affect us. Congress and various federal agencies periodically discuss proposals that would provide for a federal charter for insurance companies. We cannot predict whether any such laws will be enacted or the effect that such laws would have on our business. Moreover, there can be no assurance that changes will not be made to current laws, rules and regulations, or that any other laws, rules or regulations will not be adopted in the future, that could adversely affect our business and financial condition.</w:t>
      </w:r>
    </w:p>
    <w:p>
      <w:pPr>
        <w:pStyle w:val="TextBody"/>
        <w:spacing w:before="0" w:after="0"/>
        <w:ind w:left="0" w:right="0" w:hanging="0"/>
        <w:jc w:val="both"/>
        <w:rPr/>
      </w:pPr>
      <w:r>
        <w:rPr/>
        <w:t> </w:t>
      </w:r>
    </w:p>
    <w:p>
      <w:pPr>
        <w:pStyle w:val="TextBody"/>
        <w:spacing w:before="0" w:after="0"/>
        <w:ind w:left="0" w:right="0" w:firstLine="675"/>
        <w:jc w:val="both"/>
        <w:rPr/>
      </w:pPr>
      <w:r>
        <w:rPr>
          <w:rStyle w:val="Emphasis"/>
          <w:rFonts w:ascii="times new roman" w:hAnsi="times new roman"/>
          <w:sz w:val="20"/>
        </w:rPr>
        <w:t>We may not be able to maintain the requisite amount of risk-based capital, which may adversely affect our profitability and our ability to compete in the property and casualty insurance markets.</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The New York State Department of Financial Services (the “DFS”) imposes risk-based capital requirements on insurance companies to ensure that insurance companies maintain appropriate levels of surplus to support their overall business operations and to protect customers against adverse developments, after taking into account default, credit, underwriting and off-balance sheet risks. If the amount of our capital falls below certain thresholds, we may face restrictions with respect to soliciting new business and/or keeping existing business. Similar regulations apply in other states in which we operate.</w:t>
      </w:r>
    </w:p>
    <w:p>
      <w:pPr>
        <w:pStyle w:val="TextBody"/>
        <w:spacing w:before="0" w:after="0"/>
        <w:ind w:left="0" w:right="0" w:hanging="0"/>
        <w:jc w:val="both"/>
        <w:rPr/>
      </w:pPr>
      <w:r>
        <w:rPr/>
        <w:t> </w:t>
      </w:r>
    </w:p>
    <w:p>
      <w:pPr>
        <w:pStyle w:val="TextBody"/>
        <w:spacing w:before="0" w:after="0"/>
        <w:ind w:left="0" w:right="0" w:firstLine="675"/>
        <w:jc w:val="both"/>
        <w:rPr/>
      </w:pPr>
      <w:r>
        <w:rPr>
          <w:rStyle w:val="Emphasis"/>
          <w:rFonts w:ascii="times new roman" w:hAnsi="times new roman"/>
          <w:sz w:val="20"/>
        </w:rPr>
        <w:t>Changing climate conditions may adversely affect our financial condition, profitability or cash flows.</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We recognize the scientific view that the world is getting warmer. Climate change, to the extent it produces rising temperatures and changes in weather patterns, could impact the frequency and/or severity of weather events and affect the affordability and availability of homeowners insurance.</w:t>
      </w:r>
    </w:p>
    <w:p>
      <w:pPr>
        <w:pStyle w:val="TextBody"/>
        <w:spacing w:before="0" w:after="0"/>
        <w:ind w:left="0" w:right="0" w:hanging="0"/>
        <w:jc w:val="both"/>
        <w:rPr/>
      </w:pPr>
      <w:r>
        <w:rPr/>
        <w:t> </w:t>
      </w:r>
    </w:p>
    <w:p>
      <w:pPr>
        <w:pStyle w:val="TextBody"/>
        <w:spacing w:before="0" w:after="0"/>
        <w:ind w:left="0" w:right="0" w:firstLine="675"/>
        <w:jc w:val="both"/>
        <w:rPr/>
      </w:pPr>
      <w:r>
        <w:rPr>
          <w:rStyle w:val="Emphasis"/>
          <w:rFonts w:ascii="times new roman" w:hAnsi="times new roman"/>
          <w:sz w:val="20"/>
        </w:rPr>
        <w:t>Our operating results and financial condition may be adversely affected by the cyclical nature of the property and casualty business.</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The property and casualty market is cyclical and has experienced periods characterized by relatively high levels of price competition, less restrictive underwriting standards and relatively low premium rates, followed by periods of relatively lower levels of competition, more selective underwriting standards and relatively high premium rates. A downturn in the profitability cycle of the property and casualty business could have a material adverse effect on our operating results and financial condition.</w:t>
      </w:r>
    </w:p>
    <w:p>
      <w:pPr>
        <w:pStyle w:val="TextBody"/>
        <w:spacing w:before="0" w:after="0"/>
        <w:ind w:left="0" w:right="0" w:hanging="0"/>
        <w:jc w:val="both"/>
        <w:rPr/>
      </w:pPr>
      <w:r>
        <w:rPr/>
        <w:t> </w:t>
      </w:r>
    </w:p>
    <w:p>
      <w:pPr>
        <w:pStyle w:val="TextBody"/>
        <w:spacing w:before="0" w:after="0"/>
        <w:ind w:left="0" w:right="0" w:firstLine="675"/>
        <w:jc w:val="both"/>
        <w:rPr/>
      </w:pPr>
      <w:r>
        <w:rPr>
          <w:rStyle w:val="Emphasis"/>
          <w:rFonts w:ascii="times new roman" w:hAnsi="times new roman"/>
          <w:sz w:val="20"/>
        </w:rPr>
        <w:t>Because substantially all of our revenue is currently derived from sources located in New York, our business may be adversely affected by conditions in such state.</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Approximately 81% of our revenue is currently derived from sources located in the State of New York and, accordingly, is affected by the prevailing regulatory, economic, demographic, competitive and other conditions in the state. Changes in any of these conditions could make it costlier or difficult for us to conduct our business. Adverse regulatory developments in New York, which could include fundamental changes to the design or implementation of the insurance regulatory framework, could have a material adverse effect on our results of operations and financial condition.</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24</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firstLine="675"/>
        <w:jc w:val="both"/>
        <w:rPr/>
      </w:pPr>
      <w:r>
        <w:rPr>
          <w:rStyle w:val="Emphasis"/>
          <w:rFonts w:ascii="times new roman" w:hAnsi="times new roman"/>
          <w:sz w:val="20"/>
        </w:rPr>
        <w:t>We are highly dependent on a relatively small number of insurance brokers for a large portion of our revenues.</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We market our insurance products primarily through insurance brokers. A large percentage of our gross premiums written are sourced through a limited number of brokers. For the year ended December 31, 2022, 38 brokers provided a total of 40% of our total gross premiums written. The nature of our dependency on these brokers relates to the high volume of business they consistently refer to us. Our relationship with these brokers is based on the quality of the underwriting and claims services we provide to our clients and on our financial strength ratings. Any deterioration in these factors could result in these brokers advising clients to place their risks with other insurers rather than with us. A loss of all or a substantial portion of the business provided by one or more of these brokers could have a material adverse effect on our financial condition and results of operations.</w:t>
      </w:r>
    </w:p>
    <w:p>
      <w:pPr>
        <w:pStyle w:val="TextBody"/>
        <w:spacing w:before="0" w:after="0"/>
        <w:ind w:left="0" w:right="0" w:hanging="0"/>
        <w:jc w:val="both"/>
        <w:rPr/>
      </w:pPr>
      <w:r>
        <w:rPr/>
        <w:t> </w:t>
      </w:r>
    </w:p>
    <w:p>
      <w:pPr>
        <w:pStyle w:val="TextBody"/>
        <w:spacing w:before="0" w:after="0"/>
        <w:ind w:left="0" w:right="0" w:firstLine="675"/>
        <w:jc w:val="both"/>
        <w:rPr/>
      </w:pPr>
      <w:r>
        <w:rPr>
          <w:rStyle w:val="Emphasis"/>
          <w:rFonts w:ascii="times new roman" w:hAnsi="times new roman"/>
          <w:sz w:val="20"/>
        </w:rPr>
        <w:t>Actual claims incurred may exceed current reserves established for claims, which may adversely affect our operating results and financial condition</w:t>
      </w:r>
      <w:r>
        <w:rPr>
          <w:rStyle w:val="Emphasis"/>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Recorded claim reserves for our business are based on our best estimates of losses after considering known facts and interpretations of circumstances. Internal and external factors are considered. Internal factors include, but are not limited to, actual claims paid, pending levels of unpaid claims, product mix and contractual terms. External factors include, but are not limited to, changes in the law, court decisions, changes in regulatory requirements and economic conditions. Because reserves are estimates of the unpaid portion of losses that have occurred, the establishment of appropriate reserves, including reserves for catastrophes, is an inherently uncertain and complex process. The ultimate cost of losses may vary materially from recorded reserves, and such variance may adversely affect our operating results and financial condition.</w:t>
      </w:r>
    </w:p>
    <w:p>
      <w:pPr>
        <w:pStyle w:val="TextBody"/>
        <w:spacing w:before="0" w:after="0"/>
        <w:ind w:left="0" w:right="0" w:hanging="0"/>
        <w:jc w:val="both"/>
        <w:rPr/>
      </w:pPr>
      <w:r>
        <w:rPr/>
        <w:t> </w:t>
      </w:r>
    </w:p>
    <w:p>
      <w:pPr>
        <w:pStyle w:val="TextBody"/>
        <w:spacing w:before="0" w:after="0"/>
        <w:ind w:left="0" w:right="0" w:firstLine="675"/>
        <w:jc w:val="both"/>
        <w:rPr/>
      </w:pPr>
      <w:r>
        <w:rPr>
          <w:rStyle w:val="Emphasis"/>
          <w:rFonts w:ascii="times new roman" w:hAnsi="times new roman"/>
          <w:sz w:val="20"/>
        </w:rPr>
        <w:t>As a holding company, we are dependent on the results of operations of our subsidiary, KICO; there are restrictions on the payment of dividends by KICO.</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We are a holding company and a legal entity separate and distinct from our operating subsidiary, KICO. As a holding company with limited operations of our own, currently the principal sources of our funds are dividends and other payments from KICO. Consequently, we must rely on KICO for our ability to repay debts, pay expenses and pay cash dividends to our stockholders.</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State insurance laws limit the ability of KICO to pay dividends from unassigned surplus and require KICO to maintain specified minimum levels of statutory capital and surplus. Maximum allowable dividends by KICO to us are restricted to the lesser of 10% of surplus or 100% of net investment income (on a statutory accounting basis) for the trailing 36 months, less dividends paid by KICO during such period. As of December 31, 2022, KICO could not pay any dividends to us without prior regulatory approval due to negative unassigned surplus of approximately $5,069,000. The aggregate maximum amount of dividends permitted by law to be paid by an insurance company does not necessarily define an insurance company’s actual ability to pay dividends. The actual ability to pay dividends may be further constrained by business and regulatory considerations, such as the impact of dividends on surplus, by our competitive position and by the amount of premiums that we can write. State insurance regulators have broad discretion to limit the payment of dividends by insurance companies. Our ability to pay interest and principal on the 2022 Notes as they come due may be limited by these regulatory constraints.</w:t>
      </w:r>
    </w:p>
    <w:p>
      <w:pPr>
        <w:pStyle w:val="TextBody"/>
        <w:spacing w:before="0" w:after="0"/>
        <w:ind w:left="0" w:right="0" w:hanging="0"/>
        <w:jc w:val="both"/>
        <w:rPr/>
      </w:pPr>
      <w:r>
        <w:rPr/>
        <w:t> </w:t>
      </w:r>
    </w:p>
    <w:p>
      <w:pPr>
        <w:pStyle w:val="TextBody"/>
        <w:spacing w:before="0" w:after="0"/>
        <w:ind w:left="0" w:right="0" w:firstLine="675"/>
        <w:jc w:val="both"/>
        <w:rPr/>
      </w:pPr>
      <w:r>
        <w:rPr>
          <w:rStyle w:val="Emphasis"/>
          <w:rFonts w:ascii="times new roman" w:hAnsi="times new roman"/>
          <w:sz w:val="20"/>
        </w:rPr>
        <w:t>We may not be able to generate sufficient cash to service our debt obligations, including the 2022 Notes.</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Our ability to make payments on our indebtedness, including the 2022 Notes, will depend on our financial and operating performance, which is subject to prevailing economic and competitive conditions and to certain financial, business and other factors beyond our control. We may be unable to maintain a sufficient level of cash flows from operating activities to permit us to pay the principal, premium, if any, and interest on our indebtedness.</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25</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firstLine="675"/>
        <w:jc w:val="both"/>
        <w:rPr/>
      </w:pPr>
      <w:r>
        <w:rPr>
          <w:rStyle w:val="Emphasis"/>
          <w:rFonts w:ascii="times new roman" w:hAnsi="times new roman"/>
          <w:sz w:val="20"/>
        </w:rPr>
        <w:t>Our future results are dependent in part on our ability to successfully operate in an insurance industry that is highly competitive.</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The insurance industry is highly competitive. Many of our competitors have well-established national reputations, substantially more capital and significantly greater marketing and management resources. Because of the competitive nature of the insurance industry, including competition for customers, agents and brokers, there can be no assurance that we will continue to effectively compete with our industry rivals, or that competitive pressures will not have a material adverse effect on our ability to grow our business and to maintain profitable operating results or financial condition.</w:t>
      </w:r>
    </w:p>
    <w:p>
      <w:pPr>
        <w:pStyle w:val="TextBody"/>
        <w:spacing w:before="0" w:after="0"/>
        <w:ind w:left="0" w:right="0" w:hanging="0"/>
        <w:jc w:val="both"/>
        <w:rPr/>
      </w:pPr>
      <w:r>
        <w:rPr/>
        <w:t> </w:t>
      </w:r>
    </w:p>
    <w:p>
      <w:pPr>
        <w:pStyle w:val="TextBody"/>
        <w:spacing w:before="0" w:after="0"/>
        <w:ind w:left="0" w:right="0" w:firstLine="675"/>
        <w:jc w:val="both"/>
        <w:rPr/>
      </w:pPr>
      <w:r>
        <w:rPr>
          <w:rStyle w:val="Emphasis"/>
          <w:rFonts w:ascii="times new roman" w:hAnsi="times new roman"/>
          <w:sz w:val="20"/>
        </w:rPr>
        <w:t>If we lose key personnel or are unable to recruit qualified personnel, our ability to implement our business strategies could be delayed or hindered.</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Our future success will depend, in part, upon the efforts of Barry Goldstein, our President, Chief Executive Officer and Executive Chairman, and Meryl Golden, our Chief Operating Officer and KICO’s President. The loss of Mr. Goldstein or Ms. Golden or other key personnel could prevent us from fully implementing our business strategies and could materially and adversely affect our business, financial condition and results of operations. As we continue to grow, we will need to recruit and retain additional qualified management personnel, but we may not be able to do so. Our ability to recruit and retain such personnel will depend upon a number of factors, such as our results of operations and prospects and the level of competition prevailing in the market for qualified personnel. Mr. Goldstein and we are parties to an employment agreement which expires on December 31, 2024. Ms. Golden and we are parties to an employment agreement which also expires on December 31, 2024.</w:t>
      </w:r>
    </w:p>
    <w:p>
      <w:pPr>
        <w:pStyle w:val="TextBody"/>
        <w:spacing w:before="0" w:after="0"/>
        <w:ind w:left="0" w:right="0" w:hanging="0"/>
        <w:jc w:val="both"/>
        <w:rPr/>
      </w:pPr>
      <w:r>
        <w:rPr/>
        <w:t> </w:t>
      </w:r>
    </w:p>
    <w:p>
      <w:pPr>
        <w:pStyle w:val="TextBody"/>
        <w:spacing w:before="0" w:after="0"/>
        <w:ind w:left="0" w:right="0" w:firstLine="675"/>
        <w:jc w:val="both"/>
        <w:rPr/>
      </w:pPr>
      <w:r>
        <w:rPr>
          <w:rStyle w:val="Emphasis"/>
          <w:rFonts w:ascii="times new roman" w:hAnsi="times new roman"/>
          <w:sz w:val="20"/>
        </w:rPr>
        <w:t>Difficult conditions in the economy generally could adversely affect our business and operating results.</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As with most businesses, we believe that difficult conditions in the economy could have an adverse effect on our business and operating results. General economic conditions also could adversely affect us in the form of consumer behavior, which may include decreased demand for our products. As consumers become more cost conscious, they may choose to purchase lower levels of insurance.</w:t>
      </w:r>
    </w:p>
    <w:p>
      <w:pPr>
        <w:pStyle w:val="TextBody"/>
        <w:spacing w:before="0" w:after="0"/>
        <w:ind w:left="0" w:right="0" w:hanging="0"/>
        <w:jc w:val="both"/>
        <w:rPr/>
      </w:pPr>
      <w:r>
        <w:rPr/>
        <w:t> </w:t>
      </w:r>
    </w:p>
    <w:p>
      <w:pPr>
        <w:pStyle w:val="TextBody"/>
        <w:spacing w:before="0" w:after="0"/>
        <w:ind w:left="0" w:right="0" w:firstLine="675"/>
        <w:jc w:val="both"/>
        <w:rPr/>
      </w:pPr>
      <w:r>
        <w:rPr>
          <w:rStyle w:val="Emphasis"/>
          <w:rFonts w:ascii="times new roman" w:hAnsi="times new roman"/>
          <w:sz w:val="20"/>
        </w:rPr>
        <w:t>Changes in accounting standards issued by the Financial Accounting Standards Board or other standard-setting bodies may adversely affect our reported results of operations and financial condition.</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Our financial statements are subject to the application of generally accepted accounting principles, which are periodically revised, interpreted and/or expanded. Accordingly, we are required to adopt new guidance or interpretations, which may have a material adverse effect on our results of operations and financial condition that is either unexpected or has a greater impact than expected.</w:t>
      </w:r>
    </w:p>
    <w:p>
      <w:pPr>
        <w:pStyle w:val="TextBody"/>
        <w:spacing w:before="0" w:after="0"/>
        <w:ind w:left="0" w:right="0" w:hanging="0"/>
        <w:jc w:val="both"/>
        <w:rPr/>
      </w:pPr>
      <w:r>
        <w:rPr/>
        <w:t> </w:t>
      </w:r>
    </w:p>
    <w:p>
      <w:pPr>
        <w:pStyle w:val="TextBody"/>
        <w:spacing w:before="0" w:after="0"/>
        <w:ind w:left="0" w:right="0" w:firstLine="675"/>
        <w:jc w:val="both"/>
        <w:rPr/>
      </w:pPr>
      <w:r>
        <w:rPr>
          <w:rStyle w:val="Emphasis"/>
          <w:rFonts w:ascii="times new roman" w:hAnsi="times new roman"/>
          <w:sz w:val="20"/>
        </w:rPr>
        <w:t>Our business could be adversely affected by a security breach or other attack involving our computer systems or those of one or more of our vendors.</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Our business requires that we develop and maintain computer systems to run our operations and to store a significant volume of confidential data. Some of these systems rely on third-party vendors, through either a connection to, or an integration with, those third-parties’ systems. In the course of our operations, we acquire the personal confidential information of our customers and employees. We also store our intellectual property, trade secrets, and other sensitive business and financial information.</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26</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All of these systems are subject to “cyber attacks” by sophisticated third parties with substantial computing resources and capabilities, and to unauthorized or illegitimate actions by employees, consultants, agents and other persons with legitimate access to our systems. Such attacks or actions may include attempts to:</w:t>
      </w:r>
    </w:p>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105"/>
        <w:gridCol w:w="125"/>
        <w:gridCol w:w="9975"/>
      </w:tblGrid>
      <w:tr>
        <w:trPr/>
        <w:tc>
          <w:tcPr>
            <w:tcW w:w="105" w:type="dxa"/>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rFonts w:ascii="symbol" w:hAnsi="symbol"/>
                <w:sz w:val="20"/>
              </w:rPr>
            </w:pPr>
            <w:r>
              <w:rPr>
                <w:rFonts w:ascii="symbol" w:hAnsi="symbol"/>
                <w:sz w:val="20"/>
              </w:rPr>
              <w:t>·</w:t>
            </w:r>
          </w:p>
        </w:tc>
        <w:tc>
          <w:tcPr>
            <w:tcW w:w="9975" w:type="dxa"/>
            <w:tcBorders/>
            <w:shd w:fill="auto" w:val="clear"/>
            <w:vAlign w:val="center"/>
          </w:tcPr>
          <w:p>
            <w:pPr>
              <w:pStyle w:val="TableContents"/>
              <w:spacing w:before="0" w:after="283"/>
              <w:rPr/>
            </w:pPr>
            <w:r>
              <w:rPr/>
              <w:t>steal, corrupt, or destroy data, including our intellectual property, financial data or the personal information of our customers or employees</w:t>
            </w:r>
          </w:p>
        </w:tc>
      </w:tr>
      <w:tr>
        <w:trPr/>
        <w:tc>
          <w:tcPr>
            <w:tcW w:w="105" w:type="dxa"/>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rFonts w:ascii="symbol" w:hAnsi="symbol"/>
                <w:sz w:val="20"/>
              </w:rPr>
            </w:pPr>
            <w:r>
              <w:rPr>
                <w:rFonts w:ascii="symbol" w:hAnsi="symbol"/>
                <w:sz w:val="20"/>
              </w:rPr>
              <w:t>·</w:t>
            </w:r>
          </w:p>
        </w:tc>
        <w:tc>
          <w:tcPr>
            <w:tcW w:w="9975" w:type="dxa"/>
            <w:tcBorders/>
            <w:shd w:fill="auto" w:val="clear"/>
            <w:vAlign w:val="center"/>
          </w:tcPr>
          <w:p>
            <w:pPr>
              <w:pStyle w:val="TableContents"/>
              <w:spacing w:before="0" w:after="283"/>
              <w:rPr/>
            </w:pPr>
            <w:r>
              <w:rPr/>
              <w:t>misappropriate funds</w:t>
            </w:r>
          </w:p>
        </w:tc>
      </w:tr>
      <w:tr>
        <w:trPr/>
        <w:tc>
          <w:tcPr>
            <w:tcW w:w="105" w:type="dxa"/>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rFonts w:ascii="symbol" w:hAnsi="symbol"/>
                <w:sz w:val="20"/>
              </w:rPr>
            </w:pPr>
            <w:r>
              <w:rPr>
                <w:rFonts w:ascii="symbol" w:hAnsi="symbol"/>
                <w:sz w:val="20"/>
              </w:rPr>
              <w:t>·</w:t>
            </w:r>
          </w:p>
        </w:tc>
        <w:tc>
          <w:tcPr>
            <w:tcW w:w="9975" w:type="dxa"/>
            <w:tcBorders/>
            <w:shd w:fill="auto" w:val="clear"/>
            <w:vAlign w:val="center"/>
          </w:tcPr>
          <w:p>
            <w:pPr>
              <w:pStyle w:val="TableContents"/>
              <w:spacing w:before="0" w:after="283"/>
              <w:rPr/>
            </w:pPr>
            <w:r>
              <w:rPr/>
              <w:t>disrupt or shut down our systems</w:t>
            </w:r>
          </w:p>
        </w:tc>
      </w:tr>
      <w:tr>
        <w:trPr/>
        <w:tc>
          <w:tcPr>
            <w:tcW w:w="105" w:type="dxa"/>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rFonts w:ascii="symbol" w:hAnsi="symbol"/>
                <w:sz w:val="20"/>
              </w:rPr>
            </w:pPr>
            <w:r>
              <w:rPr>
                <w:rFonts w:ascii="symbol" w:hAnsi="symbol"/>
                <w:sz w:val="20"/>
              </w:rPr>
              <w:t>·</w:t>
            </w:r>
          </w:p>
        </w:tc>
        <w:tc>
          <w:tcPr>
            <w:tcW w:w="9975" w:type="dxa"/>
            <w:tcBorders/>
            <w:shd w:fill="auto" w:val="clear"/>
            <w:vAlign w:val="center"/>
          </w:tcPr>
          <w:p>
            <w:pPr>
              <w:pStyle w:val="TableContents"/>
              <w:spacing w:before="0" w:after="283"/>
              <w:rPr/>
            </w:pPr>
            <w:r>
              <w:rPr/>
              <w:t>deny customers, agents, brokers, or others access to our systems, or</w:t>
            </w:r>
          </w:p>
        </w:tc>
      </w:tr>
      <w:tr>
        <w:trPr/>
        <w:tc>
          <w:tcPr>
            <w:tcW w:w="105" w:type="dxa"/>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rFonts w:ascii="symbol" w:hAnsi="symbol"/>
                <w:sz w:val="20"/>
              </w:rPr>
            </w:pPr>
            <w:r>
              <w:rPr>
                <w:rFonts w:ascii="symbol" w:hAnsi="symbol"/>
                <w:sz w:val="20"/>
              </w:rPr>
              <w:t>·</w:t>
            </w:r>
          </w:p>
        </w:tc>
        <w:tc>
          <w:tcPr>
            <w:tcW w:w="9975" w:type="dxa"/>
            <w:tcBorders/>
            <w:shd w:fill="auto" w:val="clear"/>
            <w:vAlign w:val="center"/>
          </w:tcPr>
          <w:p>
            <w:pPr>
              <w:pStyle w:val="TableContents"/>
              <w:spacing w:before="0" w:after="283"/>
              <w:rPr/>
            </w:pPr>
            <w:r>
              <w:rPr/>
              <w:t>infect our systems with viruses or malware.</w:t>
            </w:r>
          </w:p>
        </w:tc>
      </w:tr>
    </w:tbl>
    <w:p>
      <w:pPr>
        <w:pStyle w:val="TextBody"/>
        <w:spacing w:before="0" w:after="0"/>
        <w:ind w:left="0" w:right="0" w:hanging="0"/>
        <w:rPr/>
      </w:pPr>
      <w:r>
        <w:rPr/>
        <w:t xml:space="preserve">  </w:t>
      </w:r>
    </w:p>
    <w:p>
      <w:pPr>
        <w:pStyle w:val="TextBody"/>
        <w:spacing w:before="0" w:after="0"/>
        <w:ind w:left="0" w:right="0" w:firstLine="720"/>
        <w:jc w:val="both"/>
        <w:rPr>
          <w:rFonts w:ascii="times new roman" w:hAnsi="times new roman"/>
          <w:sz w:val="20"/>
        </w:rPr>
      </w:pPr>
      <w:r>
        <w:rPr>
          <w:rFonts w:ascii="times new roman" w:hAnsi="times new roman"/>
          <w:sz w:val="20"/>
        </w:rPr>
        <w:t>While we can take defensive measures, there can be no assurance that we will be successful in preventing attacks or detecting and stopping them once they have begun. Our business could be significantly damaged by a security breach, data loss or corruption, or cyber attack. In addition to the potentially high costs of investigating and stopping such an event and implementing necessary fixes, we could incur substantial liability if confidential customer or employee information is stolen. In addition, such an event could cause a significant disruption of our ability to conduct our insurance operations. We have a cyber insurance policy to protect against the monetary impact of some of these risks. However, the occurrence of a security breach, data loss or corruption, or cyber-attack, if sufficiently severe, could have a material adverse effect on our business results.</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We rely on our information technology and telecommunication systems, and the failure of these systems could materially and adversely affect our business.</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Our business is highly dependent upon the successful and uninterrupted functioning of our information technology and telecommunications systems. We rely on these systems to support our operations. The failure of these systems could interrupt our operations and result in a material adverse effect on our business.</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u w:val="single"/>
        </w:rPr>
        <w:t>Risks Related to Our Common Stock</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Our stock price may fluctuate significantly and be highly volatile and this may make it difficult for stockholders to resell shares of our common stock at the volume, prices and times they find attractive.</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The market price of our common stock could be subject to significant fluctuations and be highly volatile, which may make it difficult for stockholders to resell shares of our common stock at the volume, prices and times they find attractive. There are many factors that will impact our stock price and trading volume, including, but not limited to, the factors listed above under “Risks Related to Our Business.”</w:t>
      </w:r>
    </w:p>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Stock markets, in general, have experienced in recent years, and continue to experience, significant price and volume volatility, and the market price of our common stock may continue to be subject to similar market fluctuations that may be unrelated to our operating performance and prospects. Increased market volatility and fluctuations could result in a substantial decline in the market price of our common stock.</w:t>
      </w:r>
      <w:r>
        <w:rPr>
          <w:rStyle w:val="Emphasis"/>
          <w:rFonts w:ascii="times new roman" w:hAnsi="times new roman"/>
          <w:sz w:val="20"/>
        </w:rPr>
        <w:t xml:space="preserve">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27</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firstLine="720"/>
        <w:jc w:val="both"/>
        <w:rPr/>
      </w:pPr>
      <w:r>
        <w:rPr>
          <w:rStyle w:val="Emphasis"/>
          <w:rFonts w:ascii="times new roman" w:hAnsi="times new roman"/>
          <w:sz w:val="20"/>
        </w:rPr>
        <w:t>The trading volume in our common stock has been limited. As a result, stockholders may not experience liquidity in their investment in our common stock, thereby potentially limiting their ability to resell their shares at the volume, times and prices they find attractive.</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Our common stock is currently traded on The Nasdaq Capital Market (“Nasdaq”). Our common stock has substantially less liquidity than the average trading market for many other publicly traded insurance and other companies. An active trading market for our common stock may not develop or, if developed, may not be sustained. Such stocks can be more volatile than stocks trading in an active public market. Therefore, stockholders have reduced liquidity and may not be able to sell their shares at the volume, prices and times that they desire.</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There may be future issuances or resales of our common stock which may materially and adversely affect the market price of our common stock.</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Subject to any required state insurance regulatory approvals, we are not restricted from issuing additional shares of our common stock in the future, including securities convertible into, or exchangeable or exercisable for, shares of our common stock. Our issuance of additional shares of common stock in the future will dilute the ownership interests of our then existing stockholders.</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We have effective registration statements on Form S-8 under the Securities Act of 1933, as amended (the “Securities Act”), covering an aggregate of 1,400,000 shares of our common stock issuable under our 2014 Equity Participation Plan (the “2014 Plan”).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As of December 31, 2022, options to purchase 107,201 shares of our common stock, and 366,597 shares subject to unvested restricted stock grants, were outstanding under the 2014 Plan and 351,445 shares were reserved for issuance thereunder. The shares issuable pursuant to the registration statements on Form S-8 will be freely tradable in the public market, except for shares held by our affiliates. As of December 31, 2022, there were also outstanding warrants for the purchase of 969,525 shares of our common stock. The shares issuable pursuant to an exercise of the warrants may be freely tradeable in the public market under certain circumstances.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sale of a substantial number of shares of our common stock or securities convertible into, or exchangeable or exercisable for, shares of our common stock, whether directly by us, by selling stockholders in future offerings or by our existing stockholders in the secondary market, the perception that such issuances or resales could occur or the availability for future issuances or resale of shares of our common stock or securities convertible into, or exchangeable or exercisable for, shares of our common stock could materially and adversely affect the market price of our common stock and our ability to raise capital through future offerings of equity or equity-related securities on attractive terms or at all.</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In addition, our board of directors is authorized to designate and issue preferred stock without further stockholder approval, and we may issue other equity and equity-related securities that are senior to our common stock in the future for a number of reasons, including, without limitation, to support operations and growth, to maintain our capital ratios, and to comply with any future changes in regulatory standards.</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28</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firstLine="720"/>
        <w:jc w:val="both"/>
        <w:rPr/>
      </w:pPr>
      <w:r>
        <w:rPr>
          <w:rStyle w:val="Emphasis"/>
          <w:rFonts w:ascii="times new roman" w:hAnsi="times new roman"/>
          <w:sz w:val="20"/>
        </w:rPr>
        <w:t>Our executive officers and directors own a substantial number of shares of our common stock. This will enable them to significantly influence the vote on all matters submitted to a vote of our stockholders.</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As of March 21, 2023, our executive officers and directors beneficially owned 1,119,165 shares of our common stock, representing 10.4% of the outstanding shares of our common stock.</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Accordingly, our executive officers and directors, through their beneficial ownership of our common stock, will be able to significantly influence the vote on all matters submitted to a vote of our stockholders, including the election of directors, amendments to our restated certificate of incorporation or amended and restated bylaws, mergers or other business combination transactions and certain sales of assets outside the usual and regular course of business. The interests of our executive officers and directors may not coincide with the interests of our other stockholders, and they could take actions that advance their own interests to the detriment of our other stockholders.</w:t>
      </w:r>
    </w:p>
    <w:p>
      <w:pPr>
        <w:pStyle w:val="TextBody"/>
        <w:spacing w:before="0" w:after="0"/>
        <w:ind w:left="0" w:right="0" w:hanging="0"/>
        <w:jc w:val="both"/>
        <w:rPr/>
      </w:pPr>
      <w:r>
        <w:rPr/>
        <w:t> </w:t>
      </w:r>
    </w:p>
    <w:p>
      <w:pPr>
        <w:pStyle w:val="TextBody"/>
        <w:spacing w:before="0" w:after="0"/>
        <w:ind w:left="0" w:right="0" w:hanging="0"/>
        <w:jc w:val="both"/>
        <w:rPr/>
      </w:pPr>
      <w:r>
        <w:rPr>
          <w:rStyle w:val="Emphasis"/>
          <w:rFonts w:ascii="times new roman" w:hAnsi="times new roman"/>
          <w:sz w:val="20"/>
        </w:rPr>
        <w:t>Anti-takeover provisions and the regulations to which we may be subject may make it more difficult for a third party to acquire control of us, even if the change in control would be beneficial to our stockholders.</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We are a holding company incorporated in Delaware. Anti-takeover provisions in Delaware law and our restated certificate of incorporation and bylaws, as well as regulatory approvals required under state insurance laws, could make it more difficult for a third party to acquire control of us and may prevent stockholders from receiving a premium for their shares of common stock. Our certificate of incorporation provides that our board of directors may issue up to 2,500,000 shares of preferred stock, in one or more series, without stockholder approval and with such terms, preferences, rights and privileges as the board of directors may deem appropriate. These provisions, the control of our executive officers and directors over the election of our directors, and other factors may hinder or prevent a change in control, even if the change in control would be beneficial to, or sought by, our stockholders.</w:t>
      </w:r>
    </w:p>
    <w:p>
      <w:pPr>
        <w:pStyle w:val="TextBody"/>
        <w:spacing w:before="0" w:after="0"/>
        <w:ind w:left="0" w:right="0" w:hanging="0"/>
        <w:jc w:val="both"/>
        <w:rPr/>
      </w:pPr>
      <w:r>
        <w:rPr/>
        <w:t>    </w:t>
      </w:r>
    </w:p>
    <w:p>
      <w:pPr>
        <w:pStyle w:val="TextBody"/>
        <w:spacing w:before="0" w:after="0"/>
        <w:ind w:left="0" w:right="0" w:hanging="0"/>
        <w:jc w:val="both"/>
        <w:rPr/>
      </w:pPr>
      <w:bookmarkStart w:id="5" w:name="i1b"/>
      <w:bookmarkEnd w:id="5"/>
      <w:r>
        <w:rPr>
          <w:rStyle w:val="StrongEmphasis"/>
          <w:rFonts w:ascii="times new roman" w:hAnsi="times new roman"/>
          <w:sz w:val="20"/>
          <w:u w:val="single"/>
        </w:rPr>
        <w:t>ITEM 1B</w:t>
      </w:r>
      <w:r>
        <w:rPr>
          <w:rFonts w:ascii="times new roman" w:hAnsi="times new roman"/>
          <w:sz w:val="20"/>
        </w:rPr>
        <w:t xml:space="preserve">. </w:t>
      </w:r>
      <w:r>
        <w:rPr>
          <w:rStyle w:val="StrongEmphasis"/>
          <w:rFonts w:ascii="times new roman" w:hAnsi="times new roman"/>
          <w:sz w:val="20"/>
          <w:u w:val="single"/>
        </w:rPr>
        <w:t>UNRESOLVED STAFF COMMENTS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None.</w:t>
      </w:r>
    </w:p>
    <w:p>
      <w:pPr>
        <w:pStyle w:val="TextBody"/>
        <w:spacing w:before="0" w:after="0"/>
        <w:ind w:left="0" w:right="0" w:hanging="0"/>
        <w:jc w:val="both"/>
        <w:rPr/>
      </w:pPr>
      <w:r>
        <w:rPr/>
        <w:t> </w:t>
      </w:r>
    </w:p>
    <w:p>
      <w:pPr>
        <w:pStyle w:val="TextBody"/>
        <w:spacing w:before="0" w:after="0"/>
        <w:ind w:left="0" w:right="0" w:hanging="0"/>
        <w:jc w:val="both"/>
        <w:rPr/>
      </w:pPr>
      <w:bookmarkStart w:id="6" w:name="i2"/>
      <w:bookmarkEnd w:id="6"/>
      <w:r>
        <w:rPr>
          <w:rStyle w:val="StrongEmphasis"/>
          <w:rFonts w:ascii="times new roman" w:hAnsi="times new roman"/>
          <w:sz w:val="20"/>
          <w:u w:val="single"/>
        </w:rPr>
        <w:t>ITEM 2.</w:t>
      </w:r>
      <w:r>
        <w:rPr>
          <w:rStyle w:val="StrongEmphasis"/>
          <w:rFonts w:ascii="times new roman" w:hAnsi="times new roman"/>
          <w:sz w:val="20"/>
        </w:rPr>
        <w:t xml:space="preserve"> </w:t>
      </w:r>
      <w:r>
        <w:rPr>
          <w:rStyle w:val="StrongEmphasis"/>
          <w:rFonts w:ascii="times new roman" w:hAnsi="times new roman"/>
          <w:sz w:val="20"/>
          <w:u w:val="single"/>
        </w:rPr>
        <w:t>PROPERTIES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principal executive offices are currently located at 15 Joys Lane, Kingston, New York 12401. Our insurance underwriting business is located principally at 15 Joys Lane, Kingston, New York 12401. Our insurance underwriting business also maintains an executive office located at 70 East Sunrise Highway, Valley Stream, New York 11581, at which we lease 4,985 square feet of space.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own the building at which our insurance underwriting business principally operates, free of mortgage.</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u w:val="single"/>
        </w:rPr>
        <w:t>ITEM 3.</w:t>
      </w:r>
      <w:r>
        <w:rPr>
          <w:rStyle w:val="StrongEmphasis"/>
          <w:rFonts w:ascii="times new roman" w:hAnsi="times new roman"/>
          <w:sz w:val="20"/>
        </w:rPr>
        <w:t xml:space="preserve"> </w:t>
      </w:r>
      <w:r>
        <w:rPr>
          <w:rStyle w:val="StrongEmphasis"/>
          <w:rFonts w:ascii="times new roman" w:hAnsi="times new roman"/>
          <w:sz w:val="20"/>
          <w:u w:val="single"/>
        </w:rPr>
        <w:t>LEGAL PROCEEDINGS</w:t>
      </w:r>
      <w:r>
        <w:rPr>
          <w:rStyle w:val="StrongEmphasis"/>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None.</w:t>
      </w:r>
    </w:p>
    <w:p>
      <w:pPr>
        <w:pStyle w:val="TextBody"/>
        <w:spacing w:before="0" w:after="0"/>
        <w:ind w:left="0" w:right="0" w:hanging="0"/>
        <w:jc w:val="both"/>
        <w:rPr/>
      </w:pPr>
      <w:r>
        <w:rPr/>
        <w:t> </w:t>
      </w:r>
    </w:p>
    <w:p>
      <w:pPr>
        <w:pStyle w:val="TextBody"/>
        <w:spacing w:before="0" w:after="0"/>
        <w:ind w:left="0" w:right="0" w:hanging="0"/>
        <w:jc w:val="both"/>
        <w:rPr/>
      </w:pPr>
      <w:bookmarkStart w:id="7" w:name="i4"/>
      <w:bookmarkEnd w:id="7"/>
      <w:r>
        <w:rPr>
          <w:rStyle w:val="StrongEmphasis"/>
          <w:rFonts w:ascii="times new roman" w:hAnsi="times new roman"/>
          <w:sz w:val="20"/>
          <w:u w:val="single"/>
        </w:rPr>
        <w:t>ITEM 4.</w:t>
      </w:r>
      <w:r>
        <w:rPr>
          <w:rStyle w:val="StrongEmphasis"/>
          <w:rFonts w:ascii="times new roman" w:hAnsi="times new roman"/>
          <w:sz w:val="20"/>
        </w:rPr>
        <w:t xml:space="preserve"> </w:t>
      </w:r>
      <w:r>
        <w:rPr>
          <w:rStyle w:val="StrongEmphasis"/>
          <w:rFonts w:ascii="times new roman" w:hAnsi="times new roman"/>
          <w:sz w:val="20"/>
          <w:u w:val="single"/>
        </w:rPr>
        <w:t>MINE SAFETY DISCLOSURES</w:t>
      </w:r>
      <w:r>
        <w:rPr>
          <w:rStyle w:val="StrongEmphasis"/>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hanging="0"/>
        <w:jc w:val="both"/>
        <w:rPr/>
      </w:pPr>
      <w:r>
        <w:rPr/>
        <w:t xml:space="preserve">                </w:t>
      </w:r>
      <w:r>
        <w:rPr>
          <w:rFonts w:ascii="times new roman" w:hAnsi="times new roman"/>
          <w:sz w:val="20"/>
        </w:rPr>
        <w:t>Not applicable.</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29</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center"/>
        <w:rPr/>
      </w:pPr>
      <w:bookmarkStart w:id="8" w:name="p2"/>
      <w:bookmarkEnd w:id="8"/>
      <w:r>
        <w:rPr>
          <w:rStyle w:val="StrongEmphasis"/>
          <w:rFonts w:ascii="times new roman" w:hAnsi="times new roman"/>
          <w:sz w:val="20"/>
          <w:u w:val="single"/>
        </w:rPr>
        <w:t>PART II</w:t>
      </w:r>
    </w:p>
    <w:p>
      <w:pPr>
        <w:pStyle w:val="TextBody"/>
        <w:spacing w:before="0" w:after="0"/>
        <w:ind w:left="0" w:right="0" w:hanging="0"/>
        <w:jc w:val="both"/>
        <w:rPr/>
      </w:pPr>
      <w:r>
        <w:rPr/>
        <w:t> </w:t>
      </w:r>
    </w:p>
    <w:p>
      <w:pPr>
        <w:pStyle w:val="TextBody"/>
        <w:spacing w:before="0" w:after="0"/>
        <w:ind w:left="0" w:right="0" w:hanging="0"/>
        <w:jc w:val="both"/>
        <w:rPr/>
      </w:pPr>
      <w:bookmarkStart w:id="9" w:name="i5"/>
      <w:bookmarkEnd w:id="9"/>
      <w:r>
        <w:rPr>
          <w:rStyle w:val="StrongEmphasis"/>
          <w:rFonts w:ascii="times new roman" w:hAnsi="times new roman"/>
          <w:sz w:val="20"/>
          <w:u w:val="single"/>
        </w:rPr>
        <w:t>ITEM 5.</w:t>
      </w:r>
      <w:r>
        <w:rPr>
          <w:rStyle w:val="StrongEmphasis"/>
          <w:rFonts w:ascii="times new roman" w:hAnsi="times new roman"/>
          <w:sz w:val="20"/>
        </w:rPr>
        <w:t> </w:t>
      </w:r>
      <w:r>
        <w:rPr>
          <w:rStyle w:val="StrongEmphasis"/>
          <w:rFonts w:ascii="times new roman" w:hAnsi="times new roman"/>
          <w:sz w:val="20"/>
          <w:u w:val="single"/>
        </w:rPr>
        <w:t>MARKET FOR REGISTRANT’S COMMON EQUITY, RELATED STOCKHOLDER MATTERS AND ISSUER PURCHASES OF EQUITY SECURITIES</w:t>
      </w:r>
      <w:r>
        <w:rPr>
          <w:rFonts w:ascii="times new roman" w:hAnsi="times new roman"/>
          <w:sz w:val="20"/>
        </w:rPr>
        <w:t>.</w:t>
      </w:r>
      <w:r>
        <w:rPr>
          <w:rStyle w:val="StrongEmphasis"/>
          <w:rFonts w:ascii="times new roman" w:hAnsi="times new roman"/>
          <w:sz w:val="20"/>
        </w:rPr>
        <w:t xml:space="preserve"> </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Market Information</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 xml:space="preserve">Our common stock is quoted on The Nasdaq Capital Market under the symbol “KINS.” </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 xml:space="preserve">Holders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As of March 21, 2023, there were 243 record holders of our common stock. </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Dividends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Holders of our common stock are entitled to dividends when, as and if declared by our Board of Directors out of funds legally available. We paid a cash dividend in each quarter from September 2011 through September 2022. On November 11, 2022, our Board of Directors determined to suspend regular quarterly dividends in connection with the 2017 Notes refinancing and the need to retain cash to pay a portion of 2017 Notes due on December 30, 2022.</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Future dividend policy will be subject to the discretion of our Board of Directors and will be contingent upon future earnings, if any, our financial condition, capital requirements, general business conditions, and other factors. Therefore, we can give no assurance that future dividends of any kind will be paid to holders of our common stock.</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Our ability to pay dividends depends, in part, on the ability of KICO to pay dividends to us. KICO, as an insurance subsidiary, is subject to significant regulatory restrictions limiting its ability to declare and pay dividends. These restrictions are related to surplus and net investment income. Without the prior approval of the DFS, dividends may be paid from unassigned surplus and are restricted to the lesser of 10% of surplus or 100% of investment income (on a statutory accounting basis) for the trailing 36 months, less dividends paid by KICO during such period. As of December 31, 2022, KICO had a negative unassigned surplus of $5,069,000 and will not be able pay any distributions to us without prior regulatory approval. See “Business – Government Regulation”, “Risk Factors – As a holding company, we are dependent on the results of operations of our subsidiary, KICO; there are restrictions on the payment of dividends by KICO” and “Management’s Discussion and Analysis of Financial Condition and Results of Operation – Liquidity” in Items 1, 1A and 7, respectively, of this Annual Report. </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Recent Sales of Unregistered Securities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None.</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 xml:space="preserve">Issuer Purchases of Equity Securities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None.</w:t>
      </w:r>
    </w:p>
    <w:p>
      <w:pPr>
        <w:pStyle w:val="TextBody"/>
        <w:spacing w:before="0" w:after="0"/>
        <w:ind w:left="0" w:right="0" w:hanging="0"/>
        <w:jc w:val="both"/>
        <w:rPr/>
      </w:pPr>
      <w:r>
        <w:rPr/>
        <w:t> </w:t>
      </w:r>
    </w:p>
    <w:p>
      <w:pPr>
        <w:pStyle w:val="TextBody"/>
        <w:spacing w:before="0" w:after="0"/>
        <w:ind w:left="0" w:right="0" w:hanging="0"/>
        <w:jc w:val="both"/>
        <w:rPr/>
      </w:pPr>
      <w:bookmarkStart w:id="10" w:name="i6"/>
      <w:bookmarkEnd w:id="10"/>
      <w:r>
        <w:rPr>
          <w:rStyle w:val="StrongEmphasis"/>
          <w:rFonts w:ascii="times new roman" w:hAnsi="times new roman"/>
          <w:sz w:val="20"/>
          <w:u w:val="single"/>
        </w:rPr>
        <w:t>ITEM 6</w:t>
      </w:r>
      <w:r>
        <w:rPr>
          <w:rFonts w:ascii="times new roman" w:hAnsi="times new roman"/>
          <w:sz w:val="20"/>
        </w:rPr>
        <w:t>. </w:t>
      </w:r>
      <w:r>
        <w:rPr>
          <w:rStyle w:val="StrongEmphasis"/>
          <w:rFonts w:ascii="times new roman" w:hAnsi="times new roman"/>
          <w:sz w:val="20"/>
          <w:u w:val="single"/>
        </w:rPr>
        <w:t>RESERVED</w:t>
      </w:r>
      <w:r>
        <w:rPr>
          <w:rFonts w:ascii="times new roman" w:hAnsi="times new roman"/>
          <w:sz w:val="20"/>
        </w:rPr>
        <w:t>.</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30</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both"/>
        <w:rPr/>
      </w:pPr>
      <w:bookmarkStart w:id="11" w:name="i7"/>
      <w:bookmarkEnd w:id="11"/>
      <w:r>
        <w:rPr>
          <w:rStyle w:val="StrongEmphasis"/>
          <w:rFonts w:ascii="times new roman" w:hAnsi="times new roman"/>
          <w:sz w:val="20"/>
          <w:u w:val="single"/>
        </w:rPr>
        <w:t>ITEM 7</w:t>
      </w:r>
      <w:r>
        <w:rPr>
          <w:rStyle w:val="StrongEmphasis"/>
          <w:rFonts w:ascii="times new roman" w:hAnsi="times new roman"/>
          <w:sz w:val="20"/>
        </w:rPr>
        <w:t>. </w:t>
      </w:r>
      <w:r>
        <w:rPr>
          <w:rStyle w:val="StrongEmphasis"/>
          <w:rFonts w:ascii="times new roman" w:hAnsi="times new roman"/>
          <w:sz w:val="20"/>
          <w:u w:val="single"/>
        </w:rPr>
        <w:t>MANAGEMENT’S DISCUSSION AND ANALYSIS OF FINANCIAL CONDITION AND RESULTS OF OPERATIONS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Overview</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offer property and casualty insurance products to individuals through our wholly owned subsidiary, Kingstone Insurance Company (“KICO”). KICO’s insureds are located primarily in downstate New York, consisting of New York City, Long Island and Westchester County, although we are actively writing business in New Jersey, Rhode Island, Connecticut and Massachusetts. We are licensed in the States of New York, New Jersey, Rhode Island, Connecticut, Massachusetts, Pennsylvania, Maine, and New Hampshire. For the year ended December 31, 2022, 80.6% of KICO’s direct written premiums came from the New York policies.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addition, our subsidiary, Cosi Agency, Inc. (“Cosi”), a multi-state licensed general agency, receives commission revenue from KICO for the policies it places with others and pays commissions to these agencies. Cosi retains the profit between the commission revenue received and the commission expense paid (“Net Cosi Revenue”). Commission expense is reduced by Net Cosi Revenue and Cosi-related operating expenses are included in other operating expenses. Cosi-related operating expenses are not included in our stand-alone insurance underwriting business and, accordingly, Cosi’s expenses are not included in the calculation of our combined ratio as described below.</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derive substantially all of our revenue from KICO, which includes revenues from earned premiums, ceding commissions from quota share reinsurance, net investment income generated from its portfolio, and net realized gains and losses on investment securities. All of KICO’s insurance policies are written for a one-year term. Earned premiums represent premiums received from insureds, which are recognized as revenue over the period of time that insurance coverage is provided (i.e., ratably over the one-year life of the policy). A significant period of time can elapse from the receipt of insurance premiums to the payment of insurance claims. During this time, KICO invests the premiums, earns investment income and generates net realized and unrealized investment gains and losses on investments. Our holding company earns investment income from its cash holdings and may also generate net realized and unrealized investment gains and losses on future investments.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expenses include the insurance underwriting expenses of KICO and other operating expenses. Insurance companies incur a significant amount of their total expenses from losses incurred by policyholders, which are referred to as claims. In settling these claims, various loss adjustment expenses (“LAE”) are incurred such as insurance adjusters’ fees and legal expenses. In addition, insurance companies incur policy acquisition costs. Policy acquisition costs include commissions paid to producers, premium taxes, and other expenses related to the underwriting process, including employees’ compensation and benefits.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Other operating expenses include our corporate expenses as a holding company and operating expenses of Cosi. These corporate expenses include legal and auditing fees, executive employment costs, and other costs directly associated with being a public company. Cosi operating expenses primarily include employment, occupancy and consulting costs.</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 xml:space="preserve">Principal Revenue and Expense Items </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Net premiums earned:</w:t>
      </w:r>
      <w:r>
        <w:rPr>
          <w:rFonts w:ascii="times new roman" w:hAnsi="times new roman"/>
          <w:sz w:val="20"/>
        </w:rPr>
        <w:t xml:space="preserve"> Net premiums earned is the earned portion of our written premiums, less that portion of premium that is ceded to third party reinsurers under reinsurance agreements. The amount ceded under these reinsurance agreements is based on a contractual formula contained in the individual reinsurance agreement. Insurance premiums are earned on a pro rata basis over the term of the policy. At the end of each reporting period, premiums written that are not earned are classified as unearned premiums and are earned in subsequent periods over the remaining term of the policy. Our insurance policies have a term of one year. Accordingly, for a one-year policy written on July 1, 2022, we would earn half of the premiums in 2022 and the other half in 2023.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31</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firstLine="720"/>
        <w:jc w:val="both"/>
        <w:rPr/>
      </w:pPr>
      <w:r>
        <w:rPr>
          <w:rStyle w:val="Emphasis"/>
          <w:rFonts w:ascii="times new roman" w:hAnsi="times new roman"/>
          <w:sz w:val="20"/>
        </w:rPr>
        <w:t>Ceding commission revenue:</w:t>
      </w:r>
      <w:r>
        <w:rPr>
          <w:rFonts w:ascii="times new roman" w:hAnsi="times new roman"/>
          <w:sz w:val="20"/>
        </w:rPr>
        <w:t xml:space="preserve"> Commissions on reinsurance premiums ceded to quota share treaties are earned in a manner consistent with the recognition of the direct acquisition costs of the underlying insurance policies, generally on a pro-rata basis over the terms of the policies reinsured. </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Net investment income and net gains (losses) on investments:</w:t>
      </w:r>
      <w:r>
        <w:rPr>
          <w:rFonts w:ascii="times new roman" w:hAnsi="times new roman"/>
          <w:sz w:val="20"/>
        </w:rPr>
        <w:t xml:space="preserve"> We invest in cash and cash equivalents, short-term investments, fixed-maturity and equity securities, and other investments. Our net investment income includes interest and dividends earned on our invested assets, less investment expenses. Net realized gains and losses on our investments are reported separately from our net investment income. Net realized gains occur when our investment securities are sold for more than their costs or amortized costs, as applicable. Net realized losses occur when our investment securities are sold for less than their costs or amortized costs, as applicable, or are written down as a result of other-than-temporary impairment. We classify our fixed-maturity securities as either available-for-sale or held-to-maturity. Net unrealized gains (losses) on those securities classified as available-for-sale are reported separately within accumulated other comprehensive (loss) income on our balance sheet while our equity securities and other investments report changes in fair value through earnings. See Note 2 in the accompanying consolidated financial statements for a further discussion of our accounting policies following Item 16 of this Annual Report. </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Other income:</w:t>
      </w:r>
      <w:r>
        <w:rPr>
          <w:rFonts w:ascii="times new roman" w:hAnsi="times new roman"/>
          <w:sz w:val="20"/>
        </w:rPr>
        <w:t xml:space="preserve"> We recognize installment fee income and fees charged to reinstate a policy after it has been cancelled for non-payment. </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Loss and loss adjustment expenses incurred:</w:t>
      </w:r>
      <w:r>
        <w:rPr>
          <w:rFonts w:ascii="times new roman" w:hAnsi="times new roman"/>
          <w:sz w:val="20"/>
        </w:rPr>
        <w:t xml:space="preserve"> Loss and LAE incurred represent our largest expense item, and for any given reporting period include estimates of future claim payments, changes in those estimates from prior reporting periods and costs associated with investigating, defending and servicing claims. These expenses fluctuate based on the amount and types of risks we insure. We record loss and LAE related to estimates of future claim payments based on case-by-case valuations, statistical analyses and actuarial procedures. We seek to establish all reserves at the most likely ultimate liability based on our historical claims experience. It is typical for certain claims to take several years to settle and we revise our estimates as we receive additional information on such claims. Our ability to estimate loss and LAE accurately at the time of pricing our insurance policies is a critical factor affecting our profitability. </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Commission expenses and other underwriting expenses:</w:t>
      </w:r>
      <w:r>
        <w:rPr>
          <w:rFonts w:ascii="times new roman" w:hAnsi="times new roman"/>
          <w:sz w:val="20"/>
        </w:rPr>
        <w:t xml:space="preserve"> Other underwriting expenses include policy acquisition costs and other expenses related to the underwriting of policies. Policy acquisition costs represent the costs of originating new insurance policies that vary with, and are primarily related to, the production of insurance policies (principally commissions, premium taxes and certain underwriting salaries). Policy acquisition costs are deferred and recognized as expense as the related premiums are earned. Other underwriting expenses represent general and administrative expenses of our insurance business and are comprised of other costs associated with our insurance activities such as regulatory fees, telecommunication and technology costs, occupancy costs, employment costs, and legal and auditing fees. </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Other operating expenses:</w:t>
      </w:r>
      <w:r>
        <w:rPr>
          <w:rFonts w:ascii="times new roman" w:hAnsi="times new roman"/>
          <w:sz w:val="20"/>
        </w:rPr>
        <w:t xml:space="preserve"> Other operating expenses include the corporate expenses of our holding company, Kingstone Companies, Inc., and operating expenses of Cosi. These expenses include executive employment costs, legal and auditing fees, and other costs directly associated with being a public company. Cosi operating expenses primarily include employment costs, occupancy costs and consulting costs.</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32</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firstLine="720"/>
        <w:jc w:val="both"/>
        <w:rPr/>
      </w:pPr>
      <w:r>
        <w:rPr>
          <w:rStyle w:val="Emphasis"/>
          <w:rFonts w:ascii="times new roman" w:hAnsi="times new roman"/>
          <w:sz w:val="20"/>
        </w:rPr>
        <w:t>Stock-based compensation:</w:t>
      </w:r>
      <w:r>
        <w:rPr>
          <w:rFonts w:ascii="times new roman" w:hAnsi="times new roman"/>
          <w:sz w:val="20"/>
        </w:rPr>
        <w:t xml:space="preserve"> Non-cash equity compensation includes the fair value of stock grants issued to our directors, officers and employees, and amortization of stock options issued to the same.</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Depreciation and amortization:</w:t>
      </w:r>
      <w:r>
        <w:rPr>
          <w:rFonts w:ascii="times new roman" w:hAnsi="times new roman"/>
          <w:sz w:val="20"/>
        </w:rPr>
        <w:t xml:space="preserve"> Depreciation and amortization includes the amortization of intangibles related to the acquisition of KICO, depreciation of the real estate used in KICO’s operations, as well as depreciation of capital expenditures for information technology projects, office equipment and furniture.</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Interest expense:</w:t>
      </w:r>
      <w:r>
        <w:rPr>
          <w:rFonts w:ascii="times new roman" w:hAnsi="times new roman"/>
          <w:sz w:val="20"/>
        </w:rPr>
        <w:t xml:space="preserve"> Interest expense represents amounts we incur on our outstanding indebtedness at the applicable interest rates. Interest expense also includes amortization of debt discount and issuance costs.</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Income tax expense:</w:t>
      </w:r>
      <w:r>
        <w:rPr>
          <w:rFonts w:ascii="times new roman" w:hAnsi="times new roman"/>
          <w:sz w:val="20"/>
        </w:rPr>
        <w:t xml:space="preserve"> We incur federal income tax expense on our consolidated statement of operations as well as state income tax expense for our non-insurance underwriting subsidiaries.</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Product Lines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product lines include the following:</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Personal lines:</w:t>
      </w:r>
      <w:r>
        <w:rPr>
          <w:rFonts w:ascii="times new roman" w:hAnsi="times new roman"/>
          <w:sz w:val="20"/>
        </w:rPr>
        <w:t xml:space="preserve"> Our largest line of business is personal lines, consisting of homeowners, dwelling fire, cooperative/condominium, renters, and personal umbrella policies. </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Commercial liability:</w:t>
      </w:r>
      <w:r>
        <w:rPr>
          <w:rStyle w:val="Emphasis"/>
          <w:rFonts w:ascii="times new roman" w:hAnsi="times new roman"/>
          <w:sz w:val="20"/>
        </w:rPr>
        <w:t xml:space="preserve"> </w:t>
      </w:r>
      <w:r>
        <w:rPr>
          <w:rFonts w:ascii="times new roman" w:hAnsi="times new roman"/>
          <w:sz w:val="20"/>
        </w:rPr>
        <w:t>Through July 2019, we offered businessowners policies, which consist primarily of small business retail, service, and office risks, with limited property exposures. We also wrote artisan’s liability policies for small independent contractors with smaller sized workforces. In addition, we wrote special multi-peril policies for larger and more specialized businessowners risks, including those with limited residential exposures. Further, we offered commercial umbrella policies written above our supporting commercial lines policies.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May 2019, due to the poor performance of this line we placed a moratorium on new commercial lines and new commercial umbrella submissions while we further reviewed this business. In July 2019, due to the continuing poor performance of these lines, we made the decision to no longer underwrite commercial lines or commercial umbrella risks. In-force policies as of July 31, 2019 for these lines were non-renewed at the end of their annual terms. As of December 31, 2022 and 2021, there were no commercial liability policies in-force. As of December 31, 2022, these expired policies represent approximately 17.9% of loss and LAE reserves net of reinsurance recoverables. See discussion below under “Additional Financial Information”.</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Livery physical damage:</w:t>
      </w:r>
      <w:r>
        <w:rPr>
          <w:rStyle w:val="Emphasis"/>
          <w:rFonts w:ascii="times new roman" w:hAnsi="times new roman"/>
          <w:sz w:val="20"/>
        </w:rPr>
        <w:t xml:space="preserve"> </w:t>
      </w:r>
      <w:r>
        <w:rPr>
          <w:rFonts w:ascii="times new roman" w:hAnsi="times new roman"/>
          <w:sz w:val="20"/>
        </w:rPr>
        <w:t>We write for-hire vehicle physical damage only policies for livery and car service vehicles and taxicabs. These policies insure only the physical damage portion of insurance for such vehicles, with no liability coverage included.</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 xml:space="preserve">Other: </w:t>
      </w:r>
      <w:r>
        <w:rPr>
          <w:rFonts w:ascii="times new roman" w:hAnsi="times new roman"/>
          <w:sz w:val="20"/>
        </w:rPr>
        <w:t>We write canine legal liability policies and have a small participation in mandatory state joint underwriting associations.</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Key Measures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utilize the following key measures in analyzing the results of our insurance underwriting business:</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33</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firstLine="720"/>
        <w:jc w:val="both"/>
        <w:rPr/>
      </w:pPr>
      <w:r>
        <w:rPr>
          <w:rStyle w:val="Emphasis"/>
          <w:rFonts w:ascii="times new roman" w:hAnsi="times new roman"/>
          <w:sz w:val="20"/>
        </w:rPr>
        <w:t xml:space="preserve">Net loss ratio: </w:t>
      </w:r>
      <w:r>
        <w:rPr>
          <w:rFonts w:ascii="times new roman" w:hAnsi="times new roman"/>
          <w:sz w:val="20"/>
        </w:rPr>
        <w:t>The net loss ratio is a measure of the underwriting profitability of an insurance company’s business. Expressed as a percentage, this is the ratio of net losses and LAE incurred to net premiums earned.</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Net underwriting expense ratio:</w:t>
      </w:r>
      <w:r>
        <w:rPr>
          <w:rFonts w:ascii="times new roman" w:hAnsi="times new roman"/>
          <w:sz w:val="20"/>
        </w:rPr>
        <w:t xml:space="preserve"> The net underwriting expense ratio is a measure of an insurance company’s operational efficiency in administering its business. Expressed as a percentage, this is the ratio of the sum of acquisition costs (the most significant being commissions paid to our producers) and other underwriting expenses less ceding commission revenue less other income to net premiums earned. </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Net combined ratio:</w:t>
      </w:r>
      <w:r>
        <w:rPr>
          <w:rFonts w:ascii="times new roman" w:hAnsi="times new roman"/>
          <w:sz w:val="20"/>
        </w:rPr>
        <w:t xml:space="preserve"> The net combined ratio is a measure of an insurance company’s overall underwriting profit. This is the sum of the net loss and net underwriting expense ratios. If the net combined ratio is at or above 100 percent, an insurance company cannot be profitable without investment income, and may not be profitable if investment income is insufficient. </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Underwriting income:</w:t>
      </w:r>
      <w:r>
        <w:rPr>
          <w:rFonts w:ascii="times new roman" w:hAnsi="times new roman"/>
          <w:sz w:val="20"/>
        </w:rPr>
        <w:t xml:space="preserve"> Underwriting income is net pre-tax income attributable to our insurance underwriting business before investment activity. It excludes net investment income, net realized gains from investments, and depreciation and amortization (net premiums earned less expenses included in combined ratio). Underwriting income is a measure of an insurance company’s overall operating profitability before items such as investment income, depreciation and amortization, interest expense and income taxes.</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Critical Accounting Policies and Estimates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consolidated financial statements include the accounts of Kingstone Companies, Inc. and all majority-owned and controlled subsidiaries. The preparation of financial statements in conformity with GAAP requires our management to make estimates and assumptions in certain circumstances that affect amounts reported in our consolidated financial statements and related notes. In preparing these consolidated financial statements, our management has utilized information including our past history, industry standards, and the current economic environment, and other factors, in forming its estimates and judgments of certain amounts included in the consolidated financial statements, giving due consideration to materiality. It is possible that the ultimate outcome as anticipated by our management in formulating its estimates in these financial statements may not materialize. Application of the critical accounting policies involves the exercise of judgment and use of assumptions as to future uncertainties and, as a result, actual results could differ from these estimates. In addition, other companies may utilize different estimates, which may impact comparability of our results of operations to those of similar companies.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believe that the most critical accounting policies relate to the reporting of reserves for loss and LAE, including losses that have occurred but have not been reported prior to the reporting date, amounts recoverable from third party reinsurers, deferred income taxes, the impairment of investment securities, and the valuation of warrants. See Note 2 to the consolidated financial statements following Item 16 of this Annual Report.</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34</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both"/>
        <w:rPr/>
      </w:pPr>
      <w:r>
        <w:rPr>
          <w:rStyle w:val="StrongEmphasis"/>
          <w:rFonts w:ascii="times new roman" w:hAnsi="times new roman"/>
          <w:sz w:val="20"/>
        </w:rPr>
        <w:t>Consolidated Results of Operations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summarizes the changes in the results of our operations for the periods indicated:</w:t>
      </w:r>
    </w:p>
    <w:p>
      <w:pPr>
        <w:pStyle w:val="TextBody"/>
        <w:spacing w:before="0" w:after="0"/>
        <w:ind w:left="0" w:right="0" w:firstLine="720"/>
        <w:jc w:val="both"/>
        <w:rPr/>
      </w:pPr>
      <w:r>
        <w:rPr/>
        <w:t> </w:t>
      </w:r>
    </w:p>
    <w:tbl>
      <w:tblPr>
        <w:tblW w:w="10205" w:type="dxa"/>
        <w:jc w:val="left"/>
        <w:tblInd w:w="0" w:type="dxa"/>
        <w:tblCellMar>
          <w:top w:w="0" w:type="dxa"/>
          <w:left w:w="0" w:type="dxa"/>
          <w:bottom w:w="0" w:type="dxa"/>
          <w:right w:w="0" w:type="dxa"/>
        </w:tblCellMar>
      </w:tblPr>
      <w:tblGrid>
        <w:gridCol w:w="5179"/>
        <w:gridCol w:w="90"/>
        <w:gridCol w:w="170"/>
        <w:gridCol w:w="830"/>
        <w:gridCol w:w="125"/>
        <w:gridCol w:w="90"/>
        <w:gridCol w:w="170"/>
        <w:gridCol w:w="830"/>
        <w:gridCol w:w="125"/>
        <w:gridCol w:w="90"/>
        <w:gridCol w:w="170"/>
        <w:gridCol w:w="785"/>
        <w:gridCol w:w="125"/>
        <w:gridCol w:w="90"/>
        <w:gridCol w:w="90"/>
        <w:gridCol w:w="890"/>
        <w:gridCol w:w="356"/>
      </w:tblGrid>
      <w:tr>
        <w:trPr/>
        <w:tc>
          <w:tcPr>
            <w:tcW w:w="5179"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4580" w:type="dxa"/>
            <w:gridSpan w:val="14"/>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Years ended December 31,</w:t>
            </w:r>
          </w:p>
        </w:tc>
        <w:tc>
          <w:tcPr>
            <w:tcW w:w="356" w:type="dxa"/>
            <w:tcBorders/>
            <w:shd w:fill="auto" w:val="clear"/>
            <w:vAlign w:val="center"/>
          </w:tcPr>
          <w:p>
            <w:pPr>
              <w:pStyle w:val="TableContents"/>
              <w:spacing w:before="0" w:after="0"/>
              <w:ind w:left="0" w:right="0" w:hanging="0"/>
              <w:rPr/>
            </w:pPr>
            <w:r>
              <w:rPr/>
              <w:t> </w:t>
            </w:r>
          </w:p>
        </w:tc>
      </w:tr>
      <w:tr>
        <w:trPr/>
        <w:tc>
          <w:tcPr>
            <w:tcW w:w="5179"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Fonts w:ascii="times new roman" w:hAnsi="times new roman"/>
                <w:sz w:val="20"/>
              </w:rPr>
              <w:t>($ in thousands)</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2022</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2021</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5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Change</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Percent </w:t>
            </w:r>
          </w:p>
        </w:tc>
        <w:tc>
          <w:tcPr>
            <w:tcW w:w="356" w:type="dxa"/>
            <w:tcBorders/>
            <w:shd w:fill="auto" w:val="clear"/>
            <w:vAlign w:val="center"/>
          </w:tcPr>
          <w:p>
            <w:pPr>
              <w:pStyle w:val="TableContents"/>
              <w:spacing w:before="0" w:after="0"/>
              <w:ind w:left="0" w:right="0" w:hanging="0"/>
              <w:rPr/>
            </w:pPr>
            <w:r>
              <w:rPr/>
              <w:t> </w:t>
            </w:r>
          </w:p>
        </w:tc>
      </w:tr>
      <w:tr>
        <w:trPr/>
        <w:tc>
          <w:tcPr>
            <w:tcW w:w="5179" w:type="dxa"/>
            <w:tcBorders/>
            <w:shd w:fill="auto" w:val="clear"/>
            <w:vAlign w:val="center"/>
          </w:tcPr>
          <w:p>
            <w:pPr>
              <w:pStyle w:val="TableContents"/>
              <w:spacing w:before="0" w:after="0"/>
              <w:ind w:left="0" w:right="0" w:hanging="0"/>
              <w:rPr/>
            </w:pPr>
            <w:r>
              <w:rPr>
                <w:rStyle w:val="StrongEmphasis"/>
                <w:rFonts w:ascii="times new roman" w:hAnsi="times new roman"/>
                <w:sz w:val="20"/>
              </w:rPr>
              <w:t xml:space="preserve">Revenues </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5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80" w:type="dxa"/>
            <w:gridSpan w:val="2"/>
            <w:tcBorders/>
            <w:shd w:fill="auto" w:val="clear"/>
            <w:vAlign w:val="center"/>
          </w:tcPr>
          <w:p>
            <w:pPr>
              <w:pStyle w:val="TableContents"/>
              <w:spacing w:before="0" w:after="0"/>
              <w:ind w:left="0" w:right="0" w:hanging="0"/>
              <w:rPr/>
            </w:pPr>
            <w:r>
              <w:rPr/>
              <w:t> </w:t>
            </w:r>
          </w:p>
        </w:tc>
        <w:tc>
          <w:tcPr>
            <w:tcW w:w="356" w:type="dxa"/>
            <w:tcBorders/>
            <w:shd w:fill="auto" w:val="clear"/>
            <w:vAlign w:val="center"/>
          </w:tcPr>
          <w:p>
            <w:pPr>
              <w:pStyle w:val="TableContents"/>
              <w:spacing w:before="0" w:after="0"/>
              <w:ind w:left="0" w:right="0" w:hanging="0"/>
              <w:rPr/>
            </w:pPr>
            <w:r>
              <w:rPr/>
              <w:t> </w:t>
            </w:r>
          </w:p>
        </w:tc>
      </w:tr>
      <w:tr>
        <w:trPr/>
        <w:tc>
          <w:tcPr>
            <w:tcW w:w="5179" w:type="dxa"/>
            <w:tcBorders/>
            <w:shd w:fill="CCEE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Direct written premiums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830" w:type="dxa"/>
            <w:tcBorders/>
            <w:shd w:fill="CCEEFF" w:val="clear"/>
            <w:vAlign w:val="center"/>
          </w:tcPr>
          <w:p>
            <w:pPr>
              <w:pStyle w:val="TableContents"/>
              <w:spacing w:before="0" w:after="283"/>
              <w:jc w:val="right"/>
              <w:rPr/>
            </w:pPr>
            <w:r>
              <w:rPr/>
              <w:t>201,255</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830" w:type="dxa"/>
            <w:tcBorders/>
            <w:shd w:fill="CCEEFF" w:val="clear"/>
            <w:vAlign w:val="center"/>
          </w:tcPr>
          <w:p>
            <w:pPr>
              <w:pStyle w:val="TableContents"/>
              <w:spacing w:before="0" w:after="283"/>
              <w:jc w:val="right"/>
              <w:rPr/>
            </w:pPr>
            <w:r>
              <w:rPr/>
              <w:t>181,665</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785" w:type="dxa"/>
            <w:tcBorders/>
            <w:shd w:fill="CCEEFF" w:val="clear"/>
            <w:vAlign w:val="center"/>
          </w:tcPr>
          <w:p>
            <w:pPr>
              <w:pStyle w:val="TableContents"/>
              <w:spacing w:before="0" w:after="283"/>
              <w:jc w:val="right"/>
              <w:rPr/>
            </w:pPr>
            <w:r>
              <w:rPr/>
              <w:t>19,590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890" w:type="dxa"/>
            <w:tcBorders/>
            <w:shd w:fill="CCEEFF" w:val="clear"/>
            <w:vAlign w:val="center"/>
          </w:tcPr>
          <w:p>
            <w:pPr>
              <w:pStyle w:val="TableContents"/>
              <w:spacing w:before="0" w:after="283"/>
              <w:jc w:val="right"/>
              <w:rPr/>
            </w:pPr>
            <w:r>
              <w:rPr/>
              <w:t>10.8</w:t>
            </w:r>
          </w:p>
        </w:tc>
        <w:tc>
          <w:tcPr>
            <w:tcW w:w="356" w:type="dxa"/>
            <w:tcBorders/>
            <w:shd w:fill="CCEEFF" w:val="clear"/>
            <w:vAlign w:val="center"/>
          </w:tcPr>
          <w:p>
            <w:pPr>
              <w:pStyle w:val="TableContents"/>
              <w:spacing w:before="0" w:after="283"/>
              <w:rPr/>
            </w:pPr>
            <w:r>
              <w:rPr/>
              <w:t>%</w:t>
            </w:r>
          </w:p>
        </w:tc>
      </w:tr>
      <w:tr>
        <w:trPr/>
        <w:tc>
          <w:tcPr>
            <w:tcW w:w="5179"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Assumed written premiums</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85"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80" w:type="dxa"/>
            <w:gridSpan w:val="2"/>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na</w:t>
            </w:r>
          </w:p>
        </w:tc>
        <w:tc>
          <w:tcPr>
            <w:tcW w:w="356"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r>
      <w:tr>
        <w:trPr/>
        <w:tc>
          <w:tcPr>
            <w:tcW w:w="5179"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CCEEFF" w:val="clear"/>
            <w:tcMar>
              <w:bottom w:w="28" w:type="dxa"/>
            </w:tcMar>
            <w:vAlign w:val="center"/>
          </w:tcPr>
          <w:p>
            <w:pPr>
              <w:pStyle w:val="TableContents"/>
              <w:spacing w:before="0" w:after="283"/>
              <w:jc w:val="right"/>
              <w:rPr/>
            </w:pPr>
            <w:r>
              <w:rPr/>
              <w:t>201,255</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CCEEFF" w:val="clear"/>
            <w:tcMar>
              <w:bottom w:w="28" w:type="dxa"/>
            </w:tcMar>
            <w:vAlign w:val="center"/>
          </w:tcPr>
          <w:p>
            <w:pPr>
              <w:pStyle w:val="TableContents"/>
              <w:spacing w:before="0" w:after="283"/>
              <w:jc w:val="right"/>
              <w:rPr/>
            </w:pPr>
            <w:r>
              <w:rPr/>
              <w:t>181,665</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5" w:type="dxa"/>
            <w:tcBorders>
              <w:bottom w:val="single" w:sz="2" w:space="0" w:color="000000"/>
            </w:tcBorders>
            <w:shd w:fill="CCEEFF" w:val="clear"/>
            <w:tcMar>
              <w:bottom w:w="28" w:type="dxa"/>
            </w:tcMar>
            <w:vAlign w:val="center"/>
          </w:tcPr>
          <w:p>
            <w:pPr>
              <w:pStyle w:val="TableContents"/>
              <w:spacing w:before="0" w:after="283"/>
              <w:jc w:val="right"/>
              <w:rPr/>
            </w:pPr>
            <w:r>
              <w:rPr/>
              <w:t>19,590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890" w:type="dxa"/>
            <w:tcBorders/>
            <w:shd w:fill="CCEEFF" w:val="clear"/>
            <w:vAlign w:val="center"/>
          </w:tcPr>
          <w:p>
            <w:pPr>
              <w:pStyle w:val="TableContents"/>
              <w:spacing w:before="0" w:after="283"/>
              <w:jc w:val="right"/>
              <w:rPr/>
            </w:pPr>
            <w:r>
              <w:rPr/>
              <w:t>10.8</w:t>
            </w:r>
          </w:p>
        </w:tc>
        <w:tc>
          <w:tcPr>
            <w:tcW w:w="356" w:type="dxa"/>
            <w:tcBorders/>
            <w:shd w:fill="CCEEFF" w:val="clear"/>
            <w:vAlign w:val="center"/>
          </w:tcPr>
          <w:p>
            <w:pPr>
              <w:pStyle w:val="TableContents"/>
              <w:spacing w:before="0" w:after="283"/>
              <w:rPr/>
            </w:pPr>
            <w:r>
              <w:rPr/>
              <w:t>%</w:t>
            </w:r>
          </w:p>
        </w:tc>
      </w:tr>
      <w:tr>
        <w:trPr/>
        <w:tc>
          <w:tcPr>
            <w:tcW w:w="5179"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Ceded written premiums</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8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890" w:type="dxa"/>
            <w:tcBorders/>
            <w:shd w:fill="FFFFFF" w:val="clear"/>
            <w:vAlign w:val="center"/>
          </w:tcPr>
          <w:p>
            <w:pPr>
              <w:pStyle w:val="TableContents"/>
              <w:spacing w:before="0" w:after="0"/>
              <w:ind w:left="0" w:right="0" w:hanging="0"/>
              <w:rPr/>
            </w:pPr>
            <w:r>
              <w:rPr/>
              <w:t> </w:t>
            </w:r>
          </w:p>
        </w:tc>
        <w:tc>
          <w:tcPr>
            <w:tcW w:w="356" w:type="dxa"/>
            <w:tcBorders/>
            <w:shd w:fill="FFFFFF" w:val="clear"/>
            <w:vAlign w:val="center"/>
          </w:tcPr>
          <w:p>
            <w:pPr>
              <w:pStyle w:val="TableContents"/>
              <w:spacing w:before="0" w:after="0"/>
              <w:ind w:left="0" w:right="0" w:hanging="0"/>
              <w:rPr/>
            </w:pPr>
            <w:r>
              <w:rPr/>
              <w:t> </w:t>
            </w:r>
          </w:p>
        </w:tc>
      </w:tr>
      <w:tr>
        <w:trPr/>
        <w:tc>
          <w:tcPr>
            <w:tcW w:w="5179" w:type="dxa"/>
            <w:tcBorders/>
            <w:shd w:fill="CCEEFF" w:val="clear"/>
            <w:vAlign w:val="center"/>
          </w:tcPr>
          <w:p>
            <w:pPr>
              <w:pStyle w:val="TableContents"/>
              <w:spacing w:before="0" w:after="0"/>
              <w:ind w:left="0" w:right="0" w:firstLine="540"/>
              <w:rPr>
                <w:rFonts w:ascii="times new roman" w:hAnsi="times new roman"/>
                <w:sz w:val="20"/>
              </w:rPr>
            </w:pPr>
            <w:r>
              <w:rPr>
                <w:rFonts w:ascii="times new roman" w:hAnsi="times new roman"/>
                <w:sz w:val="20"/>
              </w:rPr>
              <w:t>Ceded to quota share treaties (1)</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47,409</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23,510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85" w:type="dxa"/>
            <w:tcBorders/>
            <w:shd w:fill="CCEEFF" w:val="clear"/>
            <w:vAlign w:val="center"/>
          </w:tcPr>
          <w:p>
            <w:pPr>
              <w:pStyle w:val="TableContents"/>
              <w:spacing w:before="0" w:after="283"/>
              <w:jc w:val="right"/>
              <w:rPr/>
            </w:pPr>
            <w:r>
              <w:rPr/>
              <w:t>23,899</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890" w:type="dxa"/>
            <w:tcBorders/>
            <w:shd w:fill="CCEEFF" w:val="clear"/>
            <w:vAlign w:val="center"/>
          </w:tcPr>
          <w:p>
            <w:pPr>
              <w:pStyle w:val="TableContents"/>
              <w:spacing w:before="0" w:after="283"/>
              <w:jc w:val="right"/>
              <w:rPr/>
            </w:pPr>
            <w:r>
              <w:rPr/>
              <w:t>101.7</w:t>
            </w:r>
          </w:p>
        </w:tc>
        <w:tc>
          <w:tcPr>
            <w:tcW w:w="356" w:type="dxa"/>
            <w:tcBorders/>
            <w:shd w:fill="CCEEFF" w:val="clear"/>
            <w:vAlign w:val="center"/>
          </w:tcPr>
          <w:p>
            <w:pPr>
              <w:pStyle w:val="TableContents"/>
              <w:spacing w:before="0" w:after="283"/>
              <w:rPr/>
            </w:pPr>
            <w:r>
              <w:rPr/>
              <w:t>%</w:t>
            </w:r>
          </w:p>
        </w:tc>
      </w:tr>
      <w:tr>
        <w:trPr/>
        <w:tc>
          <w:tcPr>
            <w:tcW w:w="5179" w:type="dxa"/>
            <w:tcBorders/>
            <w:shd w:fill="FFFFFF" w:val="clear"/>
            <w:vAlign w:val="center"/>
          </w:tcPr>
          <w:p>
            <w:pPr>
              <w:pStyle w:val="TableContents"/>
              <w:spacing w:before="0" w:after="0"/>
              <w:ind w:left="0" w:right="0" w:firstLine="540"/>
              <w:rPr>
                <w:rFonts w:ascii="times new roman" w:hAnsi="times new roman"/>
                <w:sz w:val="20"/>
              </w:rPr>
            </w:pPr>
            <w:r>
              <w:rPr>
                <w:rFonts w:ascii="times new roman" w:hAnsi="times new roman"/>
                <w:sz w:val="20"/>
              </w:rPr>
              <w:t>Ceded to excess of loss treaties</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3,880</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2,613</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85" w:type="dxa"/>
            <w:tcBorders/>
            <w:shd w:fill="FFFFFF" w:val="clear"/>
            <w:vAlign w:val="center"/>
          </w:tcPr>
          <w:p>
            <w:pPr>
              <w:pStyle w:val="TableContents"/>
              <w:spacing w:before="0" w:after="283"/>
              <w:jc w:val="right"/>
              <w:rPr/>
            </w:pPr>
            <w:r>
              <w:rPr/>
              <w:t>1,267</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890" w:type="dxa"/>
            <w:tcBorders/>
            <w:shd w:fill="FFFFFF" w:val="clear"/>
            <w:vAlign w:val="center"/>
          </w:tcPr>
          <w:p>
            <w:pPr>
              <w:pStyle w:val="TableContents"/>
              <w:spacing w:before="0" w:after="283"/>
              <w:jc w:val="right"/>
              <w:rPr/>
            </w:pPr>
            <w:r>
              <w:rPr/>
              <w:t>48.5</w:t>
            </w:r>
          </w:p>
        </w:tc>
        <w:tc>
          <w:tcPr>
            <w:tcW w:w="356" w:type="dxa"/>
            <w:tcBorders/>
            <w:shd w:fill="FFFFFF" w:val="clear"/>
            <w:vAlign w:val="center"/>
          </w:tcPr>
          <w:p>
            <w:pPr>
              <w:pStyle w:val="TableContents"/>
              <w:spacing w:before="0" w:after="283"/>
              <w:rPr/>
            </w:pPr>
            <w:r>
              <w:rPr/>
              <w:t>%</w:t>
            </w:r>
          </w:p>
        </w:tc>
      </w:tr>
      <w:tr>
        <w:trPr/>
        <w:tc>
          <w:tcPr>
            <w:tcW w:w="5179" w:type="dxa"/>
            <w:tcBorders/>
            <w:shd w:fill="CCEEFF" w:val="clear"/>
            <w:vAlign w:val="center"/>
          </w:tcPr>
          <w:p>
            <w:pPr>
              <w:pStyle w:val="TableContents"/>
              <w:spacing w:before="0" w:after="0"/>
              <w:ind w:left="0" w:right="0" w:firstLine="540"/>
              <w:rPr>
                <w:rFonts w:ascii="times new roman" w:hAnsi="times new roman"/>
                <w:sz w:val="20"/>
              </w:rPr>
            </w:pPr>
            <w:r>
              <w:rPr>
                <w:rFonts w:ascii="times new roman" w:hAnsi="times new roman"/>
                <w:sz w:val="20"/>
              </w:rPr>
              <w:t>Ceded to catastrophe treaties</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CCEEFF" w:val="clear"/>
            <w:tcMar>
              <w:bottom w:w="28" w:type="dxa"/>
            </w:tcMar>
            <w:vAlign w:val="center"/>
          </w:tcPr>
          <w:p>
            <w:pPr>
              <w:pStyle w:val="TableContents"/>
              <w:spacing w:before="0" w:after="283"/>
              <w:jc w:val="right"/>
              <w:rPr/>
            </w:pPr>
            <w:r>
              <w:rPr/>
              <w:t>27,906</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CCEEFF" w:val="clear"/>
            <w:tcMar>
              <w:bottom w:w="28" w:type="dxa"/>
            </w:tcMar>
            <w:vAlign w:val="center"/>
          </w:tcPr>
          <w:p>
            <w:pPr>
              <w:pStyle w:val="TableContents"/>
              <w:spacing w:before="0" w:after="283"/>
              <w:jc w:val="right"/>
              <w:rPr/>
            </w:pPr>
            <w:r>
              <w:rPr/>
              <w:t>26,787</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5" w:type="dxa"/>
            <w:tcBorders>
              <w:bottom w:val="single" w:sz="2" w:space="0" w:color="000000"/>
            </w:tcBorders>
            <w:shd w:fill="CCEEFF" w:val="clear"/>
            <w:tcMar>
              <w:bottom w:w="28" w:type="dxa"/>
            </w:tcMar>
            <w:vAlign w:val="center"/>
          </w:tcPr>
          <w:p>
            <w:pPr>
              <w:pStyle w:val="TableContents"/>
              <w:spacing w:before="0" w:after="283"/>
              <w:jc w:val="right"/>
              <w:rPr/>
            </w:pPr>
            <w:r>
              <w:rPr/>
              <w:t>1,119</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890" w:type="dxa"/>
            <w:tcBorders/>
            <w:shd w:fill="CCEEFF" w:val="clear"/>
            <w:vAlign w:val="center"/>
          </w:tcPr>
          <w:p>
            <w:pPr>
              <w:pStyle w:val="TableContents"/>
              <w:spacing w:before="0" w:after="283"/>
              <w:jc w:val="right"/>
              <w:rPr/>
            </w:pPr>
            <w:r>
              <w:rPr/>
              <w:t>4.2</w:t>
            </w:r>
          </w:p>
        </w:tc>
        <w:tc>
          <w:tcPr>
            <w:tcW w:w="356" w:type="dxa"/>
            <w:tcBorders/>
            <w:shd w:fill="CCEEFF" w:val="clear"/>
            <w:vAlign w:val="center"/>
          </w:tcPr>
          <w:p>
            <w:pPr>
              <w:pStyle w:val="TableContents"/>
              <w:spacing w:before="0" w:after="283"/>
              <w:rPr/>
            </w:pPr>
            <w:r>
              <w:rPr/>
              <w:t>%</w:t>
            </w:r>
          </w:p>
        </w:tc>
      </w:tr>
      <w:tr>
        <w:trPr/>
        <w:tc>
          <w:tcPr>
            <w:tcW w:w="5179"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Total ceded written premiums</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79,195</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52,910</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85" w:type="dxa"/>
            <w:tcBorders>
              <w:bottom w:val="single" w:sz="2" w:space="0" w:color="000000"/>
            </w:tcBorders>
            <w:shd w:fill="FFFFFF" w:val="clear"/>
            <w:tcMar>
              <w:bottom w:w="28" w:type="dxa"/>
            </w:tcMar>
            <w:vAlign w:val="center"/>
          </w:tcPr>
          <w:p>
            <w:pPr>
              <w:pStyle w:val="TableContents"/>
              <w:spacing w:before="0" w:after="283"/>
              <w:jc w:val="right"/>
              <w:rPr/>
            </w:pPr>
            <w:r>
              <w:rPr/>
              <w:t>26,285</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890" w:type="dxa"/>
            <w:tcBorders/>
            <w:shd w:fill="FFFFFF" w:val="clear"/>
            <w:vAlign w:val="center"/>
          </w:tcPr>
          <w:p>
            <w:pPr>
              <w:pStyle w:val="TableContents"/>
              <w:spacing w:before="0" w:after="283"/>
              <w:jc w:val="right"/>
              <w:rPr/>
            </w:pPr>
            <w:r>
              <w:rPr/>
              <w:t>49.7</w:t>
            </w:r>
          </w:p>
        </w:tc>
        <w:tc>
          <w:tcPr>
            <w:tcW w:w="356" w:type="dxa"/>
            <w:tcBorders/>
            <w:shd w:fill="FFFFFF" w:val="clear"/>
            <w:vAlign w:val="center"/>
          </w:tcPr>
          <w:p>
            <w:pPr>
              <w:pStyle w:val="TableContents"/>
              <w:spacing w:before="0" w:after="283"/>
              <w:rPr/>
            </w:pPr>
            <w:r>
              <w:rPr/>
              <w:t>%</w:t>
            </w:r>
          </w:p>
        </w:tc>
      </w:tr>
      <w:tr>
        <w:trPr/>
        <w:tc>
          <w:tcPr>
            <w:tcW w:w="5179"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8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890" w:type="dxa"/>
            <w:tcBorders/>
            <w:shd w:fill="CCEEFF" w:val="clear"/>
            <w:vAlign w:val="center"/>
          </w:tcPr>
          <w:p>
            <w:pPr>
              <w:pStyle w:val="TableContents"/>
              <w:spacing w:before="0" w:after="0"/>
              <w:ind w:left="0" w:right="0" w:hanging="0"/>
              <w:rPr/>
            </w:pPr>
            <w:r>
              <w:rPr/>
              <w:t> </w:t>
            </w:r>
          </w:p>
        </w:tc>
        <w:tc>
          <w:tcPr>
            <w:tcW w:w="356" w:type="dxa"/>
            <w:tcBorders/>
            <w:shd w:fill="CCEEFF" w:val="clear"/>
            <w:vAlign w:val="center"/>
          </w:tcPr>
          <w:p>
            <w:pPr>
              <w:pStyle w:val="TableContents"/>
              <w:spacing w:before="0" w:after="0"/>
              <w:ind w:left="0" w:right="0" w:hanging="0"/>
              <w:rPr/>
            </w:pPr>
            <w:r>
              <w:rPr/>
              <w:t> </w:t>
            </w:r>
          </w:p>
        </w:tc>
      </w:tr>
      <w:tr>
        <w:trPr/>
        <w:tc>
          <w:tcPr>
            <w:tcW w:w="5179"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Net written premiums</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122,060</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128,755</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85" w:type="dxa"/>
            <w:tcBorders>
              <w:bottom w:val="single" w:sz="2" w:space="0" w:color="000000"/>
            </w:tcBorders>
            <w:shd w:fill="FFFFFF" w:val="clear"/>
            <w:tcMar>
              <w:bottom w:w="28" w:type="dxa"/>
            </w:tcMar>
            <w:vAlign w:val="center"/>
          </w:tcPr>
          <w:p>
            <w:pPr>
              <w:pStyle w:val="TableContents"/>
              <w:spacing w:before="0" w:after="283"/>
              <w:jc w:val="right"/>
              <w:rPr/>
            </w:pPr>
            <w:r>
              <w:rPr/>
              <w:t>(6,695</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890" w:type="dxa"/>
            <w:tcBorders/>
            <w:shd w:fill="FFFFFF" w:val="clear"/>
            <w:vAlign w:val="center"/>
          </w:tcPr>
          <w:p>
            <w:pPr>
              <w:pStyle w:val="TableContents"/>
              <w:spacing w:before="0" w:after="283"/>
              <w:jc w:val="right"/>
              <w:rPr/>
            </w:pPr>
            <w:r>
              <w:rPr/>
              <w:t>(5.2</w:t>
            </w:r>
          </w:p>
        </w:tc>
        <w:tc>
          <w:tcPr>
            <w:tcW w:w="356" w:type="dxa"/>
            <w:tcBorders/>
            <w:shd w:fill="FFFFFF" w:val="clear"/>
            <w:vAlign w:val="center"/>
          </w:tcPr>
          <w:p>
            <w:pPr>
              <w:pStyle w:val="TableContents"/>
              <w:spacing w:before="0" w:after="283"/>
              <w:rPr/>
            </w:pPr>
            <w:r>
              <w:rPr/>
              <w:t>)%</w:t>
            </w:r>
          </w:p>
        </w:tc>
      </w:tr>
      <w:tr>
        <w:trPr/>
        <w:tc>
          <w:tcPr>
            <w:tcW w:w="5179"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8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890" w:type="dxa"/>
            <w:tcBorders/>
            <w:shd w:fill="CCEEFF" w:val="clear"/>
            <w:vAlign w:val="center"/>
          </w:tcPr>
          <w:p>
            <w:pPr>
              <w:pStyle w:val="TableContents"/>
              <w:spacing w:before="0" w:after="0"/>
              <w:ind w:left="0" w:right="0" w:hanging="0"/>
              <w:rPr/>
            </w:pPr>
            <w:r>
              <w:rPr/>
              <w:t> </w:t>
            </w:r>
          </w:p>
        </w:tc>
        <w:tc>
          <w:tcPr>
            <w:tcW w:w="356" w:type="dxa"/>
            <w:tcBorders/>
            <w:shd w:fill="CCEEFF" w:val="clear"/>
            <w:vAlign w:val="center"/>
          </w:tcPr>
          <w:p>
            <w:pPr>
              <w:pStyle w:val="TableContents"/>
              <w:spacing w:before="0" w:after="0"/>
              <w:ind w:left="0" w:right="0" w:hanging="0"/>
              <w:rPr/>
            </w:pPr>
            <w:r>
              <w:rPr/>
              <w:t> </w:t>
            </w:r>
          </w:p>
        </w:tc>
      </w:tr>
      <w:tr>
        <w:trPr/>
        <w:tc>
          <w:tcPr>
            <w:tcW w:w="5179"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Change in unearned premiums</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8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890" w:type="dxa"/>
            <w:tcBorders/>
            <w:shd w:fill="FFFFFF" w:val="clear"/>
            <w:vAlign w:val="center"/>
          </w:tcPr>
          <w:p>
            <w:pPr>
              <w:pStyle w:val="TableContents"/>
              <w:spacing w:before="0" w:after="0"/>
              <w:ind w:left="0" w:right="0" w:hanging="0"/>
              <w:rPr/>
            </w:pPr>
            <w:r>
              <w:rPr/>
              <w:t> </w:t>
            </w:r>
          </w:p>
        </w:tc>
        <w:tc>
          <w:tcPr>
            <w:tcW w:w="356" w:type="dxa"/>
            <w:tcBorders/>
            <w:shd w:fill="FFFFFF" w:val="clear"/>
            <w:vAlign w:val="center"/>
          </w:tcPr>
          <w:p>
            <w:pPr>
              <w:pStyle w:val="TableContents"/>
              <w:spacing w:before="0" w:after="0"/>
              <w:ind w:left="0" w:right="0" w:hanging="0"/>
              <w:rPr/>
            </w:pPr>
            <w:r>
              <w:rPr/>
              <w:t> </w:t>
            </w:r>
          </w:p>
        </w:tc>
      </w:tr>
      <w:tr>
        <w:trPr/>
        <w:tc>
          <w:tcPr>
            <w:tcW w:w="5179" w:type="dxa"/>
            <w:tcBorders/>
            <w:shd w:fill="CCEEFF" w:val="clear"/>
            <w:vAlign w:val="center"/>
          </w:tcPr>
          <w:p>
            <w:pPr>
              <w:pStyle w:val="TableContents"/>
              <w:spacing w:before="0" w:after="0"/>
              <w:ind w:left="0" w:right="0" w:firstLine="360"/>
              <w:rPr>
                <w:rFonts w:ascii="times new roman" w:hAnsi="times new roman"/>
                <w:sz w:val="20"/>
              </w:rPr>
            </w:pPr>
            <w:r>
              <w:rPr>
                <w:rFonts w:ascii="times new roman" w:hAnsi="times new roman"/>
                <w:sz w:val="20"/>
              </w:rPr>
              <w:t>Direct and assumed</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(9,733</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(7,750</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85" w:type="dxa"/>
            <w:tcBorders/>
            <w:shd w:fill="CCEEFF" w:val="clear"/>
            <w:vAlign w:val="center"/>
          </w:tcPr>
          <w:p>
            <w:pPr>
              <w:pStyle w:val="TableContents"/>
              <w:spacing w:before="0" w:after="283"/>
              <w:jc w:val="right"/>
              <w:rPr/>
            </w:pPr>
            <w:r>
              <w:rPr/>
              <w:t>(1,983</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890" w:type="dxa"/>
            <w:tcBorders/>
            <w:shd w:fill="CCEEFF" w:val="clear"/>
            <w:vAlign w:val="center"/>
          </w:tcPr>
          <w:p>
            <w:pPr>
              <w:pStyle w:val="TableContents"/>
              <w:spacing w:before="0" w:after="283"/>
              <w:jc w:val="right"/>
              <w:rPr/>
            </w:pPr>
            <w:r>
              <w:rPr/>
              <w:t>(25.6</w:t>
            </w:r>
          </w:p>
        </w:tc>
        <w:tc>
          <w:tcPr>
            <w:tcW w:w="356" w:type="dxa"/>
            <w:tcBorders/>
            <w:shd w:fill="CCEEFF" w:val="clear"/>
            <w:vAlign w:val="center"/>
          </w:tcPr>
          <w:p>
            <w:pPr>
              <w:pStyle w:val="TableContents"/>
              <w:spacing w:before="0" w:after="283"/>
              <w:rPr/>
            </w:pPr>
            <w:r>
              <w:rPr/>
              <w:t>)%</w:t>
            </w:r>
          </w:p>
        </w:tc>
      </w:tr>
      <w:tr>
        <w:trPr/>
        <w:tc>
          <w:tcPr>
            <w:tcW w:w="5179" w:type="dxa"/>
            <w:tcBorders/>
            <w:shd w:fill="FFFFFF" w:val="clear"/>
            <w:vAlign w:val="center"/>
          </w:tcPr>
          <w:p>
            <w:pPr>
              <w:pStyle w:val="TableContents"/>
              <w:spacing w:before="0" w:after="0"/>
              <w:ind w:left="0" w:right="0" w:firstLine="360"/>
              <w:rPr>
                <w:rFonts w:ascii="times new roman" w:hAnsi="times new roman"/>
                <w:sz w:val="20"/>
              </w:rPr>
            </w:pPr>
            <w:r>
              <w:rPr>
                <w:rFonts w:ascii="times new roman" w:hAnsi="times new roman"/>
                <w:sz w:val="20"/>
              </w:rPr>
              <w:t>Ceded to quota share treaties (1)</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2,058</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22,877</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85" w:type="dxa"/>
            <w:tcBorders>
              <w:bottom w:val="single" w:sz="2" w:space="0" w:color="000000"/>
            </w:tcBorders>
            <w:shd w:fill="FFFFFF" w:val="clear"/>
            <w:tcMar>
              <w:bottom w:w="28" w:type="dxa"/>
            </w:tcMar>
            <w:vAlign w:val="center"/>
          </w:tcPr>
          <w:p>
            <w:pPr>
              <w:pStyle w:val="TableContents"/>
              <w:spacing w:before="0" w:after="283"/>
              <w:jc w:val="right"/>
              <w:rPr/>
            </w:pPr>
            <w:r>
              <w:rPr/>
              <w:t>(20,819</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890" w:type="dxa"/>
            <w:tcBorders/>
            <w:shd w:fill="FFFFFF" w:val="clear"/>
            <w:vAlign w:val="center"/>
          </w:tcPr>
          <w:p>
            <w:pPr>
              <w:pStyle w:val="TableContents"/>
              <w:spacing w:before="0" w:after="283"/>
              <w:jc w:val="right"/>
              <w:rPr/>
            </w:pPr>
            <w:r>
              <w:rPr/>
              <w:t>(91.0</w:t>
            </w:r>
          </w:p>
        </w:tc>
        <w:tc>
          <w:tcPr>
            <w:tcW w:w="356" w:type="dxa"/>
            <w:tcBorders/>
            <w:shd w:fill="FFFFFF" w:val="clear"/>
            <w:vAlign w:val="center"/>
          </w:tcPr>
          <w:p>
            <w:pPr>
              <w:pStyle w:val="TableContents"/>
              <w:spacing w:before="0" w:after="283"/>
              <w:rPr/>
            </w:pPr>
            <w:r>
              <w:rPr/>
              <w:t>)%</w:t>
            </w:r>
          </w:p>
        </w:tc>
      </w:tr>
      <w:tr>
        <w:trPr/>
        <w:tc>
          <w:tcPr>
            <w:tcW w:w="5179" w:type="dxa"/>
            <w:tcBorders/>
            <w:shd w:fill="CCEE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Change in net unearned premiums</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CCEEFF" w:val="clear"/>
            <w:tcMar>
              <w:bottom w:w="28" w:type="dxa"/>
            </w:tcMar>
            <w:vAlign w:val="center"/>
          </w:tcPr>
          <w:p>
            <w:pPr>
              <w:pStyle w:val="TableContents"/>
              <w:spacing w:before="0" w:after="283"/>
              <w:jc w:val="right"/>
              <w:rPr/>
            </w:pPr>
            <w:r>
              <w:rPr/>
              <w:t>(7,675</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CCEEFF" w:val="clear"/>
            <w:tcMar>
              <w:bottom w:w="28" w:type="dxa"/>
            </w:tcMar>
            <w:vAlign w:val="center"/>
          </w:tcPr>
          <w:p>
            <w:pPr>
              <w:pStyle w:val="TableContents"/>
              <w:spacing w:before="0" w:after="283"/>
              <w:jc w:val="right"/>
              <w:rPr/>
            </w:pPr>
            <w:r>
              <w:rPr/>
              <w:t>15,127</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5" w:type="dxa"/>
            <w:tcBorders>
              <w:bottom w:val="single" w:sz="2" w:space="0" w:color="000000"/>
            </w:tcBorders>
            <w:shd w:fill="CCEEFF" w:val="clear"/>
            <w:tcMar>
              <w:bottom w:w="28" w:type="dxa"/>
            </w:tcMar>
            <w:vAlign w:val="center"/>
          </w:tcPr>
          <w:p>
            <w:pPr>
              <w:pStyle w:val="TableContents"/>
              <w:spacing w:before="0" w:after="283"/>
              <w:jc w:val="right"/>
              <w:rPr/>
            </w:pPr>
            <w:r>
              <w:rPr/>
              <w:t>(22,802</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890" w:type="dxa"/>
            <w:tcBorders/>
            <w:shd w:fill="CCEEFF" w:val="clear"/>
            <w:vAlign w:val="center"/>
          </w:tcPr>
          <w:p>
            <w:pPr>
              <w:pStyle w:val="TableContents"/>
              <w:spacing w:before="0" w:after="283"/>
              <w:jc w:val="right"/>
              <w:rPr/>
            </w:pPr>
            <w:r>
              <w:rPr/>
              <w:t>150.7</w:t>
            </w:r>
          </w:p>
        </w:tc>
        <w:tc>
          <w:tcPr>
            <w:tcW w:w="356" w:type="dxa"/>
            <w:tcBorders/>
            <w:shd w:fill="CCEEFF" w:val="clear"/>
            <w:vAlign w:val="center"/>
          </w:tcPr>
          <w:p>
            <w:pPr>
              <w:pStyle w:val="TableContents"/>
              <w:spacing w:before="0" w:after="283"/>
              <w:rPr/>
            </w:pPr>
            <w:r>
              <w:rPr/>
              <w:t>%</w:t>
            </w:r>
          </w:p>
        </w:tc>
      </w:tr>
      <w:tr>
        <w:trPr/>
        <w:tc>
          <w:tcPr>
            <w:tcW w:w="5179"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8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890" w:type="dxa"/>
            <w:tcBorders/>
            <w:shd w:fill="FFFFFF" w:val="clear"/>
            <w:vAlign w:val="center"/>
          </w:tcPr>
          <w:p>
            <w:pPr>
              <w:pStyle w:val="TableContents"/>
              <w:spacing w:before="0" w:after="0"/>
              <w:ind w:left="0" w:right="0" w:hanging="0"/>
              <w:rPr/>
            </w:pPr>
            <w:r>
              <w:rPr/>
              <w:t> </w:t>
            </w:r>
          </w:p>
        </w:tc>
        <w:tc>
          <w:tcPr>
            <w:tcW w:w="356" w:type="dxa"/>
            <w:tcBorders/>
            <w:shd w:fill="FFFFFF" w:val="clear"/>
            <w:vAlign w:val="center"/>
          </w:tcPr>
          <w:p>
            <w:pPr>
              <w:pStyle w:val="TableContents"/>
              <w:spacing w:before="0" w:after="0"/>
              <w:ind w:left="0" w:right="0" w:hanging="0"/>
              <w:rPr/>
            </w:pPr>
            <w:r>
              <w:rPr/>
              <w:t> </w:t>
            </w:r>
          </w:p>
        </w:tc>
      </w:tr>
      <w:tr>
        <w:trPr/>
        <w:tc>
          <w:tcPr>
            <w:tcW w:w="5179" w:type="dxa"/>
            <w:tcBorders/>
            <w:shd w:fill="CCEE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Premiums earned</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8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890" w:type="dxa"/>
            <w:tcBorders/>
            <w:shd w:fill="CCEEFF" w:val="clear"/>
            <w:vAlign w:val="center"/>
          </w:tcPr>
          <w:p>
            <w:pPr>
              <w:pStyle w:val="TableContents"/>
              <w:spacing w:before="0" w:after="0"/>
              <w:ind w:left="0" w:right="0" w:hanging="0"/>
              <w:rPr/>
            </w:pPr>
            <w:r>
              <w:rPr/>
              <w:t> </w:t>
            </w:r>
          </w:p>
        </w:tc>
        <w:tc>
          <w:tcPr>
            <w:tcW w:w="356" w:type="dxa"/>
            <w:tcBorders/>
            <w:shd w:fill="CCEEFF" w:val="clear"/>
            <w:vAlign w:val="center"/>
          </w:tcPr>
          <w:p>
            <w:pPr>
              <w:pStyle w:val="TableContents"/>
              <w:spacing w:before="0" w:after="0"/>
              <w:ind w:left="0" w:right="0" w:hanging="0"/>
              <w:rPr/>
            </w:pPr>
            <w:r>
              <w:rPr/>
              <w:t> </w:t>
            </w:r>
          </w:p>
        </w:tc>
      </w:tr>
      <w:tr>
        <w:trPr/>
        <w:tc>
          <w:tcPr>
            <w:tcW w:w="5179" w:type="dxa"/>
            <w:tcBorders/>
            <w:shd w:fill="FFFFFF" w:val="clear"/>
            <w:vAlign w:val="center"/>
          </w:tcPr>
          <w:p>
            <w:pPr>
              <w:pStyle w:val="TableContents"/>
              <w:spacing w:before="0" w:after="0"/>
              <w:ind w:left="0" w:right="0" w:firstLine="360"/>
              <w:rPr>
                <w:rFonts w:ascii="times new roman" w:hAnsi="times new roman"/>
                <w:sz w:val="20"/>
              </w:rPr>
            </w:pPr>
            <w:r>
              <w:rPr>
                <w:rFonts w:ascii="times new roman" w:hAnsi="times new roman"/>
                <w:sz w:val="20"/>
              </w:rPr>
              <w:t>Direct and assumed</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191,522</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173,915</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85" w:type="dxa"/>
            <w:tcBorders/>
            <w:shd w:fill="FFFFFF" w:val="clear"/>
            <w:vAlign w:val="center"/>
          </w:tcPr>
          <w:p>
            <w:pPr>
              <w:pStyle w:val="TableContents"/>
              <w:spacing w:before="0" w:after="283"/>
              <w:jc w:val="right"/>
              <w:rPr/>
            </w:pPr>
            <w:r>
              <w:rPr/>
              <w:t>17,607</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890" w:type="dxa"/>
            <w:tcBorders/>
            <w:shd w:fill="FFFFFF" w:val="clear"/>
            <w:vAlign w:val="center"/>
          </w:tcPr>
          <w:p>
            <w:pPr>
              <w:pStyle w:val="TableContents"/>
              <w:spacing w:before="0" w:after="283"/>
              <w:jc w:val="right"/>
              <w:rPr/>
            </w:pPr>
            <w:r>
              <w:rPr/>
              <w:t>10.1</w:t>
            </w:r>
          </w:p>
        </w:tc>
        <w:tc>
          <w:tcPr>
            <w:tcW w:w="356" w:type="dxa"/>
            <w:tcBorders/>
            <w:shd w:fill="FFFFFF" w:val="clear"/>
            <w:vAlign w:val="center"/>
          </w:tcPr>
          <w:p>
            <w:pPr>
              <w:pStyle w:val="TableContents"/>
              <w:spacing w:before="0" w:after="283"/>
              <w:rPr/>
            </w:pPr>
            <w:r>
              <w:rPr/>
              <w:t>%</w:t>
            </w:r>
          </w:p>
        </w:tc>
      </w:tr>
      <w:tr>
        <w:trPr/>
        <w:tc>
          <w:tcPr>
            <w:tcW w:w="5179" w:type="dxa"/>
            <w:tcBorders/>
            <w:shd w:fill="CCEEFF" w:val="clear"/>
            <w:vAlign w:val="center"/>
          </w:tcPr>
          <w:p>
            <w:pPr>
              <w:pStyle w:val="TableContents"/>
              <w:spacing w:before="0" w:after="0"/>
              <w:ind w:left="0" w:right="0" w:firstLine="360"/>
              <w:rPr>
                <w:rFonts w:ascii="times new roman" w:hAnsi="times new roman"/>
                <w:sz w:val="20"/>
              </w:rPr>
            </w:pPr>
            <w:r>
              <w:rPr>
                <w:rFonts w:ascii="times new roman" w:hAnsi="times new roman"/>
                <w:sz w:val="20"/>
              </w:rPr>
              <w:t>Ceded to reinsurance treaties</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CCEEFF" w:val="clear"/>
            <w:tcMar>
              <w:bottom w:w="28" w:type="dxa"/>
            </w:tcMar>
            <w:vAlign w:val="center"/>
          </w:tcPr>
          <w:p>
            <w:pPr>
              <w:pStyle w:val="TableContents"/>
              <w:spacing w:before="0" w:after="283"/>
              <w:jc w:val="right"/>
              <w:rPr/>
            </w:pPr>
            <w:r>
              <w:rPr/>
              <w:t>(77,137</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CCEEFF" w:val="clear"/>
            <w:tcMar>
              <w:bottom w:w="28" w:type="dxa"/>
            </w:tcMar>
            <w:vAlign w:val="center"/>
          </w:tcPr>
          <w:p>
            <w:pPr>
              <w:pStyle w:val="TableContents"/>
              <w:spacing w:before="0" w:after="283"/>
              <w:jc w:val="right"/>
              <w:rPr/>
            </w:pPr>
            <w:r>
              <w:rPr/>
              <w:t>(30,033</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5" w:type="dxa"/>
            <w:tcBorders>
              <w:bottom w:val="single" w:sz="2" w:space="0" w:color="000000"/>
            </w:tcBorders>
            <w:shd w:fill="CCEEFF" w:val="clear"/>
            <w:tcMar>
              <w:bottom w:w="28" w:type="dxa"/>
            </w:tcMar>
            <w:vAlign w:val="center"/>
          </w:tcPr>
          <w:p>
            <w:pPr>
              <w:pStyle w:val="TableContents"/>
              <w:spacing w:before="0" w:after="283"/>
              <w:jc w:val="right"/>
              <w:rPr/>
            </w:pPr>
            <w:r>
              <w:rPr/>
              <w:t>(47,104</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890" w:type="dxa"/>
            <w:tcBorders/>
            <w:shd w:fill="CCEEFF" w:val="clear"/>
            <w:vAlign w:val="center"/>
          </w:tcPr>
          <w:p>
            <w:pPr>
              <w:pStyle w:val="TableContents"/>
              <w:spacing w:before="0" w:after="283"/>
              <w:jc w:val="right"/>
              <w:rPr/>
            </w:pPr>
            <w:r>
              <w:rPr/>
              <w:t>(156.8</w:t>
            </w:r>
          </w:p>
        </w:tc>
        <w:tc>
          <w:tcPr>
            <w:tcW w:w="356" w:type="dxa"/>
            <w:tcBorders/>
            <w:shd w:fill="CCEEFF" w:val="clear"/>
            <w:vAlign w:val="center"/>
          </w:tcPr>
          <w:p>
            <w:pPr>
              <w:pStyle w:val="TableContents"/>
              <w:spacing w:before="0" w:after="283"/>
              <w:rPr/>
            </w:pPr>
            <w:r>
              <w:rPr/>
              <w:t>)%</w:t>
            </w:r>
          </w:p>
        </w:tc>
      </w:tr>
      <w:tr>
        <w:trPr/>
        <w:tc>
          <w:tcPr>
            <w:tcW w:w="5179"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Net premiums earned</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114,385</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143,882</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85" w:type="dxa"/>
            <w:tcBorders/>
            <w:shd w:fill="FFFFFF" w:val="clear"/>
            <w:vAlign w:val="center"/>
          </w:tcPr>
          <w:p>
            <w:pPr>
              <w:pStyle w:val="TableContents"/>
              <w:spacing w:before="0" w:after="283"/>
              <w:jc w:val="right"/>
              <w:rPr/>
            </w:pPr>
            <w:r>
              <w:rPr/>
              <w:t>(29,497</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890" w:type="dxa"/>
            <w:tcBorders/>
            <w:shd w:fill="FFFFFF" w:val="clear"/>
            <w:vAlign w:val="center"/>
          </w:tcPr>
          <w:p>
            <w:pPr>
              <w:pStyle w:val="TableContents"/>
              <w:spacing w:before="0" w:after="283"/>
              <w:jc w:val="right"/>
              <w:rPr/>
            </w:pPr>
            <w:r>
              <w:rPr/>
              <w:t>(20.5</w:t>
            </w:r>
          </w:p>
        </w:tc>
        <w:tc>
          <w:tcPr>
            <w:tcW w:w="356" w:type="dxa"/>
            <w:tcBorders/>
            <w:shd w:fill="FFFFFF" w:val="clear"/>
            <w:vAlign w:val="center"/>
          </w:tcPr>
          <w:p>
            <w:pPr>
              <w:pStyle w:val="TableContents"/>
              <w:spacing w:before="0" w:after="283"/>
              <w:rPr/>
            </w:pPr>
            <w:r>
              <w:rPr/>
              <w:t>)%</w:t>
            </w:r>
          </w:p>
        </w:tc>
      </w:tr>
      <w:tr>
        <w:trPr/>
        <w:tc>
          <w:tcPr>
            <w:tcW w:w="5179"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8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890" w:type="dxa"/>
            <w:tcBorders/>
            <w:shd w:fill="CCEEFF" w:val="clear"/>
            <w:vAlign w:val="center"/>
          </w:tcPr>
          <w:p>
            <w:pPr>
              <w:pStyle w:val="TableContents"/>
              <w:spacing w:before="0" w:after="0"/>
              <w:ind w:left="0" w:right="0" w:hanging="0"/>
              <w:rPr/>
            </w:pPr>
            <w:r>
              <w:rPr/>
              <w:t> </w:t>
            </w:r>
          </w:p>
        </w:tc>
        <w:tc>
          <w:tcPr>
            <w:tcW w:w="356" w:type="dxa"/>
            <w:tcBorders/>
            <w:shd w:fill="CCEEFF" w:val="clear"/>
            <w:vAlign w:val="center"/>
          </w:tcPr>
          <w:p>
            <w:pPr>
              <w:pStyle w:val="TableContents"/>
              <w:spacing w:before="0" w:after="0"/>
              <w:ind w:left="0" w:right="0" w:hanging="0"/>
              <w:rPr/>
            </w:pPr>
            <w:r>
              <w:rPr/>
              <w:t> </w:t>
            </w:r>
          </w:p>
        </w:tc>
      </w:tr>
      <w:tr>
        <w:trPr/>
        <w:tc>
          <w:tcPr>
            <w:tcW w:w="5179"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Ceding commission revenue (1)</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19,319</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90</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85" w:type="dxa"/>
            <w:tcBorders/>
            <w:shd w:fill="FFFFFF" w:val="clear"/>
            <w:vAlign w:val="center"/>
          </w:tcPr>
          <w:p>
            <w:pPr>
              <w:pStyle w:val="TableContents"/>
              <w:spacing w:before="0" w:after="283"/>
              <w:jc w:val="right"/>
              <w:rPr/>
            </w:pPr>
            <w:r>
              <w:rPr/>
              <w:t>19,229</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890" w:type="dxa"/>
            <w:tcBorders/>
            <w:shd w:fill="FFFFFF" w:val="clear"/>
            <w:vAlign w:val="center"/>
          </w:tcPr>
          <w:p>
            <w:pPr>
              <w:pStyle w:val="TableContents"/>
              <w:spacing w:before="0" w:after="283"/>
              <w:jc w:val="right"/>
              <w:rPr/>
            </w:pPr>
            <w:r>
              <w:rPr/>
              <w:t>21,365.6</w:t>
            </w:r>
          </w:p>
        </w:tc>
        <w:tc>
          <w:tcPr>
            <w:tcW w:w="356" w:type="dxa"/>
            <w:tcBorders/>
            <w:shd w:fill="FFFFFF" w:val="clear"/>
            <w:vAlign w:val="center"/>
          </w:tcPr>
          <w:p>
            <w:pPr>
              <w:pStyle w:val="TableContents"/>
              <w:spacing w:before="0" w:after="283"/>
              <w:rPr/>
            </w:pPr>
            <w:r>
              <w:rPr/>
              <w:t>%</w:t>
            </w:r>
          </w:p>
        </w:tc>
      </w:tr>
      <w:tr>
        <w:trPr/>
        <w:tc>
          <w:tcPr>
            <w:tcW w:w="5179" w:type="dxa"/>
            <w:tcBorders/>
            <w:shd w:fill="CCEE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Net investment income</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4,937</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6,621</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85" w:type="dxa"/>
            <w:tcBorders/>
            <w:shd w:fill="CCEEFF" w:val="clear"/>
            <w:vAlign w:val="center"/>
          </w:tcPr>
          <w:p>
            <w:pPr>
              <w:pStyle w:val="TableContents"/>
              <w:spacing w:before="0" w:after="283"/>
              <w:jc w:val="right"/>
              <w:rPr/>
            </w:pPr>
            <w:r>
              <w:rPr/>
              <w:t>(1,684</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890" w:type="dxa"/>
            <w:tcBorders/>
            <w:shd w:fill="CCEEFF" w:val="clear"/>
            <w:vAlign w:val="center"/>
          </w:tcPr>
          <w:p>
            <w:pPr>
              <w:pStyle w:val="TableContents"/>
              <w:spacing w:before="0" w:after="283"/>
              <w:jc w:val="right"/>
              <w:rPr/>
            </w:pPr>
            <w:r>
              <w:rPr/>
              <w:t>(25.4</w:t>
            </w:r>
          </w:p>
        </w:tc>
        <w:tc>
          <w:tcPr>
            <w:tcW w:w="356" w:type="dxa"/>
            <w:tcBorders/>
            <w:shd w:fill="CCEEFF" w:val="clear"/>
            <w:vAlign w:val="center"/>
          </w:tcPr>
          <w:p>
            <w:pPr>
              <w:pStyle w:val="TableContents"/>
              <w:spacing w:before="0" w:after="283"/>
              <w:rPr/>
            </w:pPr>
            <w:r>
              <w:rPr/>
              <w:t>)%</w:t>
            </w:r>
          </w:p>
        </w:tc>
      </w:tr>
      <w:tr>
        <w:trPr/>
        <w:tc>
          <w:tcPr>
            <w:tcW w:w="5179"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Net (losses) gains on investments</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(9,392</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9,787</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85" w:type="dxa"/>
            <w:tcBorders/>
            <w:shd w:fill="FFFFFF" w:val="clear"/>
            <w:vAlign w:val="center"/>
          </w:tcPr>
          <w:p>
            <w:pPr>
              <w:pStyle w:val="TableContents"/>
              <w:spacing w:before="0" w:after="283"/>
              <w:jc w:val="right"/>
              <w:rPr/>
            </w:pPr>
            <w:r>
              <w:rPr/>
              <w:t>(19,179</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980" w:type="dxa"/>
            <w:gridSpan w:val="2"/>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na</w:t>
            </w:r>
          </w:p>
        </w:tc>
        <w:tc>
          <w:tcPr>
            <w:tcW w:w="356" w:type="dxa"/>
            <w:tcBorders/>
            <w:shd w:fill="FFFFFF" w:val="clear"/>
            <w:vAlign w:val="center"/>
          </w:tcPr>
          <w:p>
            <w:pPr>
              <w:pStyle w:val="TableContents"/>
              <w:spacing w:before="0" w:after="0"/>
              <w:ind w:left="0" w:right="0" w:hanging="0"/>
              <w:rPr/>
            </w:pPr>
            <w:r>
              <w:rPr/>
              <w:t> </w:t>
            </w:r>
            <w:r>
              <w:rPr>
                <w:rFonts w:ascii="times new roman" w:hAnsi="times new roman"/>
                <w:sz w:val="20"/>
              </w:rPr>
              <w:t>%</w:t>
            </w:r>
          </w:p>
        </w:tc>
      </w:tr>
      <w:tr>
        <w:trPr/>
        <w:tc>
          <w:tcPr>
            <w:tcW w:w="5179" w:type="dxa"/>
            <w:tcBorders/>
            <w:shd w:fill="CCEE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Other income</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CCEEFF" w:val="clear"/>
            <w:tcMar>
              <w:bottom w:w="28" w:type="dxa"/>
            </w:tcMar>
            <w:vAlign w:val="center"/>
          </w:tcPr>
          <w:p>
            <w:pPr>
              <w:pStyle w:val="TableContents"/>
              <w:spacing w:before="0" w:after="283"/>
              <w:jc w:val="right"/>
              <w:rPr/>
            </w:pPr>
            <w:r>
              <w:rPr/>
              <w:t>910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CCEEFF" w:val="clear"/>
            <w:tcMar>
              <w:bottom w:w="28" w:type="dxa"/>
            </w:tcMar>
            <w:vAlign w:val="center"/>
          </w:tcPr>
          <w:p>
            <w:pPr>
              <w:pStyle w:val="TableContents"/>
              <w:spacing w:before="0" w:after="283"/>
              <w:jc w:val="right"/>
              <w:rPr/>
            </w:pPr>
            <w:r>
              <w:rPr/>
              <w:t>851</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5" w:type="dxa"/>
            <w:tcBorders>
              <w:bottom w:val="single" w:sz="2" w:space="0" w:color="000000"/>
            </w:tcBorders>
            <w:shd w:fill="CCEEFF" w:val="clear"/>
            <w:tcMar>
              <w:bottom w:w="28" w:type="dxa"/>
            </w:tcMar>
            <w:vAlign w:val="center"/>
          </w:tcPr>
          <w:p>
            <w:pPr>
              <w:pStyle w:val="TableContents"/>
              <w:spacing w:before="0" w:after="283"/>
              <w:jc w:val="right"/>
              <w:rPr/>
            </w:pPr>
            <w:r>
              <w:rPr/>
              <w:t>59</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890" w:type="dxa"/>
            <w:tcBorders/>
            <w:shd w:fill="CCEEFF" w:val="clear"/>
            <w:vAlign w:val="center"/>
          </w:tcPr>
          <w:p>
            <w:pPr>
              <w:pStyle w:val="TableContents"/>
              <w:spacing w:before="0" w:after="283"/>
              <w:jc w:val="right"/>
              <w:rPr/>
            </w:pPr>
            <w:r>
              <w:rPr/>
              <w:t>6.9</w:t>
            </w:r>
          </w:p>
        </w:tc>
        <w:tc>
          <w:tcPr>
            <w:tcW w:w="356" w:type="dxa"/>
            <w:tcBorders/>
            <w:shd w:fill="CCEEFF" w:val="clear"/>
            <w:vAlign w:val="center"/>
          </w:tcPr>
          <w:p>
            <w:pPr>
              <w:pStyle w:val="TableContents"/>
              <w:spacing w:before="0" w:after="283"/>
              <w:rPr/>
            </w:pPr>
            <w:r>
              <w:rPr/>
              <w:t>%</w:t>
            </w:r>
          </w:p>
        </w:tc>
      </w:tr>
      <w:tr>
        <w:trPr/>
        <w:tc>
          <w:tcPr>
            <w:tcW w:w="5179" w:type="dxa"/>
            <w:tcBorders/>
            <w:shd w:fill="FFFFFF" w:val="clear"/>
            <w:vAlign w:val="center"/>
          </w:tcPr>
          <w:p>
            <w:pPr>
              <w:pStyle w:val="TableContents"/>
              <w:spacing w:before="0" w:after="0"/>
              <w:ind w:left="0" w:right="0" w:firstLine="360"/>
              <w:rPr>
                <w:rFonts w:ascii="times new roman" w:hAnsi="times new roman"/>
                <w:sz w:val="20"/>
              </w:rPr>
            </w:pPr>
            <w:r>
              <w:rPr>
                <w:rFonts w:ascii="times new roman" w:hAnsi="times new roman"/>
                <w:sz w:val="20"/>
              </w:rPr>
              <w:t>Total revenues</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130,159</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161,231</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85" w:type="dxa"/>
            <w:tcBorders>
              <w:bottom w:val="single" w:sz="2" w:space="0" w:color="000000"/>
            </w:tcBorders>
            <w:shd w:fill="FFFFFF" w:val="clear"/>
            <w:tcMar>
              <w:bottom w:w="28" w:type="dxa"/>
            </w:tcMar>
            <w:vAlign w:val="center"/>
          </w:tcPr>
          <w:p>
            <w:pPr>
              <w:pStyle w:val="TableContents"/>
              <w:spacing w:before="0" w:after="283"/>
              <w:jc w:val="right"/>
              <w:rPr/>
            </w:pPr>
            <w:r>
              <w:rPr/>
              <w:t>(31,072</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890" w:type="dxa"/>
            <w:tcBorders/>
            <w:shd w:fill="FFFFFF" w:val="clear"/>
            <w:vAlign w:val="center"/>
          </w:tcPr>
          <w:p>
            <w:pPr>
              <w:pStyle w:val="TableContents"/>
              <w:spacing w:before="0" w:after="283"/>
              <w:jc w:val="right"/>
              <w:rPr/>
            </w:pPr>
            <w:r>
              <w:rPr/>
              <w:t>(19.3</w:t>
            </w:r>
          </w:p>
        </w:tc>
        <w:tc>
          <w:tcPr>
            <w:tcW w:w="356" w:type="dxa"/>
            <w:tcBorders/>
            <w:shd w:fill="FFFFFF" w:val="clear"/>
            <w:vAlign w:val="center"/>
          </w:tcPr>
          <w:p>
            <w:pPr>
              <w:pStyle w:val="TableContents"/>
              <w:spacing w:before="0" w:after="283"/>
              <w:rPr/>
            </w:pPr>
            <w:r>
              <w:rPr/>
              <w:t>)%</w:t>
            </w:r>
          </w:p>
        </w:tc>
      </w:tr>
      <w:tr>
        <w:trPr/>
        <w:tc>
          <w:tcPr>
            <w:tcW w:w="5179" w:type="dxa"/>
            <w:tcBorders/>
            <w:shd w:fill="CCEEFF" w:val="clear"/>
            <w:vAlign w:val="center"/>
          </w:tcPr>
          <w:p>
            <w:pPr>
              <w:pStyle w:val="TableContents"/>
              <w:spacing w:before="0" w:after="0"/>
              <w:ind w:left="0" w:right="0" w:hanging="0"/>
              <w:rPr/>
            </w:pPr>
            <w:r>
              <w:rPr>
                <w:rStyle w:val="StrongEmphasis"/>
                <w:rFonts w:ascii="times new roman" w:hAnsi="times new roman"/>
                <w:sz w:val="20"/>
              </w:rPr>
              <w:t xml:space="preserve">Expenses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8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890" w:type="dxa"/>
            <w:tcBorders/>
            <w:shd w:fill="CCEEFF" w:val="clear"/>
            <w:vAlign w:val="center"/>
          </w:tcPr>
          <w:p>
            <w:pPr>
              <w:pStyle w:val="TableContents"/>
              <w:spacing w:before="0" w:after="0"/>
              <w:ind w:left="0" w:right="0" w:hanging="0"/>
              <w:rPr/>
            </w:pPr>
            <w:r>
              <w:rPr/>
              <w:t> </w:t>
            </w:r>
          </w:p>
        </w:tc>
        <w:tc>
          <w:tcPr>
            <w:tcW w:w="356" w:type="dxa"/>
            <w:tcBorders/>
            <w:shd w:fill="CCEEFF" w:val="clear"/>
            <w:vAlign w:val="center"/>
          </w:tcPr>
          <w:p>
            <w:pPr>
              <w:pStyle w:val="TableContents"/>
              <w:spacing w:before="0" w:after="0"/>
              <w:ind w:left="0" w:right="0" w:hanging="0"/>
              <w:rPr/>
            </w:pPr>
            <w:r>
              <w:rPr/>
              <w:t> </w:t>
            </w:r>
          </w:p>
        </w:tc>
      </w:tr>
      <w:tr>
        <w:trPr/>
        <w:tc>
          <w:tcPr>
            <w:tcW w:w="5179"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Loss and loss adjustment expenses</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8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890" w:type="dxa"/>
            <w:tcBorders/>
            <w:shd w:fill="FFFFFF" w:val="clear"/>
            <w:vAlign w:val="center"/>
          </w:tcPr>
          <w:p>
            <w:pPr>
              <w:pStyle w:val="TableContents"/>
              <w:spacing w:before="0" w:after="0"/>
              <w:ind w:left="0" w:right="0" w:hanging="0"/>
              <w:rPr/>
            </w:pPr>
            <w:r>
              <w:rPr/>
              <w:t> </w:t>
            </w:r>
          </w:p>
        </w:tc>
        <w:tc>
          <w:tcPr>
            <w:tcW w:w="356" w:type="dxa"/>
            <w:tcBorders/>
            <w:shd w:fill="FFFFFF" w:val="clear"/>
            <w:vAlign w:val="center"/>
          </w:tcPr>
          <w:p>
            <w:pPr>
              <w:pStyle w:val="TableContents"/>
              <w:spacing w:before="0" w:after="0"/>
              <w:ind w:left="0" w:right="0" w:hanging="0"/>
              <w:rPr/>
            </w:pPr>
            <w:r>
              <w:rPr/>
              <w:t> </w:t>
            </w:r>
          </w:p>
        </w:tc>
      </w:tr>
      <w:tr>
        <w:trPr/>
        <w:tc>
          <w:tcPr>
            <w:tcW w:w="5179" w:type="dxa"/>
            <w:tcBorders/>
            <w:shd w:fill="CCEEFF" w:val="clear"/>
            <w:vAlign w:val="center"/>
          </w:tcPr>
          <w:p>
            <w:pPr>
              <w:pStyle w:val="TableContents"/>
              <w:spacing w:before="0" w:after="0"/>
              <w:ind w:left="0" w:right="0" w:firstLine="360"/>
              <w:rPr>
                <w:rFonts w:ascii="times new roman" w:hAnsi="times new roman"/>
                <w:sz w:val="20"/>
              </w:rPr>
            </w:pPr>
            <w:r>
              <w:rPr>
                <w:rFonts w:ascii="times new roman" w:hAnsi="times new roman"/>
                <w:sz w:val="20"/>
              </w:rPr>
              <w:t>Direct and assumed:</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8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890" w:type="dxa"/>
            <w:tcBorders/>
            <w:shd w:fill="CCEEFF" w:val="clear"/>
            <w:vAlign w:val="center"/>
          </w:tcPr>
          <w:p>
            <w:pPr>
              <w:pStyle w:val="TableContents"/>
              <w:spacing w:before="0" w:after="0"/>
              <w:ind w:left="0" w:right="0" w:hanging="0"/>
              <w:rPr/>
            </w:pPr>
            <w:r>
              <w:rPr/>
              <w:t> </w:t>
            </w:r>
          </w:p>
        </w:tc>
        <w:tc>
          <w:tcPr>
            <w:tcW w:w="356" w:type="dxa"/>
            <w:tcBorders/>
            <w:shd w:fill="CCEEFF" w:val="clear"/>
            <w:vAlign w:val="center"/>
          </w:tcPr>
          <w:p>
            <w:pPr>
              <w:pStyle w:val="TableContents"/>
              <w:spacing w:before="0" w:after="0"/>
              <w:ind w:left="0" w:right="0" w:hanging="0"/>
              <w:rPr/>
            </w:pPr>
            <w:r>
              <w:rPr/>
              <w:t> </w:t>
            </w:r>
          </w:p>
        </w:tc>
      </w:tr>
      <w:tr>
        <w:trPr/>
        <w:tc>
          <w:tcPr>
            <w:tcW w:w="5179" w:type="dxa"/>
            <w:tcBorders/>
            <w:shd w:fill="FFFFFF" w:val="clear"/>
            <w:vAlign w:val="center"/>
          </w:tcPr>
          <w:p>
            <w:pPr>
              <w:pStyle w:val="TableContents"/>
              <w:spacing w:before="0" w:after="0"/>
              <w:ind w:left="0" w:right="0" w:firstLine="360"/>
              <w:rPr>
                <w:rFonts w:ascii="times new roman" w:hAnsi="times new roman"/>
                <w:sz w:val="20"/>
              </w:rPr>
            </w:pPr>
            <w:r>
              <w:rPr>
                <w:rFonts w:ascii="times new roman" w:hAnsi="times new roman"/>
                <w:sz w:val="20"/>
              </w:rPr>
              <w:t>Loss and loss adjustment expenses excluding the effect of catastrophes</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114,943</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87,308</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85" w:type="dxa"/>
            <w:tcBorders/>
            <w:shd w:fill="FFFFFF" w:val="clear"/>
            <w:vAlign w:val="center"/>
          </w:tcPr>
          <w:p>
            <w:pPr>
              <w:pStyle w:val="TableContents"/>
              <w:spacing w:before="0" w:after="283"/>
              <w:jc w:val="right"/>
              <w:rPr/>
            </w:pPr>
            <w:r>
              <w:rPr/>
              <w:t>27,635</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890" w:type="dxa"/>
            <w:tcBorders/>
            <w:shd w:fill="FFFFFF" w:val="clear"/>
            <w:vAlign w:val="center"/>
          </w:tcPr>
          <w:p>
            <w:pPr>
              <w:pStyle w:val="TableContents"/>
              <w:spacing w:before="0" w:after="283"/>
              <w:jc w:val="right"/>
              <w:rPr/>
            </w:pPr>
            <w:r>
              <w:rPr/>
              <w:t>31.7</w:t>
            </w:r>
          </w:p>
        </w:tc>
        <w:tc>
          <w:tcPr>
            <w:tcW w:w="356" w:type="dxa"/>
            <w:tcBorders/>
            <w:shd w:fill="FFFFFF" w:val="clear"/>
            <w:vAlign w:val="center"/>
          </w:tcPr>
          <w:p>
            <w:pPr>
              <w:pStyle w:val="TableContents"/>
              <w:spacing w:before="0" w:after="283"/>
              <w:rPr/>
            </w:pPr>
            <w:r>
              <w:rPr/>
              <w:t>%</w:t>
            </w:r>
          </w:p>
        </w:tc>
      </w:tr>
      <w:tr>
        <w:trPr/>
        <w:tc>
          <w:tcPr>
            <w:tcW w:w="5179" w:type="dxa"/>
            <w:tcBorders/>
            <w:shd w:fill="CCEEFF" w:val="clear"/>
            <w:vAlign w:val="center"/>
          </w:tcPr>
          <w:p>
            <w:pPr>
              <w:pStyle w:val="TableContents"/>
              <w:spacing w:before="0" w:after="0"/>
              <w:ind w:left="0" w:right="0" w:firstLine="360"/>
              <w:rPr>
                <w:rFonts w:ascii="times new roman" w:hAnsi="times new roman"/>
                <w:sz w:val="20"/>
              </w:rPr>
            </w:pPr>
            <w:r>
              <w:rPr>
                <w:rFonts w:ascii="times new roman" w:hAnsi="times new roman"/>
                <w:sz w:val="20"/>
              </w:rPr>
              <w:t>Losses from catastrophes (2)</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CCEEFF" w:val="clear"/>
            <w:tcMar>
              <w:bottom w:w="28" w:type="dxa"/>
            </w:tcMar>
            <w:vAlign w:val="center"/>
          </w:tcPr>
          <w:p>
            <w:pPr>
              <w:pStyle w:val="TableContents"/>
              <w:spacing w:before="0" w:after="283"/>
              <w:jc w:val="right"/>
              <w:rPr/>
            </w:pPr>
            <w:r>
              <w:rPr/>
              <w:t>13,106</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CCEEFF" w:val="clear"/>
            <w:tcMar>
              <w:bottom w:w="28" w:type="dxa"/>
            </w:tcMar>
            <w:vAlign w:val="center"/>
          </w:tcPr>
          <w:p>
            <w:pPr>
              <w:pStyle w:val="TableContents"/>
              <w:spacing w:before="0" w:after="283"/>
              <w:jc w:val="right"/>
              <w:rPr/>
            </w:pPr>
            <w:r>
              <w:rPr/>
              <w:t>15,632</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5" w:type="dxa"/>
            <w:tcBorders>
              <w:bottom w:val="single" w:sz="2" w:space="0" w:color="000000"/>
            </w:tcBorders>
            <w:shd w:fill="CCEEFF" w:val="clear"/>
            <w:tcMar>
              <w:bottom w:w="28" w:type="dxa"/>
            </w:tcMar>
            <w:vAlign w:val="center"/>
          </w:tcPr>
          <w:p>
            <w:pPr>
              <w:pStyle w:val="TableContents"/>
              <w:spacing w:before="0" w:after="283"/>
              <w:jc w:val="right"/>
              <w:rPr/>
            </w:pPr>
            <w:r>
              <w:rPr/>
              <w:t>(2,526</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890" w:type="dxa"/>
            <w:tcBorders/>
            <w:shd w:fill="CCEEFF" w:val="clear"/>
            <w:vAlign w:val="center"/>
          </w:tcPr>
          <w:p>
            <w:pPr>
              <w:pStyle w:val="TableContents"/>
              <w:spacing w:before="0" w:after="283"/>
              <w:jc w:val="right"/>
              <w:rPr/>
            </w:pPr>
            <w:r>
              <w:rPr/>
              <w:t>(16.2</w:t>
            </w:r>
          </w:p>
        </w:tc>
        <w:tc>
          <w:tcPr>
            <w:tcW w:w="356" w:type="dxa"/>
            <w:tcBorders/>
            <w:shd w:fill="CCEEFF" w:val="clear"/>
            <w:vAlign w:val="center"/>
          </w:tcPr>
          <w:p>
            <w:pPr>
              <w:pStyle w:val="TableContents"/>
              <w:spacing w:before="0" w:after="283"/>
              <w:rPr/>
            </w:pPr>
            <w:r>
              <w:rPr/>
              <w:t>)%</w:t>
            </w:r>
          </w:p>
        </w:tc>
      </w:tr>
      <w:tr>
        <w:trPr/>
        <w:tc>
          <w:tcPr>
            <w:tcW w:w="5179" w:type="dxa"/>
            <w:tcBorders/>
            <w:shd w:fill="FFFFFF" w:val="clear"/>
            <w:vAlign w:val="center"/>
          </w:tcPr>
          <w:p>
            <w:pPr>
              <w:pStyle w:val="TableContents"/>
              <w:spacing w:before="0" w:after="0"/>
              <w:ind w:left="0" w:right="0" w:firstLine="360"/>
              <w:rPr>
                <w:rFonts w:ascii="times new roman" w:hAnsi="times new roman"/>
                <w:sz w:val="20"/>
              </w:rPr>
            </w:pPr>
            <w:r>
              <w:rPr>
                <w:rFonts w:ascii="times new roman" w:hAnsi="times new roman"/>
                <w:sz w:val="20"/>
              </w:rPr>
              <w:t>Total direct and assumed loss and loss adjustment expenses</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128,048</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102,940</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85" w:type="dxa"/>
            <w:tcBorders>
              <w:bottom w:val="single" w:sz="2" w:space="0" w:color="000000"/>
            </w:tcBorders>
            <w:shd w:fill="FFFFFF" w:val="clear"/>
            <w:tcMar>
              <w:bottom w:w="28" w:type="dxa"/>
            </w:tcMar>
            <w:vAlign w:val="center"/>
          </w:tcPr>
          <w:p>
            <w:pPr>
              <w:pStyle w:val="TableContents"/>
              <w:spacing w:before="0" w:after="283"/>
              <w:jc w:val="right"/>
              <w:rPr/>
            </w:pPr>
            <w:r>
              <w:rPr/>
              <w:t>25,109</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890" w:type="dxa"/>
            <w:tcBorders/>
            <w:shd w:fill="FFFFFF" w:val="clear"/>
            <w:vAlign w:val="center"/>
          </w:tcPr>
          <w:p>
            <w:pPr>
              <w:pStyle w:val="TableContents"/>
              <w:spacing w:before="0" w:after="283"/>
              <w:jc w:val="right"/>
              <w:rPr/>
            </w:pPr>
            <w:r>
              <w:rPr/>
              <w:t>24.4</w:t>
            </w:r>
          </w:p>
        </w:tc>
        <w:tc>
          <w:tcPr>
            <w:tcW w:w="356" w:type="dxa"/>
            <w:tcBorders/>
            <w:shd w:fill="FFFFFF" w:val="clear"/>
            <w:vAlign w:val="center"/>
          </w:tcPr>
          <w:p>
            <w:pPr>
              <w:pStyle w:val="TableContents"/>
              <w:spacing w:before="0" w:after="283"/>
              <w:rPr/>
            </w:pPr>
            <w:r>
              <w:rPr/>
              <w:t>%</w:t>
            </w:r>
          </w:p>
        </w:tc>
      </w:tr>
      <w:tr>
        <w:trPr/>
        <w:tc>
          <w:tcPr>
            <w:tcW w:w="5179"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8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890" w:type="dxa"/>
            <w:tcBorders/>
            <w:shd w:fill="CCEEFF" w:val="clear"/>
            <w:vAlign w:val="center"/>
          </w:tcPr>
          <w:p>
            <w:pPr>
              <w:pStyle w:val="TableContents"/>
              <w:spacing w:before="0" w:after="0"/>
              <w:ind w:left="0" w:right="0" w:hanging="0"/>
              <w:rPr/>
            </w:pPr>
            <w:r>
              <w:rPr/>
              <w:t> </w:t>
            </w:r>
          </w:p>
        </w:tc>
        <w:tc>
          <w:tcPr>
            <w:tcW w:w="356" w:type="dxa"/>
            <w:tcBorders/>
            <w:shd w:fill="CCEEFF" w:val="clear"/>
            <w:vAlign w:val="center"/>
          </w:tcPr>
          <w:p>
            <w:pPr>
              <w:pStyle w:val="TableContents"/>
              <w:spacing w:before="0" w:after="0"/>
              <w:ind w:left="0" w:right="0" w:hanging="0"/>
              <w:rPr/>
            </w:pPr>
            <w:r>
              <w:rPr/>
              <w:t> </w:t>
            </w:r>
          </w:p>
        </w:tc>
      </w:tr>
      <w:tr>
        <w:trPr/>
        <w:tc>
          <w:tcPr>
            <w:tcW w:w="5179" w:type="dxa"/>
            <w:tcBorders/>
            <w:shd w:fill="FFFFFF" w:val="clear"/>
            <w:vAlign w:val="center"/>
          </w:tcPr>
          <w:p>
            <w:pPr>
              <w:pStyle w:val="TableContents"/>
              <w:spacing w:before="0" w:after="0"/>
              <w:ind w:left="0" w:right="0" w:firstLine="360"/>
              <w:rPr>
                <w:rFonts w:ascii="times new roman" w:hAnsi="times new roman"/>
                <w:sz w:val="20"/>
              </w:rPr>
            </w:pPr>
            <w:r>
              <w:rPr>
                <w:rFonts w:ascii="times new roman" w:hAnsi="times new roman"/>
                <w:sz w:val="20"/>
              </w:rPr>
              <w:t>Ceded loss and loss adjustment expenses:</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8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890" w:type="dxa"/>
            <w:tcBorders/>
            <w:shd w:fill="FFFFFF" w:val="clear"/>
            <w:vAlign w:val="center"/>
          </w:tcPr>
          <w:p>
            <w:pPr>
              <w:pStyle w:val="TableContents"/>
              <w:spacing w:before="0" w:after="0"/>
              <w:ind w:left="0" w:right="0" w:hanging="0"/>
              <w:rPr/>
            </w:pPr>
            <w:r>
              <w:rPr/>
              <w:t> </w:t>
            </w:r>
          </w:p>
        </w:tc>
        <w:tc>
          <w:tcPr>
            <w:tcW w:w="356" w:type="dxa"/>
            <w:tcBorders/>
            <w:shd w:fill="FFFFFF" w:val="clear"/>
            <w:vAlign w:val="center"/>
          </w:tcPr>
          <w:p>
            <w:pPr>
              <w:pStyle w:val="TableContents"/>
              <w:spacing w:before="0" w:after="0"/>
              <w:ind w:left="0" w:right="0" w:hanging="0"/>
              <w:rPr/>
            </w:pPr>
            <w:r>
              <w:rPr/>
              <w:t> </w:t>
            </w:r>
          </w:p>
        </w:tc>
      </w:tr>
      <w:tr>
        <w:trPr/>
        <w:tc>
          <w:tcPr>
            <w:tcW w:w="5179" w:type="dxa"/>
            <w:tcBorders/>
            <w:shd w:fill="CCEEFF" w:val="clear"/>
            <w:vAlign w:val="center"/>
          </w:tcPr>
          <w:p>
            <w:pPr>
              <w:pStyle w:val="TableContents"/>
              <w:spacing w:before="0" w:after="0"/>
              <w:ind w:left="0" w:right="0" w:firstLine="360"/>
              <w:rPr>
                <w:rFonts w:ascii="times new roman" w:hAnsi="times new roman"/>
                <w:sz w:val="20"/>
              </w:rPr>
            </w:pPr>
            <w:r>
              <w:rPr>
                <w:rFonts w:ascii="times new roman" w:hAnsi="times new roman"/>
                <w:sz w:val="20"/>
              </w:rPr>
              <w:t>Loss and loss adjustment expenses excluding the effect of catastrophes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34,185</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155</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85" w:type="dxa"/>
            <w:tcBorders/>
            <w:shd w:fill="CCEEFF" w:val="clear"/>
            <w:vAlign w:val="center"/>
          </w:tcPr>
          <w:p>
            <w:pPr>
              <w:pStyle w:val="TableContents"/>
              <w:spacing w:before="0" w:after="283"/>
              <w:jc w:val="right"/>
              <w:rPr/>
            </w:pPr>
            <w:r>
              <w:rPr/>
              <w:t>34,030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890" w:type="dxa"/>
            <w:tcBorders/>
            <w:shd w:fill="CCEEFF" w:val="clear"/>
            <w:vAlign w:val="center"/>
          </w:tcPr>
          <w:p>
            <w:pPr>
              <w:pStyle w:val="TableContents"/>
              <w:spacing w:before="0" w:after="283"/>
              <w:jc w:val="right"/>
              <w:rPr/>
            </w:pPr>
            <w:r>
              <w:rPr/>
              <w:t>21,954.8</w:t>
            </w:r>
          </w:p>
        </w:tc>
        <w:tc>
          <w:tcPr>
            <w:tcW w:w="356" w:type="dxa"/>
            <w:tcBorders/>
            <w:shd w:fill="CCEEFF" w:val="clear"/>
            <w:vAlign w:val="center"/>
          </w:tcPr>
          <w:p>
            <w:pPr>
              <w:pStyle w:val="TableContents"/>
              <w:spacing w:before="0" w:after="283"/>
              <w:rPr/>
            </w:pPr>
            <w:r>
              <w:rPr/>
              <w:t>%</w:t>
            </w:r>
          </w:p>
        </w:tc>
      </w:tr>
      <w:tr>
        <w:trPr/>
        <w:tc>
          <w:tcPr>
            <w:tcW w:w="5179" w:type="dxa"/>
            <w:tcBorders/>
            <w:shd w:fill="FFFFFF" w:val="clear"/>
            <w:vAlign w:val="center"/>
          </w:tcPr>
          <w:p>
            <w:pPr>
              <w:pStyle w:val="TableContents"/>
              <w:spacing w:before="0" w:after="0"/>
              <w:ind w:left="0" w:right="0" w:firstLine="360"/>
              <w:rPr>
                <w:rFonts w:ascii="times new roman" w:hAnsi="times new roman"/>
                <w:sz w:val="20"/>
              </w:rPr>
            </w:pPr>
            <w:r>
              <w:rPr>
                <w:rFonts w:ascii="times new roman" w:hAnsi="times new roman"/>
                <w:sz w:val="20"/>
              </w:rPr>
              <w:t>Losses from catastrophes (2)</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5,474</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813</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85" w:type="dxa"/>
            <w:tcBorders>
              <w:bottom w:val="single" w:sz="2" w:space="0" w:color="000000"/>
            </w:tcBorders>
            <w:shd w:fill="FFFFFF" w:val="clear"/>
            <w:tcMar>
              <w:bottom w:w="28" w:type="dxa"/>
            </w:tcMar>
            <w:vAlign w:val="center"/>
          </w:tcPr>
          <w:p>
            <w:pPr>
              <w:pStyle w:val="TableContents"/>
              <w:spacing w:before="0" w:after="283"/>
              <w:jc w:val="right"/>
              <w:rPr/>
            </w:pPr>
            <w:r>
              <w:rPr/>
              <w:t>4,661</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890" w:type="dxa"/>
            <w:tcBorders/>
            <w:shd w:fill="FFFFFF" w:val="clear"/>
            <w:vAlign w:val="center"/>
          </w:tcPr>
          <w:p>
            <w:pPr>
              <w:pStyle w:val="TableContents"/>
              <w:spacing w:before="0" w:after="283"/>
              <w:jc w:val="right"/>
              <w:rPr/>
            </w:pPr>
            <w:r>
              <w:rPr/>
              <w:t>573.3</w:t>
            </w:r>
          </w:p>
        </w:tc>
        <w:tc>
          <w:tcPr>
            <w:tcW w:w="356" w:type="dxa"/>
            <w:tcBorders/>
            <w:shd w:fill="FFFFFF" w:val="clear"/>
            <w:vAlign w:val="center"/>
          </w:tcPr>
          <w:p>
            <w:pPr>
              <w:pStyle w:val="TableContents"/>
              <w:spacing w:before="0" w:after="283"/>
              <w:rPr/>
            </w:pPr>
            <w:r>
              <w:rPr/>
              <w:t>%</w:t>
            </w:r>
          </w:p>
        </w:tc>
      </w:tr>
      <w:tr>
        <w:trPr/>
        <w:tc>
          <w:tcPr>
            <w:tcW w:w="5179" w:type="dxa"/>
            <w:tcBorders/>
            <w:shd w:fill="CCEEFF" w:val="clear"/>
            <w:vAlign w:val="center"/>
          </w:tcPr>
          <w:p>
            <w:pPr>
              <w:pStyle w:val="TableContents"/>
              <w:spacing w:before="0" w:after="0"/>
              <w:ind w:left="0" w:right="0" w:firstLine="360"/>
              <w:rPr>
                <w:rFonts w:ascii="times new roman" w:hAnsi="times new roman"/>
                <w:sz w:val="20"/>
              </w:rPr>
            </w:pPr>
            <w:r>
              <w:rPr>
                <w:rFonts w:ascii="times new roman" w:hAnsi="times new roman"/>
                <w:sz w:val="20"/>
              </w:rPr>
              <w:t>Total ceded loss and loss adjustment expenses</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CCEEFF" w:val="clear"/>
            <w:tcMar>
              <w:bottom w:w="28" w:type="dxa"/>
            </w:tcMar>
            <w:vAlign w:val="center"/>
          </w:tcPr>
          <w:p>
            <w:pPr>
              <w:pStyle w:val="TableContents"/>
              <w:spacing w:before="0" w:after="283"/>
              <w:jc w:val="right"/>
              <w:rPr/>
            </w:pPr>
            <w:r>
              <w:rPr/>
              <w:t>39,658</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CCEEFF" w:val="clear"/>
            <w:tcMar>
              <w:bottom w:w="28" w:type="dxa"/>
            </w:tcMar>
            <w:vAlign w:val="center"/>
          </w:tcPr>
          <w:p>
            <w:pPr>
              <w:pStyle w:val="TableContents"/>
              <w:spacing w:before="0" w:after="283"/>
              <w:jc w:val="right"/>
              <w:rPr/>
            </w:pPr>
            <w:r>
              <w:rPr/>
              <w:t>968</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5" w:type="dxa"/>
            <w:tcBorders>
              <w:bottom w:val="single" w:sz="2" w:space="0" w:color="000000"/>
            </w:tcBorders>
            <w:shd w:fill="CCEEFF" w:val="clear"/>
            <w:tcMar>
              <w:bottom w:w="28" w:type="dxa"/>
            </w:tcMar>
            <w:vAlign w:val="center"/>
          </w:tcPr>
          <w:p>
            <w:pPr>
              <w:pStyle w:val="TableContents"/>
              <w:spacing w:before="0" w:after="283"/>
              <w:jc w:val="right"/>
              <w:rPr/>
            </w:pPr>
            <w:r>
              <w:rPr/>
              <w:t>38,691</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890" w:type="dxa"/>
            <w:tcBorders/>
            <w:shd w:fill="CCEEFF" w:val="clear"/>
            <w:vAlign w:val="center"/>
          </w:tcPr>
          <w:p>
            <w:pPr>
              <w:pStyle w:val="TableContents"/>
              <w:spacing w:before="0" w:after="283"/>
              <w:jc w:val="right"/>
              <w:rPr/>
            </w:pPr>
            <w:r>
              <w:rPr/>
              <w:t>3,996.9</w:t>
            </w:r>
          </w:p>
        </w:tc>
        <w:tc>
          <w:tcPr>
            <w:tcW w:w="356" w:type="dxa"/>
            <w:tcBorders/>
            <w:shd w:fill="CCEEFF" w:val="clear"/>
            <w:vAlign w:val="center"/>
          </w:tcPr>
          <w:p>
            <w:pPr>
              <w:pStyle w:val="TableContents"/>
              <w:spacing w:before="0" w:after="283"/>
              <w:rPr/>
            </w:pPr>
            <w:r>
              <w:rPr/>
              <w:t>%</w:t>
            </w:r>
          </w:p>
        </w:tc>
      </w:tr>
      <w:tr>
        <w:trPr/>
        <w:tc>
          <w:tcPr>
            <w:tcW w:w="5179"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8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890" w:type="dxa"/>
            <w:tcBorders/>
            <w:shd w:fill="FFFFFF" w:val="clear"/>
            <w:vAlign w:val="center"/>
          </w:tcPr>
          <w:p>
            <w:pPr>
              <w:pStyle w:val="TableContents"/>
              <w:spacing w:before="0" w:after="0"/>
              <w:ind w:left="0" w:right="0" w:hanging="0"/>
              <w:rPr/>
            </w:pPr>
            <w:r>
              <w:rPr/>
              <w:t> </w:t>
            </w:r>
          </w:p>
        </w:tc>
        <w:tc>
          <w:tcPr>
            <w:tcW w:w="356" w:type="dxa"/>
            <w:tcBorders/>
            <w:shd w:fill="FFFFFF" w:val="clear"/>
            <w:vAlign w:val="center"/>
          </w:tcPr>
          <w:p>
            <w:pPr>
              <w:pStyle w:val="TableContents"/>
              <w:spacing w:before="0" w:after="0"/>
              <w:ind w:left="0" w:right="0" w:hanging="0"/>
              <w:rPr/>
            </w:pPr>
            <w:r>
              <w:rPr/>
              <w:t> </w:t>
            </w:r>
          </w:p>
        </w:tc>
      </w:tr>
      <w:tr>
        <w:trPr/>
        <w:tc>
          <w:tcPr>
            <w:tcW w:w="5179" w:type="dxa"/>
            <w:tcBorders/>
            <w:shd w:fill="CCEEFF" w:val="clear"/>
            <w:vAlign w:val="center"/>
          </w:tcPr>
          <w:p>
            <w:pPr>
              <w:pStyle w:val="TableContents"/>
              <w:spacing w:before="0" w:after="0"/>
              <w:ind w:left="0" w:right="0" w:firstLine="360"/>
              <w:rPr>
                <w:rFonts w:ascii="times new roman" w:hAnsi="times new roman"/>
                <w:sz w:val="20"/>
              </w:rPr>
            </w:pPr>
            <w:r>
              <w:rPr>
                <w:rFonts w:ascii="times new roman" w:hAnsi="times new roman"/>
                <w:sz w:val="20"/>
              </w:rPr>
              <w:t>Net loss and loss adjustment expenses: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8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890" w:type="dxa"/>
            <w:tcBorders/>
            <w:shd w:fill="CCEEFF" w:val="clear"/>
            <w:vAlign w:val="center"/>
          </w:tcPr>
          <w:p>
            <w:pPr>
              <w:pStyle w:val="TableContents"/>
              <w:spacing w:before="0" w:after="0"/>
              <w:ind w:left="0" w:right="0" w:hanging="0"/>
              <w:rPr/>
            </w:pPr>
            <w:r>
              <w:rPr/>
              <w:t> </w:t>
            </w:r>
          </w:p>
        </w:tc>
        <w:tc>
          <w:tcPr>
            <w:tcW w:w="356" w:type="dxa"/>
            <w:tcBorders/>
            <w:shd w:fill="CCEEFF" w:val="clear"/>
            <w:vAlign w:val="center"/>
          </w:tcPr>
          <w:p>
            <w:pPr>
              <w:pStyle w:val="TableContents"/>
              <w:spacing w:before="0" w:after="0"/>
              <w:ind w:left="0" w:right="0" w:hanging="0"/>
              <w:rPr/>
            </w:pPr>
            <w:r>
              <w:rPr/>
              <w:t> </w:t>
            </w:r>
          </w:p>
        </w:tc>
      </w:tr>
      <w:tr>
        <w:trPr/>
        <w:tc>
          <w:tcPr>
            <w:tcW w:w="5179" w:type="dxa"/>
            <w:tcBorders/>
            <w:shd w:fill="FFFFFF" w:val="clear"/>
            <w:vAlign w:val="center"/>
          </w:tcPr>
          <w:p>
            <w:pPr>
              <w:pStyle w:val="TableContents"/>
              <w:spacing w:before="0" w:after="0"/>
              <w:ind w:left="0" w:right="0" w:firstLine="360"/>
              <w:rPr>
                <w:rFonts w:ascii="times new roman" w:hAnsi="times new roman"/>
                <w:sz w:val="20"/>
              </w:rPr>
            </w:pPr>
            <w:r>
              <w:rPr>
                <w:rFonts w:ascii="times new roman" w:hAnsi="times new roman"/>
                <w:sz w:val="20"/>
              </w:rPr>
              <w:t>Loss and loss adjustment expenses excluding the effect of catastrophes</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80,758</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87,153</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85" w:type="dxa"/>
            <w:tcBorders/>
            <w:shd w:fill="FFFFFF" w:val="clear"/>
            <w:vAlign w:val="center"/>
          </w:tcPr>
          <w:p>
            <w:pPr>
              <w:pStyle w:val="TableContents"/>
              <w:spacing w:before="0" w:after="283"/>
              <w:jc w:val="right"/>
              <w:rPr/>
            </w:pPr>
            <w:r>
              <w:rPr/>
              <w:t>(6,395</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890" w:type="dxa"/>
            <w:tcBorders/>
            <w:shd w:fill="FFFFFF" w:val="clear"/>
            <w:vAlign w:val="center"/>
          </w:tcPr>
          <w:p>
            <w:pPr>
              <w:pStyle w:val="TableContents"/>
              <w:spacing w:before="0" w:after="283"/>
              <w:jc w:val="right"/>
              <w:rPr/>
            </w:pPr>
            <w:r>
              <w:rPr/>
              <w:t>(7.3</w:t>
            </w:r>
          </w:p>
        </w:tc>
        <w:tc>
          <w:tcPr>
            <w:tcW w:w="356" w:type="dxa"/>
            <w:tcBorders/>
            <w:shd w:fill="FFFFFF" w:val="clear"/>
            <w:vAlign w:val="center"/>
          </w:tcPr>
          <w:p>
            <w:pPr>
              <w:pStyle w:val="TableContents"/>
              <w:spacing w:before="0" w:after="283"/>
              <w:rPr/>
            </w:pPr>
            <w:r>
              <w:rPr/>
              <w:t>)%</w:t>
            </w:r>
          </w:p>
        </w:tc>
      </w:tr>
      <w:tr>
        <w:trPr/>
        <w:tc>
          <w:tcPr>
            <w:tcW w:w="5179" w:type="dxa"/>
            <w:tcBorders/>
            <w:shd w:fill="CCEEFF" w:val="clear"/>
            <w:vAlign w:val="center"/>
          </w:tcPr>
          <w:p>
            <w:pPr>
              <w:pStyle w:val="TableContents"/>
              <w:spacing w:before="0" w:after="0"/>
              <w:ind w:left="0" w:right="0" w:firstLine="360"/>
              <w:rPr>
                <w:rFonts w:ascii="times new roman" w:hAnsi="times new roman"/>
                <w:sz w:val="20"/>
              </w:rPr>
            </w:pPr>
            <w:r>
              <w:rPr>
                <w:rFonts w:ascii="times new roman" w:hAnsi="times new roman"/>
                <w:sz w:val="20"/>
              </w:rPr>
              <w:t>Losses from catastrophes (2)</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CCEEFF" w:val="clear"/>
            <w:tcMar>
              <w:bottom w:w="28" w:type="dxa"/>
            </w:tcMar>
            <w:vAlign w:val="center"/>
          </w:tcPr>
          <w:p>
            <w:pPr>
              <w:pStyle w:val="TableContents"/>
              <w:spacing w:before="0" w:after="283"/>
              <w:jc w:val="right"/>
              <w:rPr/>
            </w:pPr>
            <w:r>
              <w:rPr/>
              <w:t>7,632</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CCEEFF" w:val="clear"/>
            <w:tcMar>
              <w:bottom w:w="28" w:type="dxa"/>
            </w:tcMar>
            <w:vAlign w:val="center"/>
          </w:tcPr>
          <w:p>
            <w:pPr>
              <w:pStyle w:val="TableContents"/>
              <w:spacing w:before="0" w:after="283"/>
              <w:jc w:val="right"/>
              <w:rPr/>
            </w:pPr>
            <w:r>
              <w:rPr/>
              <w:t>14,819</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5" w:type="dxa"/>
            <w:tcBorders>
              <w:bottom w:val="single" w:sz="2" w:space="0" w:color="000000"/>
            </w:tcBorders>
            <w:shd w:fill="CCEEFF" w:val="clear"/>
            <w:tcMar>
              <w:bottom w:w="28" w:type="dxa"/>
            </w:tcMar>
            <w:vAlign w:val="center"/>
          </w:tcPr>
          <w:p>
            <w:pPr>
              <w:pStyle w:val="TableContents"/>
              <w:spacing w:before="0" w:after="283"/>
              <w:jc w:val="right"/>
              <w:rPr/>
            </w:pPr>
            <w:r>
              <w:rPr/>
              <w:t>(7,187</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890" w:type="dxa"/>
            <w:tcBorders/>
            <w:shd w:fill="CCEEFF" w:val="clear"/>
            <w:vAlign w:val="center"/>
          </w:tcPr>
          <w:p>
            <w:pPr>
              <w:pStyle w:val="TableContents"/>
              <w:spacing w:before="0" w:after="283"/>
              <w:jc w:val="right"/>
              <w:rPr/>
            </w:pPr>
            <w:r>
              <w:rPr/>
              <w:t>(48.5</w:t>
            </w:r>
          </w:p>
        </w:tc>
        <w:tc>
          <w:tcPr>
            <w:tcW w:w="356" w:type="dxa"/>
            <w:tcBorders/>
            <w:shd w:fill="CCEEFF" w:val="clear"/>
            <w:vAlign w:val="center"/>
          </w:tcPr>
          <w:p>
            <w:pPr>
              <w:pStyle w:val="TableContents"/>
              <w:spacing w:before="0" w:after="283"/>
              <w:rPr/>
            </w:pPr>
            <w:r>
              <w:rPr/>
              <w:t>)%</w:t>
            </w:r>
          </w:p>
        </w:tc>
      </w:tr>
      <w:tr>
        <w:trPr/>
        <w:tc>
          <w:tcPr>
            <w:tcW w:w="5179" w:type="dxa"/>
            <w:tcBorders/>
            <w:shd w:fill="FFFFFF" w:val="clear"/>
            <w:vAlign w:val="center"/>
          </w:tcPr>
          <w:p>
            <w:pPr>
              <w:pStyle w:val="TableContents"/>
              <w:spacing w:before="0" w:after="0"/>
              <w:ind w:left="0" w:right="0" w:firstLine="360"/>
              <w:rPr>
                <w:rFonts w:ascii="times new roman" w:hAnsi="times new roman"/>
                <w:sz w:val="20"/>
              </w:rPr>
            </w:pPr>
            <w:r>
              <w:rPr>
                <w:rFonts w:ascii="times new roman" w:hAnsi="times new roman"/>
                <w:sz w:val="20"/>
              </w:rPr>
              <w:t>Net loss and loss adjustment expenses</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88,390</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101,973</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85" w:type="dxa"/>
            <w:tcBorders>
              <w:bottom w:val="single" w:sz="2" w:space="0" w:color="000000"/>
            </w:tcBorders>
            <w:shd w:fill="FFFFFF" w:val="clear"/>
            <w:tcMar>
              <w:bottom w:w="28" w:type="dxa"/>
            </w:tcMar>
            <w:vAlign w:val="center"/>
          </w:tcPr>
          <w:p>
            <w:pPr>
              <w:pStyle w:val="TableContents"/>
              <w:spacing w:before="0" w:after="283"/>
              <w:jc w:val="right"/>
              <w:rPr/>
            </w:pPr>
            <w:r>
              <w:rPr/>
              <w:t>(13,582</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890" w:type="dxa"/>
            <w:tcBorders/>
            <w:shd w:fill="FFFFFF" w:val="clear"/>
            <w:vAlign w:val="center"/>
          </w:tcPr>
          <w:p>
            <w:pPr>
              <w:pStyle w:val="TableContents"/>
              <w:spacing w:before="0" w:after="283"/>
              <w:jc w:val="right"/>
              <w:rPr/>
            </w:pPr>
            <w:r>
              <w:rPr/>
              <w:t>(13.3</w:t>
            </w:r>
          </w:p>
        </w:tc>
        <w:tc>
          <w:tcPr>
            <w:tcW w:w="356" w:type="dxa"/>
            <w:tcBorders/>
            <w:shd w:fill="FFFFFF" w:val="clear"/>
            <w:vAlign w:val="center"/>
          </w:tcPr>
          <w:p>
            <w:pPr>
              <w:pStyle w:val="TableContents"/>
              <w:spacing w:before="0" w:after="283"/>
              <w:rPr/>
            </w:pPr>
            <w:r>
              <w:rPr/>
              <w:t>)%</w:t>
            </w:r>
          </w:p>
        </w:tc>
      </w:tr>
      <w:tr>
        <w:trPr/>
        <w:tc>
          <w:tcPr>
            <w:tcW w:w="5179"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8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890" w:type="dxa"/>
            <w:tcBorders/>
            <w:shd w:fill="CCEEFF" w:val="clear"/>
            <w:vAlign w:val="center"/>
          </w:tcPr>
          <w:p>
            <w:pPr>
              <w:pStyle w:val="TableContents"/>
              <w:spacing w:before="0" w:after="0"/>
              <w:ind w:left="0" w:right="0" w:hanging="0"/>
              <w:rPr/>
            </w:pPr>
            <w:r>
              <w:rPr/>
              <w:t> </w:t>
            </w:r>
          </w:p>
        </w:tc>
        <w:tc>
          <w:tcPr>
            <w:tcW w:w="356" w:type="dxa"/>
            <w:tcBorders/>
            <w:shd w:fill="CCEEFF" w:val="clear"/>
            <w:vAlign w:val="center"/>
          </w:tcPr>
          <w:p>
            <w:pPr>
              <w:pStyle w:val="TableContents"/>
              <w:spacing w:before="0" w:after="0"/>
              <w:ind w:left="0" w:right="0" w:hanging="0"/>
              <w:rPr/>
            </w:pPr>
            <w:r>
              <w:rPr/>
              <w:t> </w:t>
            </w:r>
          </w:p>
        </w:tc>
      </w:tr>
      <w:tr>
        <w:trPr/>
        <w:tc>
          <w:tcPr>
            <w:tcW w:w="5179"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Commission expense</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34,582</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33,114</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85" w:type="dxa"/>
            <w:tcBorders/>
            <w:shd w:fill="FFFFFF" w:val="clear"/>
            <w:vAlign w:val="center"/>
          </w:tcPr>
          <w:p>
            <w:pPr>
              <w:pStyle w:val="TableContents"/>
              <w:spacing w:before="0" w:after="283"/>
              <w:jc w:val="right"/>
              <w:rPr/>
            </w:pPr>
            <w:r>
              <w:rPr/>
              <w:t>1,468</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890" w:type="dxa"/>
            <w:tcBorders/>
            <w:shd w:fill="FFFFFF" w:val="clear"/>
            <w:vAlign w:val="center"/>
          </w:tcPr>
          <w:p>
            <w:pPr>
              <w:pStyle w:val="TableContents"/>
              <w:spacing w:before="0" w:after="283"/>
              <w:jc w:val="right"/>
              <w:rPr/>
            </w:pPr>
            <w:r>
              <w:rPr/>
              <w:t>4.4</w:t>
            </w:r>
          </w:p>
        </w:tc>
        <w:tc>
          <w:tcPr>
            <w:tcW w:w="356" w:type="dxa"/>
            <w:tcBorders/>
            <w:shd w:fill="FFFFFF" w:val="clear"/>
            <w:vAlign w:val="center"/>
          </w:tcPr>
          <w:p>
            <w:pPr>
              <w:pStyle w:val="TableContents"/>
              <w:spacing w:before="0" w:after="283"/>
              <w:rPr/>
            </w:pPr>
            <w:r>
              <w:rPr/>
              <w:t>%</w:t>
            </w:r>
          </w:p>
        </w:tc>
      </w:tr>
      <w:tr>
        <w:trPr/>
        <w:tc>
          <w:tcPr>
            <w:tcW w:w="5179" w:type="dxa"/>
            <w:tcBorders/>
            <w:shd w:fill="CCEE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Other underwriting expenses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26,697</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26,254</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85" w:type="dxa"/>
            <w:tcBorders/>
            <w:shd w:fill="CCEEFF" w:val="clear"/>
            <w:vAlign w:val="center"/>
          </w:tcPr>
          <w:p>
            <w:pPr>
              <w:pStyle w:val="TableContents"/>
              <w:spacing w:before="0" w:after="283"/>
              <w:jc w:val="right"/>
              <w:rPr/>
            </w:pPr>
            <w:r>
              <w:rPr/>
              <w:t>443</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890" w:type="dxa"/>
            <w:tcBorders/>
            <w:shd w:fill="CCEEFF" w:val="clear"/>
            <w:vAlign w:val="center"/>
          </w:tcPr>
          <w:p>
            <w:pPr>
              <w:pStyle w:val="TableContents"/>
              <w:spacing w:before="0" w:after="283"/>
              <w:jc w:val="right"/>
              <w:rPr/>
            </w:pPr>
            <w:r>
              <w:rPr/>
              <w:t>1.7</w:t>
            </w:r>
          </w:p>
        </w:tc>
        <w:tc>
          <w:tcPr>
            <w:tcW w:w="356" w:type="dxa"/>
            <w:tcBorders/>
            <w:shd w:fill="CCEEFF" w:val="clear"/>
            <w:vAlign w:val="center"/>
          </w:tcPr>
          <w:p>
            <w:pPr>
              <w:pStyle w:val="TableContents"/>
              <w:spacing w:before="0" w:after="283"/>
              <w:rPr/>
            </w:pPr>
            <w:r>
              <w:rPr/>
              <w:t>%</w:t>
            </w:r>
          </w:p>
        </w:tc>
      </w:tr>
      <w:tr>
        <w:trPr/>
        <w:tc>
          <w:tcPr>
            <w:tcW w:w="5179"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Other operating expenses</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3,113</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4,183</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85" w:type="dxa"/>
            <w:tcBorders/>
            <w:shd w:fill="FFFFFF" w:val="clear"/>
            <w:vAlign w:val="center"/>
          </w:tcPr>
          <w:p>
            <w:pPr>
              <w:pStyle w:val="TableContents"/>
              <w:spacing w:before="0" w:after="283"/>
              <w:jc w:val="right"/>
              <w:rPr/>
            </w:pPr>
            <w:r>
              <w:rPr/>
              <w:t>(1,070</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890" w:type="dxa"/>
            <w:tcBorders/>
            <w:shd w:fill="FFFFFF" w:val="clear"/>
            <w:vAlign w:val="center"/>
          </w:tcPr>
          <w:p>
            <w:pPr>
              <w:pStyle w:val="TableContents"/>
              <w:spacing w:before="0" w:after="283"/>
              <w:jc w:val="right"/>
              <w:rPr/>
            </w:pPr>
            <w:r>
              <w:rPr/>
              <w:t>(25.6</w:t>
            </w:r>
          </w:p>
        </w:tc>
        <w:tc>
          <w:tcPr>
            <w:tcW w:w="356" w:type="dxa"/>
            <w:tcBorders/>
            <w:shd w:fill="FFFFFF" w:val="clear"/>
            <w:vAlign w:val="center"/>
          </w:tcPr>
          <w:p>
            <w:pPr>
              <w:pStyle w:val="TableContents"/>
              <w:spacing w:before="0" w:after="283"/>
              <w:rPr/>
            </w:pPr>
            <w:r>
              <w:rPr/>
              <w:t>)%</w:t>
            </w:r>
          </w:p>
        </w:tc>
      </w:tr>
      <w:tr>
        <w:trPr/>
        <w:tc>
          <w:tcPr>
            <w:tcW w:w="5179" w:type="dxa"/>
            <w:tcBorders/>
            <w:shd w:fill="CCEE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Depreciation and amortization</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3,300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3,290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85" w:type="dxa"/>
            <w:tcBorders/>
            <w:shd w:fill="CCEEFF" w:val="clear"/>
            <w:vAlign w:val="center"/>
          </w:tcPr>
          <w:p>
            <w:pPr>
              <w:pStyle w:val="TableContents"/>
              <w:spacing w:before="0" w:after="283"/>
              <w:jc w:val="right"/>
              <w:rPr/>
            </w:pPr>
            <w:r>
              <w:rPr/>
              <w:t>10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890" w:type="dxa"/>
            <w:tcBorders/>
            <w:shd w:fill="CCEEFF" w:val="clear"/>
            <w:vAlign w:val="center"/>
          </w:tcPr>
          <w:p>
            <w:pPr>
              <w:pStyle w:val="TableContents"/>
              <w:spacing w:before="0" w:after="283"/>
              <w:jc w:val="right"/>
              <w:rPr/>
            </w:pPr>
            <w:r>
              <w:rPr/>
              <w:t>0.3</w:t>
            </w:r>
          </w:p>
        </w:tc>
        <w:tc>
          <w:tcPr>
            <w:tcW w:w="356" w:type="dxa"/>
            <w:tcBorders/>
            <w:shd w:fill="CCEEFF" w:val="clear"/>
            <w:vAlign w:val="center"/>
          </w:tcPr>
          <w:p>
            <w:pPr>
              <w:pStyle w:val="TableContents"/>
              <w:spacing w:before="0" w:after="283"/>
              <w:rPr/>
            </w:pPr>
            <w:r>
              <w:rPr/>
              <w:t>%</w:t>
            </w:r>
          </w:p>
        </w:tc>
      </w:tr>
      <w:tr>
        <w:trPr/>
        <w:tc>
          <w:tcPr>
            <w:tcW w:w="5179"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Interest expense</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2,019</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1,826</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85" w:type="dxa"/>
            <w:tcBorders>
              <w:bottom w:val="single" w:sz="2" w:space="0" w:color="000000"/>
            </w:tcBorders>
            <w:shd w:fill="FFFFFF" w:val="clear"/>
            <w:tcMar>
              <w:bottom w:w="28" w:type="dxa"/>
            </w:tcMar>
            <w:vAlign w:val="center"/>
          </w:tcPr>
          <w:p>
            <w:pPr>
              <w:pStyle w:val="TableContents"/>
              <w:spacing w:before="0" w:after="283"/>
              <w:jc w:val="right"/>
              <w:rPr/>
            </w:pPr>
            <w:r>
              <w:rPr/>
              <w:t>193</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890" w:type="dxa"/>
            <w:tcBorders/>
            <w:shd w:fill="FFFFFF" w:val="clear"/>
            <w:vAlign w:val="center"/>
          </w:tcPr>
          <w:p>
            <w:pPr>
              <w:pStyle w:val="TableContents"/>
              <w:spacing w:before="0" w:after="283"/>
              <w:jc w:val="right"/>
              <w:rPr/>
            </w:pPr>
            <w:r>
              <w:rPr/>
              <w:t>10.6</w:t>
            </w:r>
          </w:p>
        </w:tc>
        <w:tc>
          <w:tcPr>
            <w:tcW w:w="356" w:type="dxa"/>
            <w:tcBorders/>
            <w:shd w:fill="FFFFFF" w:val="clear"/>
            <w:vAlign w:val="center"/>
          </w:tcPr>
          <w:p>
            <w:pPr>
              <w:pStyle w:val="TableContents"/>
              <w:spacing w:before="0" w:after="283"/>
              <w:rPr/>
            </w:pPr>
            <w:r>
              <w:rPr/>
              <w:t>%</w:t>
            </w:r>
          </w:p>
        </w:tc>
      </w:tr>
      <w:tr>
        <w:trPr/>
        <w:tc>
          <w:tcPr>
            <w:tcW w:w="5179" w:type="dxa"/>
            <w:tcBorders/>
            <w:shd w:fill="CCEEFF" w:val="clear"/>
            <w:vAlign w:val="center"/>
          </w:tcPr>
          <w:p>
            <w:pPr>
              <w:pStyle w:val="TableContents"/>
              <w:spacing w:before="0" w:after="0"/>
              <w:ind w:left="0" w:right="0" w:firstLine="360"/>
              <w:rPr>
                <w:rFonts w:ascii="times new roman" w:hAnsi="times new roman"/>
                <w:sz w:val="20"/>
              </w:rPr>
            </w:pPr>
            <w:r>
              <w:rPr>
                <w:rFonts w:ascii="times new roman" w:hAnsi="times new roman"/>
                <w:sz w:val="20"/>
              </w:rPr>
              <w:t>Total expenses</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CCEEFF" w:val="clear"/>
            <w:tcMar>
              <w:bottom w:w="28" w:type="dxa"/>
            </w:tcMar>
            <w:vAlign w:val="center"/>
          </w:tcPr>
          <w:p>
            <w:pPr>
              <w:pStyle w:val="TableContents"/>
              <w:spacing w:before="0" w:after="283"/>
              <w:jc w:val="right"/>
              <w:rPr/>
            </w:pPr>
            <w:r>
              <w:rPr/>
              <w:t>158,102</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CCEEFF" w:val="clear"/>
            <w:tcMar>
              <w:bottom w:w="28" w:type="dxa"/>
            </w:tcMar>
            <w:vAlign w:val="center"/>
          </w:tcPr>
          <w:p>
            <w:pPr>
              <w:pStyle w:val="TableContents"/>
              <w:spacing w:before="0" w:after="283"/>
              <w:jc w:val="right"/>
              <w:rPr/>
            </w:pPr>
            <w:r>
              <w:rPr/>
              <w:t>170,640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5" w:type="dxa"/>
            <w:tcBorders>
              <w:bottom w:val="single" w:sz="2" w:space="0" w:color="000000"/>
            </w:tcBorders>
            <w:shd w:fill="CCEEFF" w:val="clear"/>
            <w:tcMar>
              <w:bottom w:w="28" w:type="dxa"/>
            </w:tcMar>
            <w:vAlign w:val="center"/>
          </w:tcPr>
          <w:p>
            <w:pPr>
              <w:pStyle w:val="TableContents"/>
              <w:spacing w:before="0" w:after="283"/>
              <w:jc w:val="right"/>
              <w:rPr/>
            </w:pPr>
            <w:r>
              <w:rPr/>
              <w:t>(12,538</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890" w:type="dxa"/>
            <w:tcBorders/>
            <w:shd w:fill="CCEEFF" w:val="clear"/>
            <w:vAlign w:val="center"/>
          </w:tcPr>
          <w:p>
            <w:pPr>
              <w:pStyle w:val="TableContents"/>
              <w:spacing w:before="0" w:after="283"/>
              <w:jc w:val="right"/>
              <w:rPr/>
            </w:pPr>
            <w:r>
              <w:rPr/>
              <w:t>(7.3</w:t>
            </w:r>
          </w:p>
        </w:tc>
        <w:tc>
          <w:tcPr>
            <w:tcW w:w="356" w:type="dxa"/>
            <w:tcBorders/>
            <w:shd w:fill="CCEEFF" w:val="clear"/>
            <w:vAlign w:val="center"/>
          </w:tcPr>
          <w:p>
            <w:pPr>
              <w:pStyle w:val="TableContents"/>
              <w:spacing w:before="0" w:after="283"/>
              <w:rPr/>
            </w:pPr>
            <w:r>
              <w:rPr/>
              <w:t>)%</w:t>
            </w:r>
          </w:p>
        </w:tc>
      </w:tr>
      <w:tr>
        <w:trPr/>
        <w:tc>
          <w:tcPr>
            <w:tcW w:w="5179"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8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890" w:type="dxa"/>
            <w:tcBorders/>
            <w:shd w:fill="FFFFFF" w:val="clear"/>
            <w:vAlign w:val="center"/>
          </w:tcPr>
          <w:p>
            <w:pPr>
              <w:pStyle w:val="TableContents"/>
              <w:spacing w:before="0" w:after="0"/>
              <w:ind w:left="0" w:right="0" w:hanging="0"/>
              <w:rPr/>
            </w:pPr>
            <w:r>
              <w:rPr/>
              <w:t> </w:t>
            </w:r>
          </w:p>
        </w:tc>
        <w:tc>
          <w:tcPr>
            <w:tcW w:w="356" w:type="dxa"/>
            <w:tcBorders/>
            <w:shd w:fill="FFFFFF" w:val="clear"/>
            <w:vAlign w:val="center"/>
          </w:tcPr>
          <w:p>
            <w:pPr>
              <w:pStyle w:val="TableContents"/>
              <w:spacing w:before="0" w:after="0"/>
              <w:ind w:left="0" w:right="0" w:hanging="0"/>
              <w:rPr/>
            </w:pPr>
            <w:r>
              <w:rPr/>
              <w:t> </w:t>
            </w:r>
          </w:p>
        </w:tc>
      </w:tr>
      <w:tr>
        <w:trPr/>
        <w:tc>
          <w:tcPr>
            <w:tcW w:w="5179" w:type="dxa"/>
            <w:tcBorders/>
            <w:shd w:fill="CCEE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Loss before taxes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(27,942</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(9,409</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85" w:type="dxa"/>
            <w:tcBorders/>
            <w:shd w:fill="CCEEFF" w:val="clear"/>
            <w:vAlign w:val="center"/>
          </w:tcPr>
          <w:p>
            <w:pPr>
              <w:pStyle w:val="TableContents"/>
              <w:spacing w:before="0" w:after="283"/>
              <w:jc w:val="right"/>
              <w:rPr/>
            </w:pPr>
            <w:r>
              <w:rPr/>
              <w:t>(18,533</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890" w:type="dxa"/>
            <w:tcBorders/>
            <w:shd w:fill="CCEEFF" w:val="clear"/>
            <w:vAlign w:val="center"/>
          </w:tcPr>
          <w:p>
            <w:pPr>
              <w:pStyle w:val="TableContents"/>
              <w:spacing w:before="0" w:after="283"/>
              <w:jc w:val="right"/>
              <w:rPr/>
            </w:pPr>
            <w:r>
              <w:rPr/>
              <w:t>(197.0</w:t>
            </w:r>
          </w:p>
        </w:tc>
        <w:tc>
          <w:tcPr>
            <w:tcW w:w="356" w:type="dxa"/>
            <w:tcBorders/>
            <w:shd w:fill="CCEEFF" w:val="clear"/>
            <w:vAlign w:val="center"/>
          </w:tcPr>
          <w:p>
            <w:pPr>
              <w:pStyle w:val="TableContents"/>
              <w:spacing w:before="0" w:after="283"/>
              <w:rPr/>
            </w:pPr>
            <w:r>
              <w:rPr/>
              <w:t>)%</w:t>
            </w:r>
          </w:p>
        </w:tc>
      </w:tr>
      <w:tr>
        <w:trPr/>
        <w:tc>
          <w:tcPr>
            <w:tcW w:w="5179"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Income tax benefit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(5,418</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(2,031</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85" w:type="dxa"/>
            <w:tcBorders>
              <w:bottom w:val="single" w:sz="2" w:space="0" w:color="000000"/>
            </w:tcBorders>
            <w:shd w:fill="FFFFFF" w:val="clear"/>
            <w:tcMar>
              <w:bottom w:w="28" w:type="dxa"/>
            </w:tcMar>
            <w:vAlign w:val="center"/>
          </w:tcPr>
          <w:p>
            <w:pPr>
              <w:pStyle w:val="TableContents"/>
              <w:spacing w:before="0" w:after="283"/>
              <w:jc w:val="right"/>
              <w:rPr/>
            </w:pPr>
            <w:r>
              <w:rPr/>
              <w:t>(3,387</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890" w:type="dxa"/>
            <w:tcBorders/>
            <w:shd w:fill="FFFFFF" w:val="clear"/>
            <w:vAlign w:val="center"/>
          </w:tcPr>
          <w:p>
            <w:pPr>
              <w:pStyle w:val="TableContents"/>
              <w:spacing w:before="0" w:after="283"/>
              <w:jc w:val="right"/>
              <w:rPr/>
            </w:pPr>
            <w:r>
              <w:rPr/>
              <w:t>(166.8</w:t>
            </w:r>
          </w:p>
        </w:tc>
        <w:tc>
          <w:tcPr>
            <w:tcW w:w="356" w:type="dxa"/>
            <w:tcBorders/>
            <w:shd w:fill="FFFFFF" w:val="clear"/>
            <w:vAlign w:val="center"/>
          </w:tcPr>
          <w:p>
            <w:pPr>
              <w:pStyle w:val="TableContents"/>
              <w:spacing w:before="0" w:after="283"/>
              <w:rPr/>
            </w:pPr>
            <w:r>
              <w:rPr/>
              <w:t>)%</w:t>
            </w:r>
          </w:p>
        </w:tc>
      </w:tr>
      <w:tr>
        <w:trPr/>
        <w:tc>
          <w:tcPr>
            <w:tcW w:w="5179" w:type="dxa"/>
            <w:tcBorders/>
            <w:shd w:fill="CCEEFF" w:val="clear"/>
            <w:vAlign w:val="center"/>
          </w:tcPr>
          <w:p>
            <w:pPr>
              <w:pStyle w:val="TableContents"/>
              <w:spacing w:before="0" w:after="0"/>
              <w:ind w:left="0" w:right="0" w:hanging="0"/>
              <w:rPr/>
            </w:pPr>
            <w:r>
              <w:rPr>
                <w:rStyle w:val="StrongEmphasis"/>
                <w:rFonts w:ascii="times new roman" w:hAnsi="times new roman"/>
                <w:sz w:val="20"/>
              </w:rPr>
              <w:t xml:space="preserve">Net loss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830" w:type="dxa"/>
            <w:tcBorders>
              <w:bottom w:val="double" w:sz="6" w:space="0" w:color="000000"/>
            </w:tcBorders>
            <w:shd w:fill="CCEEFF" w:val="clear"/>
            <w:tcMar>
              <w:bottom w:w="28" w:type="dxa"/>
            </w:tcMar>
            <w:vAlign w:val="center"/>
          </w:tcPr>
          <w:p>
            <w:pPr>
              <w:pStyle w:val="TableContents"/>
              <w:spacing w:before="0" w:after="283"/>
              <w:jc w:val="right"/>
              <w:rPr/>
            </w:pPr>
            <w:r>
              <w:rPr/>
              <w:t>(22,525</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830" w:type="dxa"/>
            <w:tcBorders>
              <w:bottom w:val="double" w:sz="6" w:space="0" w:color="000000"/>
            </w:tcBorders>
            <w:shd w:fill="CCEEFF" w:val="clear"/>
            <w:tcMar>
              <w:bottom w:w="28" w:type="dxa"/>
            </w:tcMar>
            <w:vAlign w:val="center"/>
          </w:tcPr>
          <w:p>
            <w:pPr>
              <w:pStyle w:val="TableContents"/>
              <w:spacing w:before="0" w:after="283"/>
              <w:jc w:val="right"/>
              <w:rPr/>
            </w:pPr>
            <w:r>
              <w:rPr/>
              <w:t>(7,378</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785" w:type="dxa"/>
            <w:tcBorders>
              <w:bottom w:val="double" w:sz="6" w:space="0" w:color="000000"/>
            </w:tcBorders>
            <w:shd w:fill="CCEEFF" w:val="clear"/>
            <w:tcMar>
              <w:bottom w:w="28" w:type="dxa"/>
            </w:tcMar>
            <w:vAlign w:val="center"/>
          </w:tcPr>
          <w:p>
            <w:pPr>
              <w:pStyle w:val="TableContents"/>
              <w:spacing w:before="0" w:after="283"/>
              <w:jc w:val="right"/>
              <w:rPr/>
            </w:pPr>
            <w:r>
              <w:rPr/>
              <w:t>(15,147</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890" w:type="dxa"/>
            <w:tcBorders/>
            <w:shd w:fill="CCEEFF" w:val="clear"/>
            <w:vAlign w:val="center"/>
          </w:tcPr>
          <w:p>
            <w:pPr>
              <w:pStyle w:val="TableContents"/>
              <w:spacing w:before="0" w:after="283"/>
              <w:jc w:val="right"/>
              <w:rPr/>
            </w:pPr>
            <w:r>
              <w:rPr/>
              <w:t>(205.3</w:t>
            </w:r>
          </w:p>
        </w:tc>
        <w:tc>
          <w:tcPr>
            <w:tcW w:w="356" w:type="dxa"/>
            <w:tcBorders/>
            <w:shd w:fill="CCEEFF" w:val="clear"/>
            <w:vAlign w:val="center"/>
          </w:tcPr>
          <w:p>
            <w:pPr>
              <w:pStyle w:val="TableContents"/>
              <w:spacing w:before="0" w:after="283"/>
              <w:rPr/>
            </w:pPr>
            <w:r>
              <w:rPr/>
              <w:t>)%</w:t>
            </w:r>
          </w:p>
        </w:tc>
      </w:tr>
      <w:tr>
        <w:trPr/>
        <w:tc>
          <w:tcPr>
            <w:tcW w:w="10205" w:type="dxa"/>
            <w:gridSpan w:val="17"/>
            <w:tcBorders/>
            <w:shd w:fill="FFFFFF" w:val="clear"/>
            <w:vAlign w:val="center"/>
          </w:tcPr>
          <w:p>
            <w:pPr>
              <w:pStyle w:val="TableContents"/>
              <w:spacing w:before="0" w:after="0"/>
              <w:ind w:left="0" w:right="0" w:hanging="0"/>
              <w:jc w:val="center"/>
              <w:rPr/>
            </w:pPr>
            <w:r>
              <w:rPr/>
              <w:t> </w:t>
            </w:r>
          </w:p>
          <w:p>
            <w:pPr>
              <w:pStyle w:val="TableContents"/>
              <w:spacing w:before="0" w:after="0"/>
              <w:ind w:left="0" w:right="0" w:hanging="0"/>
              <w:jc w:val="center"/>
              <w:rPr/>
            </w:pPr>
            <w:r>
              <w:rPr>
                <w:rStyle w:val="Emphasis"/>
                <w:rFonts w:ascii="times new roman" w:hAnsi="times new roman"/>
                <w:sz w:val="20"/>
              </w:rPr>
              <w:t>(Columns in the table above may not sum to totals due to rounding)</w:t>
            </w:r>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105"/>
        <w:gridCol w:w="230"/>
        <w:gridCol w:w="9870"/>
      </w:tblGrid>
      <w:tr>
        <w:trPr/>
        <w:tc>
          <w:tcPr>
            <w:tcW w:w="105" w:type="dxa"/>
            <w:tcBorders/>
            <w:shd w:fill="auto" w:val="clear"/>
            <w:vAlign w:val="center"/>
          </w:tcPr>
          <w:p>
            <w:pPr>
              <w:pStyle w:val="TableContents"/>
              <w:spacing w:before="0" w:after="0"/>
              <w:ind w:left="0" w:right="0" w:hanging="0"/>
              <w:rPr/>
            </w:pPr>
            <w:r>
              <w:rPr/>
              <w:t> </w:t>
            </w:r>
          </w:p>
        </w:tc>
        <w:tc>
          <w:tcPr>
            <w:tcW w:w="230"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870"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Effective December 31, 2021, we entered into a 30% personal lines quota share treaty.</w:t>
            </w:r>
          </w:p>
        </w:tc>
      </w:tr>
      <w:tr>
        <w:trPr/>
        <w:tc>
          <w:tcPr>
            <w:tcW w:w="105" w:type="dxa"/>
            <w:tcBorders/>
            <w:shd w:fill="auto" w:val="clear"/>
            <w:vAlign w:val="center"/>
          </w:tcPr>
          <w:p>
            <w:pPr>
              <w:pStyle w:val="TableContents"/>
              <w:spacing w:before="0" w:after="0"/>
              <w:ind w:left="0" w:right="0" w:hanging="0"/>
              <w:rPr/>
            </w:pPr>
            <w:r>
              <w:rPr/>
              <w:t> </w:t>
            </w:r>
          </w:p>
        </w:tc>
        <w:tc>
          <w:tcPr>
            <w:tcW w:w="230" w:type="dxa"/>
            <w:tcBorders/>
            <w:shd w:fill="auto" w:val="clear"/>
            <w:vAlign w:val="center"/>
          </w:tcPr>
          <w:p>
            <w:pPr>
              <w:pStyle w:val="TableContents"/>
              <w:spacing w:before="0" w:after="0"/>
              <w:ind w:left="0" w:right="0" w:hanging="0"/>
              <w:rPr/>
            </w:pPr>
            <w:r>
              <w:rPr/>
              <w:t> </w:t>
            </w:r>
          </w:p>
        </w:tc>
        <w:tc>
          <w:tcPr>
            <w:tcW w:w="9870" w:type="dxa"/>
            <w:tcBorders/>
            <w:shd w:fill="auto" w:val="clear"/>
            <w:vAlign w:val="center"/>
          </w:tcPr>
          <w:p>
            <w:pPr>
              <w:pStyle w:val="TableContents"/>
              <w:spacing w:before="0" w:after="0"/>
              <w:ind w:left="0" w:right="0" w:hanging="0"/>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230"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870"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The years ended December 31, 2022 and 2021 include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w:t>
            </w:r>
          </w:p>
        </w:tc>
      </w:tr>
    </w:tbl>
    <w:p>
      <w:pPr>
        <w:pStyle w:val="TextBody"/>
        <w:spacing w:before="0" w:after="0"/>
        <w:ind w:left="0" w:right="0" w:hanging="0"/>
        <w:rPr/>
      </w:pPr>
      <w:r>
        <w:rPr/>
        <w:t xml:space="preserve">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35</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both"/>
        <w:rPr/>
      </w:pPr>
      <w:r>
        <w:rPr/>
        <w:t> </w:t>
      </w:r>
    </w:p>
    <w:tbl>
      <w:tblPr>
        <w:tblW w:w="7349" w:type="dxa"/>
        <w:jc w:val="left"/>
        <w:tblInd w:w="0" w:type="dxa"/>
        <w:tblCellMar>
          <w:top w:w="0" w:type="dxa"/>
          <w:left w:w="0" w:type="dxa"/>
          <w:bottom w:w="0" w:type="dxa"/>
          <w:right w:w="0" w:type="dxa"/>
        </w:tblCellMar>
      </w:tblPr>
      <w:tblGrid>
        <w:gridCol w:w="2855"/>
        <w:gridCol w:w="90"/>
        <w:gridCol w:w="90"/>
        <w:gridCol w:w="590"/>
        <w:gridCol w:w="245"/>
        <w:gridCol w:w="90"/>
        <w:gridCol w:w="90"/>
        <w:gridCol w:w="590"/>
        <w:gridCol w:w="245"/>
        <w:gridCol w:w="90"/>
        <w:gridCol w:w="173"/>
        <w:gridCol w:w="822"/>
        <w:gridCol w:w="125"/>
        <w:gridCol w:w="90"/>
        <w:gridCol w:w="113"/>
        <w:gridCol w:w="686"/>
        <w:gridCol w:w="365"/>
      </w:tblGrid>
      <w:tr>
        <w:trPr/>
        <w:tc>
          <w:tcPr>
            <w:tcW w:w="285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4039" w:type="dxa"/>
            <w:gridSpan w:val="14"/>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Years ended December 31,</w:t>
            </w:r>
          </w:p>
        </w:tc>
        <w:tc>
          <w:tcPr>
            <w:tcW w:w="365" w:type="dxa"/>
            <w:tcBorders/>
            <w:shd w:fill="auto" w:val="clear"/>
            <w:vAlign w:val="center"/>
          </w:tcPr>
          <w:p>
            <w:pPr>
              <w:pStyle w:val="TableContents"/>
              <w:spacing w:before="0" w:after="0"/>
              <w:ind w:left="0" w:right="0" w:hanging="0"/>
              <w:rPr/>
            </w:pPr>
            <w:r>
              <w:rPr/>
              <w:t> </w:t>
            </w:r>
          </w:p>
        </w:tc>
      </w:tr>
      <w:tr>
        <w:trPr/>
        <w:tc>
          <w:tcPr>
            <w:tcW w:w="285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6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2022</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6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2021</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9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Percentage</w:t>
            </w:r>
          </w:p>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Point </w:t>
            </w:r>
          </w:p>
          <w:p>
            <w:pPr>
              <w:pStyle w:val="TableContents"/>
              <w:spacing w:before="0" w:after="0"/>
              <w:ind w:left="0" w:right="0" w:hanging="0"/>
              <w:jc w:val="center"/>
              <w:rPr/>
            </w:pPr>
            <w:r>
              <w:rPr>
                <w:rStyle w:val="StrongEmphasis"/>
                <w:rFonts w:ascii="times new roman" w:hAnsi="times new roman"/>
                <w:sz w:val="20"/>
              </w:rPr>
              <w:t>Change</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9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Percent </w:t>
            </w:r>
          </w:p>
          <w:p>
            <w:pPr>
              <w:pStyle w:val="TableContents"/>
              <w:spacing w:before="0" w:after="0"/>
              <w:ind w:left="0" w:right="0" w:hanging="0"/>
              <w:jc w:val="center"/>
              <w:rPr/>
            </w:pPr>
            <w:r>
              <w:rPr>
                <w:rStyle w:val="StrongEmphasis"/>
                <w:rFonts w:ascii="times new roman" w:hAnsi="times new roman"/>
                <w:sz w:val="20"/>
              </w:rPr>
              <w:t xml:space="preserve">Change </w:t>
            </w:r>
          </w:p>
        </w:tc>
        <w:tc>
          <w:tcPr>
            <w:tcW w:w="365" w:type="dxa"/>
            <w:tcBorders/>
            <w:shd w:fill="auto" w:val="clear"/>
            <w:vAlign w:val="center"/>
          </w:tcPr>
          <w:p>
            <w:pPr>
              <w:pStyle w:val="TableContents"/>
              <w:spacing w:before="0" w:after="0"/>
              <w:ind w:left="0" w:right="0" w:hanging="0"/>
              <w:rPr/>
            </w:pPr>
            <w:r>
              <w:rPr/>
              <w:t> </w:t>
            </w:r>
          </w:p>
        </w:tc>
      </w:tr>
      <w:tr>
        <w:trPr/>
        <w:tc>
          <w:tcPr>
            <w:tcW w:w="285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680"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680"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9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99" w:type="dxa"/>
            <w:gridSpan w:val="2"/>
            <w:tcBorders/>
            <w:shd w:fill="auto" w:val="clear"/>
            <w:vAlign w:val="center"/>
          </w:tcPr>
          <w:p>
            <w:pPr>
              <w:pStyle w:val="TableContents"/>
              <w:spacing w:before="0" w:after="0"/>
              <w:ind w:left="0" w:right="0" w:hanging="0"/>
              <w:rPr/>
            </w:pPr>
            <w:r>
              <w:rPr/>
              <w:t> </w:t>
            </w:r>
          </w:p>
        </w:tc>
        <w:tc>
          <w:tcPr>
            <w:tcW w:w="365" w:type="dxa"/>
            <w:tcBorders/>
            <w:shd w:fill="auto" w:val="clear"/>
            <w:vAlign w:val="center"/>
          </w:tcPr>
          <w:p>
            <w:pPr>
              <w:pStyle w:val="TableContents"/>
              <w:spacing w:before="0" w:after="0"/>
              <w:ind w:left="0" w:right="0" w:hanging="0"/>
              <w:rPr/>
            </w:pPr>
            <w:r>
              <w:rPr/>
              <w:t> </w:t>
            </w:r>
          </w:p>
        </w:tc>
      </w:tr>
      <w:tr>
        <w:trPr/>
        <w:tc>
          <w:tcPr>
            <w:tcW w:w="2855" w:type="dxa"/>
            <w:tcBorders/>
            <w:shd w:fill="auto" w:val="clear"/>
            <w:vAlign w:val="center"/>
          </w:tcPr>
          <w:p>
            <w:pPr>
              <w:pStyle w:val="TableContents"/>
              <w:spacing w:before="0" w:after="0"/>
              <w:ind w:left="0" w:right="0" w:hanging="0"/>
              <w:rPr/>
            </w:pPr>
            <w:r>
              <w:rPr>
                <w:rStyle w:val="StrongEmphasis"/>
              </w:rPr>
              <w:t> </w:t>
            </w:r>
            <w:r>
              <w:rPr>
                <w:rStyle w:val="StrongEmphasis"/>
                <w:rFonts w:ascii="times new roman" w:hAnsi="times new roman"/>
                <w:sz w:val="20"/>
              </w:rPr>
              <w:t xml:space="preserve">Key ratios: </w:t>
            </w:r>
          </w:p>
        </w:tc>
        <w:tc>
          <w:tcPr>
            <w:tcW w:w="90" w:type="dxa"/>
            <w:tcBorders/>
            <w:shd w:fill="auto" w:val="clear"/>
            <w:vAlign w:val="center"/>
          </w:tcPr>
          <w:p>
            <w:pPr>
              <w:pStyle w:val="TableContents"/>
              <w:spacing w:before="0" w:after="0"/>
              <w:ind w:left="0" w:right="0" w:hanging="0"/>
              <w:rPr/>
            </w:pPr>
            <w:r>
              <w:rPr/>
              <w:t> </w:t>
            </w:r>
          </w:p>
        </w:tc>
        <w:tc>
          <w:tcPr>
            <w:tcW w:w="680"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680"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9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99" w:type="dxa"/>
            <w:gridSpan w:val="2"/>
            <w:tcBorders/>
            <w:shd w:fill="auto" w:val="clear"/>
            <w:vAlign w:val="center"/>
          </w:tcPr>
          <w:p>
            <w:pPr>
              <w:pStyle w:val="TableContents"/>
              <w:spacing w:before="0" w:after="0"/>
              <w:ind w:left="0" w:right="0" w:hanging="0"/>
              <w:rPr/>
            </w:pPr>
            <w:r>
              <w:rPr/>
              <w:t> </w:t>
            </w:r>
          </w:p>
        </w:tc>
        <w:tc>
          <w:tcPr>
            <w:tcW w:w="365" w:type="dxa"/>
            <w:tcBorders/>
            <w:shd w:fill="auto" w:val="clear"/>
            <w:vAlign w:val="center"/>
          </w:tcPr>
          <w:p>
            <w:pPr>
              <w:pStyle w:val="TableContents"/>
              <w:spacing w:before="0" w:after="0"/>
              <w:ind w:left="0" w:right="0" w:hanging="0"/>
              <w:rPr/>
            </w:pPr>
            <w:r>
              <w:rPr/>
              <w:t> </w:t>
            </w:r>
          </w:p>
        </w:tc>
      </w:tr>
      <w:tr>
        <w:trPr/>
        <w:tc>
          <w:tcPr>
            <w:tcW w:w="2855" w:type="dxa"/>
            <w:tcBorders/>
            <w:shd w:fill="CCEEFF" w:val="clear"/>
            <w:vAlign w:val="center"/>
          </w:tcPr>
          <w:p>
            <w:pPr>
              <w:pStyle w:val="TableContents"/>
              <w:spacing w:before="0" w:after="0"/>
              <w:ind w:left="0" w:right="0" w:firstLine="180"/>
              <w:rPr/>
            </w:pPr>
            <w:r>
              <w:rPr/>
              <w:t> </w:t>
            </w:r>
            <w:r>
              <w:rPr>
                <w:rFonts w:ascii="times new roman" w:hAnsi="times new roman"/>
                <w:sz w:val="20"/>
              </w:rPr>
              <w:t xml:space="preserve">Net loss ratio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283"/>
              <w:jc w:val="right"/>
              <w:rPr/>
            </w:pPr>
            <w:r>
              <w:rPr/>
              <w:t>77.3</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283"/>
              <w:jc w:val="right"/>
              <w:rPr/>
            </w:pPr>
            <w:r>
              <w:rPr/>
              <w:t>70.9</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3" w:type="dxa"/>
            <w:tcBorders/>
            <w:shd w:fill="CCEEFF" w:val="clear"/>
            <w:vAlign w:val="center"/>
          </w:tcPr>
          <w:p>
            <w:pPr>
              <w:pStyle w:val="TableContents"/>
              <w:spacing w:before="0" w:after="0"/>
              <w:ind w:left="0" w:right="0" w:hanging="0"/>
              <w:rPr/>
            </w:pPr>
            <w:r>
              <w:rPr/>
              <w:t> </w:t>
            </w:r>
          </w:p>
        </w:tc>
        <w:tc>
          <w:tcPr>
            <w:tcW w:w="822" w:type="dxa"/>
            <w:tcBorders/>
            <w:shd w:fill="CCEEFF" w:val="clear"/>
            <w:vAlign w:val="center"/>
          </w:tcPr>
          <w:p>
            <w:pPr>
              <w:pStyle w:val="TableContents"/>
              <w:spacing w:before="0" w:after="283"/>
              <w:jc w:val="right"/>
              <w:rPr/>
            </w:pPr>
            <w:r>
              <w:rPr/>
              <w:t>6.4</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3" w:type="dxa"/>
            <w:tcBorders/>
            <w:shd w:fill="CCEEFF" w:val="clear"/>
            <w:vAlign w:val="center"/>
          </w:tcPr>
          <w:p>
            <w:pPr>
              <w:pStyle w:val="TableContents"/>
              <w:spacing w:before="0" w:after="0"/>
              <w:ind w:left="0" w:right="0" w:hanging="0"/>
              <w:rPr/>
            </w:pPr>
            <w:r>
              <w:rPr/>
              <w:t> </w:t>
            </w:r>
          </w:p>
        </w:tc>
        <w:tc>
          <w:tcPr>
            <w:tcW w:w="686" w:type="dxa"/>
            <w:tcBorders/>
            <w:shd w:fill="CCEEFF" w:val="clear"/>
            <w:vAlign w:val="center"/>
          </w:tcPr>
          <w:p>
            <w:pPr>
              <w:pStyle w:val="TableContents"/>
              <w:spacing w:before="0" w:after="283"/>
              <w:jc w:val="right"/>
              <w:rPr/>
            </w:pPr>
            <w:r>
              <w:rPr/>
              <w:t>9.0</w:t>
            </w:r>
          </w:p>
        </w:tc>
        <w:tc>
          <w:tcPr>
            <w:tcW w:w="365" w:type="dxa"/>
            <w:tcBorders/>
            <w:shd w:fill="CCEEFF" w:val="clear"/>
            <w:vAlign w:val="center"/>
          </w:tcPr>
          <w:p>
            <w:pPr>
              <w:pStyle w:val="TableContents"/>
              <w:spacing w:before="0" w:after="283"/>
              <w:rPr/>
            </w:pPr>
            <w:r>
              <w:rPr/>
              <w:t>%</w:t>
            </w:r>
          </w:p>
        </w:tc>
      </w:tr>
      <w:tr>
        <w:trPr/>
        <w:tc>
          <w:tcPr>
            <w:tcW w:w="2855" w:type="dxa"/>
            <w:tcBorders/>
            <w:shd w:fill="FFFFFF" w:val="clear"/>
            <w:vAlign w:val="center"/>
          </w:tcPr>
          <w:p>
            <w:pPr>
              <w:pStyle w:val="TableContents"/>
              <w:spacing w:before="0" w:after="0"/>
              <w:ind w:left="0" w:right="0" w:firstLine="180"/>
              <w:rPr/>
            </w:pPr>
            <w:r>
              <w:rPr/>
              <w:t> </w:t>
            </w:r>
            <w:r>
              <w:rPr>
                <w:rFonts w:ascii="times new roman" w:hAnsi="times new roman"/>
                <w:sz w:val="20"/>
              </w:rPr>
              <w:t xml:space="preserve">Net underwriting expense ratio </w:t>
            </w:r>
          </w:p>
        </w:tc>
        <w:tc>
          <w:tcPr>
            <w:tcW w:w="90" w:type="dxa"/>
            <w:tcBorders/>
            <w:shd w:fill="FFFFFF" w:val="clear"/>
            <w:vAlign w:val="center"/>
          </w:tcPr>
          <w:p>
            <w:pPr>
              <w:pStyle w:val="TableContents"/>
              <w:spacing w:before="0" w:after="0"/>
              <w:ind w:left="0" w:right="0" w:hanging="0"/>
              <w:rPr/>
            </w:pPr>
            <w:r>
              <w:rPr/>
              <w:t> </w:t>
            </w:r>
          </w:p>
        </w:tc>
        <w:tc>
          <w:tcPr>
            <w:tcW w:w="9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jc w:val="right"/>
              <w:rPr/>
            </w:pPr>
            <w:r>
              <w:rPr/>
              <w:t>36.0</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jc w:val="right"/>
              <w:rPr/>
            </w:pPr>
            <w:r>
              <w:rPr/>
              <w:t>40.6</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3"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22" w:type="dxa"/>
            <w:tcBorders>
              <w:bottom w:val="single" w:sz="2" w:space="0" w:color="000000"/>
            </w:tcBorders>
            <w:shd w:fill="FFFFFF" w:val="clear"/>
            <w:tcMar>
              <w:bottom w:w="28" w:type="dxa"/>
            </w:tcMar>
            <w:vAlign w:val="center"/>
          </w:tcPr>
          <w:p>
            <w:pPr>
              <w:pStyle w:val="TableContents"/>
              <w:spacing w:before="0" w:after="283"/>
              <w:jc w:val="right"/>
              <w:rPr/>
            </w:pPr>
            <w:r>
              <w:rPr/>
              <w:t>(4.6</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13" w:type="dxa"/>
            <w:tcBorders/>
            <w:shd w:fill="FFFFFF" w:val="clear"/>
            <w:vAlign w:val="center"/>
          </w:tcPr>
          <w:p>
            <w:pPr>
              <w:pStyle w:val="TableContents"/>
              <w:spacing w:before="0" w:after="0"/>
              <w:ind w:left="0" w:right="0" w:hanging="0"/>
              <w:rPr/>
            </w:pPr>
            <w:r>
              <w:rPr/>
              <w:t> </w:t>
            </w:r>
          </w:p>
        </w:tc>
        <w:tc>
          <w:tcPr>
            <w:tcW w:w="686" w:type="dxa"/>
            <w:tcBorders/>
            <w:shd w:fill="FFFFFF" w:val="clear"/>
            <w:vAlign w:val="center"/>
          </w:tcPr>
          <w:p>
            <w:pPr>
              <w:pStyle w:val="TableContents"/>
              <w:spacing w:before="0" w:after="283"/>
              <w:jc w:val="right"/>
              <w:rPr/>
            </w:pPr>
            <w:r>
              <w:rPr/>
              <w:t>(11.3</w:t>
            </w:r>
          </w:p>
        </w:tc>
        <w:tc>
          <w:tcPr>
            <w:tcW w:w="365" w:type="dxa"/>
            <w:tcBorders/>
            <w:shd w:fill="FFFFFF" w:val="clear"/>
            <w:vAlign w:val="center"/>
          </w:tcPr>
          <w:p>
            <w:pPr>
              <w:pStyle w:val="TableContents"/>
              <w:spacing w:before="0" w:after="283"/>
              <w:rPr/>
            </w:pPr>
            <w:r>
              <w:rPr/>
              <w:t>)%</w:t>
            </w:r>
          </w:p>
        </w:tc>
      </w:tr>
      <w:tr>
        <w:trPr/>
        <w:tc>
          <w:tcPr>
            <w:tcW w:w="2855" w:type="dxa"/>
            <w:tcBorders/>
            <w:shd w:fill="CCEEFF" w:val="clear"/>
            <w:vAlign w:val="center"/>
          </w:tcPr>
          <w:p>
            <w:pPr>
              <w:pStyle w:val="TableContents"/>
              <w:spacing w:before="0" w:after="0"/>
              <w:ind w:left="0" w:right="0" w:firstLine="180"/>
              <w:rPr/>
            </w:pPr>
            <w:r>
              <w:rPr/>
              <w:t> </w:t>
            </w:r>
            <w:r>
              <w:rPr>
                <w:rFonts w:ascii="times new roman" w:hAnsi="times new roman"/>
                <w:sz w:val="20"/>
              </w:rPr>
              <w:t xml:space="preserve">Net combined ratio </w:t>
            </w:r>
          </w:p>
        </w:tc>
        <w:tc>
          <w:tcPr>
            <w:tcW w:w="90" w:type="dxa"/>
            <w:tcBorders/>
            <w:shd w:fill="CCEEFF" w:val="clear"/>
            <w:vAlign w:val="center"/>
          </w:tcPr>
          <w:p>
            <w:pPr>
              <w:pStyle w:val="TableContents"/>
              <w:spacing w:before="0" w:after="0"/>
              <w:ind w:left="0" w:right="0" w:hanging="0"/>
              <w:rPr/>
            </w:pPr>
            <w:r>
              <w:rPr/>
              <w:t> </w:t>
            </w:r>
          </w:p>
        </w:tc>
        <w:tc>
          <w:tcPr>
            <w:tcW w:w="90"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590" w:type="dxa"/>
            <w:tcBorders>
              <w:bottom w:val="double" w:sz="6" w:space="0" w:color="000000"/>
            </w:tcBorders>
            <w:shd w:fill="CCEEFF" w:val="clear"/>
            <w:tcMar>
              <w:bottom w:w="28" w:type="dxa"/>
            </w:tcMar>
            <w:vAlign w:val="center"/>
          </w:tcPr>
          <w:p>
            <w:pPr>
              <w:pStyle w:val="TableContents"/>
              <w:spacing w:before="0" w:after="283"/>
              <w:jc w:val="right"/>
              <w:rPr/>
            </w:pPr>
            <w:r>
              <w:rPr/>
              <w:t>113.3</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590" w:type="dxa"/>
            <w:tcBorders>
              <w:bottom w:val="double" w:sz="6" w:space="0" w:color="000000"/>
            </w:tcBorders>
            <w:shd w:fill="CCEEFF" w:val="clear"/>
            <w:tcMar>
              <w:bottom w:w="28" w:type="dxa"/>
            </w:tcMar>
            <w:vAlign w:val="center"/>
          </w:tcPr>
          <w:p>
            <w:pPr>
              <w:pStyle w:val="TableContents"/>
              <w:spacing w:before="0" w:after="283"/>
              <w:jc w:val="right"/>
              <w:rPr/>
            </w:pPr>
            <w:r>
              <w:rPr/>
              <w:t>111.5</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3"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822" w:type="dxa"/>
            <w:tcBorders>
              <w:bottom w:val="double" w:sz="6" w:space="0" w:color="000000"/>
            </w:tcBorders>
            <w:shd w:fill="CCEEFF" w:val="clear"/>
            <w:tcMar>
              <w:bottom w:w="28" w:type="dxa"/>
            </w:tcMar>
            <w:vAlign w:val="center"/>
          </w:tcPr>
          <w:p>
            <w:pPr>
              <w:pStyle w:val="TableContents"/>
              <w:spacing w:before="0" w:after="283"/>
              <w:jc w:val="right"/>
              <w:rPr/>
            </w:pPr>
            <w:r>
              <w:rPr/>
              <w:t>1.8</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3" w:type="dxa"/>
            <w:tcBorders/>
            <w:shd w:fill="CCEEFF" w:val="clear"/>
            <w:vAlign w:val="center"/>
          </w:tcPr>
          <w:p>
            <w:pPr>
              <w:pStyle w:val="TableContents"/>
              <w:spacing w:before="0" w:after="0"/>
              <w:ind w:left="0" w:right="0" w:hanging="0"/>
              <w:rPr/>
            </w:pPr>
            <w:r>
              <w:rPr/>
              <w:t> </w:t>
            </w:r>
          </w:p>
        </w:tc>
        <w:tc>
          <w:tcPr>
            <w:tcW w:w="686" w:type="dxa"/>
            <w:tcBorders/>
            <w:shd w:fill="CCEEFF" w:val="clear"/>
            <w:vAlign w:val="center"/>
          </w:tcPr>
          <w:p>
            <w:pPr>
              <w:pStyle w:val="TableContents"/>
              <w:spacing w:before="0" w:after="283"/>
              <w:jc w:val="right"/>
              <w:rPr/>
            </w:pPr>
            <w:r>
              <w:rPr/>
              <w:t>1.6</w:t>
            </w:r>
          </w:p>
        </w:tc>
        <w:tc>
          <w:tcPr>
            <w:tcW w:w="365" w:type="dxa"/>
            <w:tcBorders/>
            <w:shd w:fill="CCEEFF" w:val="clear"/>
            <w:vAlign w:val="center"/>
          </w:tcPr>
          <w:p>
            <w:pPr>
              <w:pStyle w:val="TableContents"/>
              <w:spacing w:before="0" w:after="283"/>
              <w:rPr/>
            </w:pPr>
            <w:r>
              <w:rPr/>
              <w:t>%</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Direct Written Premiums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Direct written premiums during the year ended December 31, 2022 (“Year Ended 2022”) were $201,255,000 compared to $181,665,000 during the year ended December 31, 2021 (“Year Ended 2021”). The increase of $19,590,000, or 10.8%, was primarily due an increase in premiums from our personal lines business. Direct written premiums from our personal lines business for Year Ended 2022 were $188,105,000, an increase of $16,385,000, or 9.5%, from $171,720,000 in Year Ended 2021. The increase in premiums from our personal lines business was primarily due to rate increases, offset by a modest decrease in policies in force as of December 31, 2022 compared to December 31, 2021. Direct written premiums from our livery physical damage business for Year Ended 2022 were $12,993,000, an increase of $3,276,000, or 33.7%, from $9,717,000 in Year Ended 2021. The increase in livery physical damage direct written premiums was due to the declining effect of the COVID-19 pandemic in our geographic area.</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Beginning in 2017 we started writing homeowners policies in New Jersey. Through 2019 we expanded to Rhode Island, Massachusetts and Connecticut. We refer to our New York business as our “Core” business and the business outside of New York as our “Expansion” business. Direct written premiums from our Core business were $162,255,000 in Year Ended 2022 compared to $144,449,000 in Year Ended 2021. Direct written premiums from our Expansion business were $39,000,000 in Year Ended 2022 compared to $37,216,000 in Year Ended 2021.</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Net Written Premiums and Net Premiums Earned</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Effective December 31, 2021, we entered into a quota share reinsurance treaty for our personal lines business covering the period from December 31, 2021 through January 1, 2023 (“2021/2023 Treaty”). There was no quota share reinsurance treaty in effect in Year Ended 2021. Net written premiums decreased $6,695,000, or 5.2%, to $122,060,000 in Year Ended 2022 from $128,755,000 in Year Ended 2021. Net written premiums include direct and assumed premiums, less the amount of written premiums ceded under our reinsurance treaties (quota share, excess of loss, and catastrophe). In Year Ended 2022, our premiums ceded under quota share treaties increased by $23,899,000 in comparison to ceded premiums in Year Ended 2021 (see table above). Our personal lines business was subject to the 2021/2023 Treaty in Year Ended 2022, compared to no personal lines quota share treaty in Year Ended 2021.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36</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firstLine="720"/>
        <w:jc w:val="both"/>
        <w:rPr/>
      </w:pPr>
      <w:r>
        <w:rPr>
          <w:rStyle w:val="Emphasis"/>
          <w:rFonts w:ascii="times new roman" w:hAnsi="times new roman"/>
          <w:sz w:val="20"/>
        </w:rPr>
        <w:t>Excess of loss reinsurance treaties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An increase in written premiums will increase the premiums ceded under our excess of loss treaties. In Year Ended 2022, our ceded excess of loss reinsurance premiums increased by $1,267,000 over the comparable ceded premiums for Year Ended 2021. The increase was due to an increase in subject premiums and additional coverage obtained. Effective January 1, 2022, we entered into an underlying excess of loss reinsurance treaty covering the period from January 1, 2022 through January 1, 2023. The treaty provides 50% reinsurance coverage for losses of $400,000 in excess of $600,000. Losses from named storms are excluded from the treaty.</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Catastrophe reinsurance treaties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Most of the premiums written under our personal lines policies are also subject to our catastrophe treaties. An increase in our personal lines business gives rise to more property exposure, which increases our exposure to catastrophe risk; therefore, our premiums ceded under catastrophe treaties will increase. This results in an increase in premiums ceded under our catastrophe treaties provided that reinsurance rates are stable or are increasing. In Year Ended 2022, our premiums ceded under catastrophe treaties increased by $1,119,000 over the comparable ceded premiums in Year Ended 2021. Effective July 1, 2020, and continuing through June 30, 2021, our ceded catastrophe premiums were paid based on the total insured value of our risks calculated as of August 31, 2020. Effective July 1, 2021, and continuing through June 30, 2022, our ceded catastrophe premiums were paid based on the total insured value of our risks as of August 31, 2021. Effective July 1, 2022, and continuing through June 30, 2023, our ceded catastrophe premiums will be paid based on the total insured value of our risks as of August 31, 2022.</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Net premiums earned</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Net premiums earned decreased $29,497,000, or 20.5%, to $114,385,000 in Year Ended 2022 from $143,882,000 in Year Ended 2021. The decrease was due to the inception of the 2021/2023 Treaty on December 31, 2021. The decrease resulting from the 2021/2023 Treaty in Year Ended 2022 was partially offset by an increase in direct written premiums.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Ceding Commission Revenue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summarizes the changes in the components of ceding commission revenue (in thousands) for the periods indicated:</w:t>
      </w:r>
    </w:p>
    <w:p>
      <w:pPr>
        <w:pStyle w:val="TextBody"/>
        <w:spacing w:before="0" w:after="0"/>
        <w:ind w:left="0" w:right="0" w:firstLine="720"/>
        <w:jc w:val="both"/>
        <w:rPr/>
      </w:pPr>
      <w:r>
        <w:rPr/>
        <w:t> </w:t>
      </w:r>
    </w:p>
    <w:p>
      <w:pPr>
        <w:pStyle w:val="TextBody"/>
        <w:spacing w:before="0" w:after="0"/>
        <w:ind w:left="0" w:right="0" w:firstLine="720"/>
        <w:jc w:val="both"/>
        <w:rPr/>
      </w:pPr>
      <w:r>
        <w:rPr/>
        <w:t> </w:t>
      </w:r>
    </w:p>
    <w:tbl>
      <w:tblPr>
        <w:tblW w:w="7625" w:type="dxa"/>
        <w:jc w:val="left"/>
        <w:tblInd w:w="0" w:type="dxa"/>
        <w:tblCellMar>
          <w:top w:w="0" w:type="dxa"/>
          <w:left w:w="0" w:type="dxa"/>
          <w:bottom w:w="0" w:type="dxa"/>
          <w:right w:w="0" w:type="dxa"/>
        </w:tblCellMar>
      </w:tblPr>
      <w:tblGrid>
        <w:gridCol w:w="3275"/>
        <w:gridCol w:w="90"/>
        <w:gridCol w:w="170"/>
        <w:gridCol w:w="710"/>
        <w:gridCol w:w="90"/>
        <w:gridCol w:w="90"/>
        <w:gridCol w:w="170"/>
        <w:gridCol w:w="485"/>
        <w:gridCol w:w="125"/>
        <w:gridCol w:w="90"/>
        <w:gridCol w:w="170"/>
        <w:gridCol w:w="710"/>
        <w:gridCol w:w="90"/>
        <w:gridCol w:w="90"/>
        <w:gridCol w:w="90"/>
        <w:gridCol w:w="890"/>
        <w:gridCol w:w="290"/>
      </w:tblGrid>
      <w:tr>
        <w:trPr/>
        <w:tc>
          <w:tcPr>
            <w:tcW w:w="327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970" w:type="dxa"/>
            <w:gridSpan w:val="14"/>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Years ended December 31,</w:t>
            </w:r>
          </w:p>
        </w:tc>
        <w:tc>
          <w:tcPr>
            <w:tcW w:w="290" w:type="dxa"/>
            <w:tcBorders/>
            <w:shd w:fill="auto" w:val="clear"/>
            <w:vAlign w:val="center"/>
          </w:tcPr>
          <w:p>
            <w:pPr>
              <w:pStyle w:val="TableContents"/>
              <w:spacing w:before="0" w:after="0"/>
              <w:ind w:left="0" w:right="0" w:hanging="0"/>
              <w:rPr/>
            </w:pPr>
            <w:r>
              <w:rPr/>
              <w:t> </w:t>
            </w:r>
          </w:p>
        </w:tc>
      </w:tr>
      <w:tr>
        <w:trPr/>
        <w:tc>
          <w:tcPr>
            <w:tcW w:w="3275"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Fonts w:ascii="times new roman" w:hAnsi="times new roman"/>
                <w:sz w:val="20"/>
              </w:rPr>
              <w:t>($ in thousands)</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2022</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65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2021</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Change</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Percent </w:t>
            </w:r>
          </w:p>
        </w:tc>
        <w:tc>
          <w:tcPr>
            <w:tcW w:w="290" w:type="dxa"/>
            <w:tcBorders/>
            <w:shd w:fill="auto" w:val="clear"/>
            <w:vAlign w:val="center"/>
          </w:tcPr>
          <w:p>
            <w:pPr>
              <w:pStyle w:val="TableContents"/>
              <w:spacing w:before="0" w:after="0"/>
              <w:ind w:left="0" w:right="0" w:hanging="0"/>
              <w:rPr/>
            </w:pPr>
            <w:r>
              <w:rPr/>
              <w:t> </w:t>
            </w:r>
          </w:p>
        </w:tc>
      </w:tr>
      <w:tr>
        <w:trPr/>
        <w:tc>
          <w:tcPr>
            <w:tcW w:w="327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65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80" w:type="dxa"/>
            <w:gridSpan w:val="2"/>
            <w:tcBorders/>
            <w:shd w:fill="auto" w:val="clear"/>
            <w:vAlign w:val="center"/>
          </w:tcPr>
          <w:p>
            <w:pPr>
              <w:pStyle w:val="TableContents"/>
              <w:spacing w:before="0" w:after="0"/>
              <w:ind w:left="0" w:right="0" w:hanging="0"/>
              <w:rPr/>
            </w:pPr>
            <w:r>
              <w:rPr/>
              <w:t> </w:t>
            </w:r>
          </w:p>
        </w:tc>
        <w:tc>
          <w:tcPr>
            <w:tcW w:w="290" w:type="dxa"/>
            <w:tcBorders/>
            <w:shd w:fill="auto" w:val="clear"/>
            <w:vAlign w:val="center"/>
          </w:tcPr>
          <w:p>
            <w:pPr>
              <w:pStyle w:val="TableContents"/>
              <w:spacing w:before="0" w:after="0"/>
              <w:ind w:left="0" w:right="0" w:hanging="0"/>
              <w:rPr/>
            </w:pPr>
            <w:r>
              <w:rPr/>
              <w:t> </w:t>
            </w:r>
          </w:p>
        </w:tc>
      </w:tr>
      <w:tr>
        <w:trPr/>
        <w:tc>
          <w:tcPr>
            <w:tcW w:w="327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Provisional ceding commissions earned</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jc w:val="right"/>
              <w:rPr/>
            </w:pPr>
            <w:r>
              <w:rPr/>
              <w:t>19,106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485" w:type="dxa"/>
            <w:tcBorders/>
            <w:shd w:fill="CCEEFF" w:val="clear"/>
            <w:vAlign w:val="center"/>
          </w:tcPr>
          <w:p>
            <w:pPr>
              <w:pStyle w:val="TableContents"/>
              <w:spacing w:before="0" w:after="283"/>
              <w:jc w:val="right"/>
              <w:rPr/>
            </w:pPr>
            <w:r>
              <w:rPr/>
              <w:t>234</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jc w:val="right"/>
              <w:rPr/>
            </w:pPr>
            <w:r>
              <w:rPr/>
              <w:t>18,872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890" w:type="dxa"/>
            <w:tcBorders/>
            <w:shd w:fill="CCEEFF" w:val="clear"/>
            <w:vAlign w:val="center"/>
          </w:tcPr>
          <w:p>
            <w:pPr>
              <w:pStyle w:val="TableContents"/>
              <w:spacing w:before="0" w:after="283"/>
              <w:jc w:val="right"/>
              <w:rPr/>
            </w:pPr>
            <w:r>
              <w:rPr/>
              <w:t>8,065.0</w:t>
            </w:r>
          </w:p>
        </w:tc>
        <w:tc>
          <w:tcPr>
            <w:tcW w:w="290" w:type="dxa"/>
            <w:tcBorders/>
            <w:shd w:fill="CCEEFF" w:val="clear"/>
            <w:vAlign w:val="center"/>
          </w:tcPr>
          <w:p>
            <w:pPr>
              <w:pStyle w:val="TableContents"/>
              <w:spacing w:before="0" w:after="283"/>
              <w:rPr/>
            </w:pPr>
            <w:r>
              <w:rPr/>
              <w:t>%</w:t>
            </w:r>
          </w:p>
        </w:tc>
      </w:tr>
      <w:tr>
        <w:trPr/>
        <w:tc>
          <w:tcPr>
            <w:tcW w:w="327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Contingent ceding commissions earned</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10" w:type="dxa"/>
            <w:tcBorders>
              <w:bottom w:val="single" w:sz="2" w:space="0" w:color="000000"/>
            </w:tcBorders>
            <w:shd w:fill="FFFFFF" w:val="clear"/>
            <w:tcMar>
              <w:bottom w:w="28" w:type="dxa"/>
            </w:tcMar>
            <w:vAlign w:val="center"/>
          </w:tcPr>
          <w:p>
            <w:pPr>
              <w:pStyle w:val="TableContents"/>
              <w:spacing w:before="0" w:after="283"/>
              <w:jc w:val="right"/>
              <w:rPr/>
            </w:pPr>
            <w:r>
              <w:rPr/>
              <w:t>214</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485" w:type="dxa"/>
            <w:tcBorders>
              <w:bottom w:val="single" w:sz="2" w:space="0" w:color="000000"/>
            </w:tcBorders>
            <w:shd w:fill="FFFFFF" w:val="clear"/>
            <w:tcMar>
              <w:bottom w:w="28" w:type="dxa"/>
            </w:tcMar>
            <w:vAlign w:val="center"/>
          </w:tcPr>
          <w:p>
            <w:pPr>
              <w:pStyle w:val="TableContents"/>
              <w:spacing w:before="0" w:after="283"/>
              <w:jc w:val="right"/>
              <w:rPr/>
            </w:pPr>
            <w:r>
              <w:rPr/>
              <w:t>(144</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10" w:type="dxa"/>
            <w:tcBorders>
              <w:bottom w:val="single" w:sz="2" w:space="0" w:color="000000"/>
            </w:tcBorders>
            <w:shd w:fill="FFFFFF" w:val="clear"/>
            <w:tcMar>
              <w:bottom w:w="28" w:type="dxa"/>
            </w:tcMar>
            <w:vAlign w:val="center"/>
          </w:tcPr>
          <w:p>
            <w:pPr>
              <w:pStyle w:val="TableContents"/>
              <w:spacing w:before="0" w:after="283"/>
              <w:jc w:val="right"/>
              <w:rPr/>
            </w:pPr>
            <w:r>
              <w:rPr/>
              <w:t>358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80" w:type="dxa"/>
            <w:gridSpan w:val="2"/>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n/a</w:t>
            </w:r>
          </w:p>
        </w:tc>
        <w:tc>
          <w:tcPr>
            <w:tcW w:w="29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r>
      <w:tr>
        <w:trPr/>
        <w:tc>
          <w:tcPr>
            <w:tcW w:w="327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48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890" w:type="dxa"/>
            <w:tcBorders/>
            <w:shd w:fill="CCEEFF" w:val="clear"/>
            <w:vAlign w:val="center"/>
          </w:tcPr>
          <w:p>
            <w:pPr>
              <w:pStyle w:val="TableContents"/>
              <w:spacing w:before="0" w:after="0"/>
              <w:ind w:left="0" w:right="0" w:hanging="0"/>
              <w:rPr/>
            </w:pPr>
            <w:r>
              <w:rPr/>
              <w:t> </w:t>
            </w:r>
          </w:p>
        </w:tc>
        <w:tc>
          <w:tcPr>
            <w:tcW w:w="290" w:type="dxa"/>
            <w:tcBorders/>
            <w:shd w:fill="CCEEFF" w:val="clear"/>
            <w:vAlign w:val="center"/>
          </w:tcPr>
          <w:p>
            <w:pPr>
              <w:pStyle w:val="TableContents"/>
              <w:spacing w:before="0" w:after="0"/>
              <w:ind w:left="0" w:right="0" w:hanging="0"/>
              <w:rPr/>
            </w:pPr>
            <w:r>
              <w:rPr/>
              <w:t> </w:t>
            </w:r>
          </w:p>
        </w:tc>
      </w:tr>
      <w:tr>
        <w:trPr/>
        <w:tc>
          <w:tcPr>
            <w:tcW w:w="327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Total ceding commission revenue</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710" w:type="dxa"/>
            <w:tcBorders>
              <w:bottom w:val="double" w:sz="6" w:space="0" w:color="000000"/>
            </w:tcBorders>
            <w:shd w:fill="FFFFFF" w:val="clear"/>
            <w:tcMar>
              <w:bottom w:w="28" w:type="dxa"/>
            </w:tcMar>
            <w:vAlign w:val="center"/>
          </w:tcPr>
          <w:p>
            <w:pPr>
              <w:pStyle w:val="TableContents"/>
              <w:spacing w:before="0" w:after="283"/>
              <w:jc w:val="right"/>
              <w:rPr/>
            </w:pPr>
            <w:r>
              <w:rPr/>
              <w:t>19,319</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485" w:type="dxa"/>
            <w:tcBorders>
              <w:bottom w:val="double" w:sz="6" w:space="0" w:color="000000"/>
            </w:tcBorders>
            <w:shd w:fill="FFFFFF" w:val="clear"/>
            <w:tcMar>
              <w:bottom w:w="28" w:type="dxa"/>
            </w:tcMar>
            <w:vAlign w:val="center"/>
          </w:tcPr>
          <w:p>
            <w:pPr>
              <w:pStyle w:val="TableContents"/>
              <w:spacing w:before="0" w:after="283"/>
              <w:jc w:val="right"/>
              <w:rPr/>
            </w:pPr>
            <w:r>
              <w:rPr/>
              <w:t>90</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710" w:type="dxa"/>
            <w:tcBorders>
              <w:bottom w:val="double" w:sz="6" w:space="0" w:color="000000"/>
            </w:tcBorders>
            <w:shd w:fill="FFFFFF" w:val="clear"/>
            <w:tcMar>
              <w:bottom w:w="28" w:type="dxa"/>
            </w:tcMar>
            <w:vAlign w:val="center"/>
          </w:tcPr>
          <w:p>
            <w:pPr>
              <w:pStyle w:val="TableContents"/>
              <w:spacing w:before="0" w:after="283"/>
              <w:jc w:val="right"/>
              <w:rPr/>
            </w:pPr>
            <w:r>
              <w:rPr/>
              <w:t>19,229</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890" w:type="dxa"/>
            <w:tcBorders/>
            <w:shd w:fill="FFFFFF" w:val="clear"/>
            <w:vAlign w:val="center"/>
          </w:tcPr>
          <w:p>
            <w:pPr>
              <w:pStyle w:val="TableContents"/>
              <w:spacing w:before="0" w:after="283"/>
              <w:jc w:val="right"/>
              <w:rPr/>
            </w:pPr>
            <w:r>
              <w:rPr/>
              <w:t>21,365.6</w:t>
            </w:r>
          </w:p>
        </w:tc>
        <w:tc>
          <w:tcPr>
            <w:tcW w:w="290" w:type="dxa"/>
            <w:tcBorders/>
            <w:shd w:fill="FFFFFF" w:val="clear"/>
            <w:vAlign w:val="center"/>
          </w:tcPr>
          <w:p>
            <w:pPr>
              <w:pStyle w:val="TableContents"/>
              <w:spacing w:before="0" w:after="283"/>
              <w:rPr/>
            </w:pPr>
            <w:r>
              <w:rPr/>
              <w:t>%</w:t>
            </w:r>
          </w:p>
        </w:tc>
      </w:tr>
      <w:tr>
        <w:trPr/>
        <w:tc>
          <w:tcPr>
            <w:tcW w:w="7625" w:type="dxa"/>
            <w:gridSpan w:val="17"/>
            <w:tcBorders/>
            <w:shd w:fill="FFFFFF" w:val="clear"/>
            <w:vAlign w:val="center"/>
          </w:tcPr>
          <w:p>
            <w:pPr>
              <w:pStyle w:val="TableContents"/>
              <w:spacing w:before="0" w:after="0"/>
              <w:ind w:left="0" w:right="0" w:hanging="0"/>
              <w:jc w:val="center"/>
              <w:rPr/>
            </w:pPr>
            <w:r>
              <w:rPr/>
              <w:t> </w:t>
            </w:r>
          </w:p>
          <w:p>
            <w:pPr>
              <w:pStyle w:val="TableContents"/>
              <w:spacing w:before="0" w:after="0"/>
              <w:ind w:left="0" w:right="0" w:hanging="0"/>
              <w:jc w:val="center"/>
              <w:rPr/>
            </w:pPr>
            <w:r>
              <w:rPr>
                <w:rStyle w:val="Emphasis"/>
                <w:rFonts w:ascii="times new roman" w:hAnsi="times new roman"/>
                <w:sz w:val="20"/>
              </w:rPr>
              <w:t>(Columns in the table above may not sum to totals due to rounding)</w:t>
            </w:r>
          </w:p>
        </w:tc>
      </w:tr>
    </w:tbl>
    <w:p>
      <w:pPr>
        <w:pStyle w:val="TextBody"/>
        <w:spacing w:before="0" w:after="0"/>
        <w:ind w:left="0" w:right="0" w:hanging="0"/>
        <w:jc w:val="center"/>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Ceding commission revenue was $19,319,000 in Year Ended 2022 compared to $90,000 in Year Ended 2021. The increase of $19,229,000 was due to an increase in both provisional ceding commissions earned and contingent ceding commissions earned. See below for a discussion of provisional ceding commissions earned and contingent ceding commissions earned.</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37</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firstLine="720"/>
        <w:jc w:val="both"/>
        <w:rPr/>
      </w:pPr>
      <w:r>
        <w:rPr>
          <w:rStyle w:val="Emphasis"/>
          <w:rFonts w:ascii="times new roman" w:hAnsi="times new roman"/>
          <w:sz w:val="20"/>
        </w:rPr>
        <w:t xml:space="preserve">Provisional Ceding Commissions Earned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In Year Ended 2022 we earned provisional ceding commissions from personal lines earned premiums ceded under the 2021/2023 Treaty which was effective as of December 31, 2021. There was no personal lines quota share in effect in Year Ended 2021. </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Contingent Ceding Commissions Earned</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The structure of the 2021/2023 Treaty calls for a fixed provisional ceding commission with no opportunity to earn additional contingent ceding commissions. Under our prior years’ quota share treaties, we received a contingent ceding commission based on a sliding scale in relation to the losses incurred under our quota share treaties. The lower the ceded loss ratio, the more contingent commission we received.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Net Investment Income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Net investment income was $4,937,000 in Year Ended 2022 compared to $6,621,000 in Year Ended 2021, a decrease of $1,684,000, or 25.4%. The decrease in investment income is partially attributable to a $766,000 reversal of prior years’ estimated accrued interest income stemming from an error in third party investment reporting. The decline of investment income is also attributable to the disposal of income bearing equity securities. The average yield on invested assets was 3.42% as of December 31, 2022 compared to 3.25% as of December 31, 2021.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Cash and invested assets were $191,046,000 as of December 31, 2022 compared to $237,885,000 as of December 31, 2021. The $46,839,000 decrease in cash and invested assets was primarily attributable to cash paid to reinsurers at the inception of the 2021/2023 Treaty, losses paid in connection with catastrophe losses incurred in 2021 and 2022 and unrealized losses on our investment portfolio.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Net (Losses) Gains on Investments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Net losses on investments were $(9,392,000) in Year Ended 2022 compared to net gains of $9,787,000 in Year Ended 2021. Unrealized losses on our equity securities and other investments in Year Ended 2022 were $(9,252,000), compared to net unrealized gains of $2,469,000 in Year Ended 2021. Realized losses on sales of investments were $(140,000) in Year Ended 2022 compared to realized gains of $7,318,000 in Year Ended 2021.</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Other Income</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Other income was $910,000 in Year Ended 2022 compared to $851,000 in Year Ended 2021, an increase of $59,000, or 6.9%.</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Net Loss and LAE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Net loss and LAE was $88,390,000 for Year Ended 2022 compared to $101,973,000 for Year Ended 2021. The net loss ratio was 77.3% in Year Ended 2022 compared to 70.9% in Year Ended 2021, an increase of 6.4 percentage points.</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38</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both"/>
        <w:rPr/>
      </w:pPr>
      <w:r>
        <w:rPr/>
        <w:t xml:space="preserve">                </w:t>
      </w:r>
      <w:r>
        <w:rPr>
          <w:rFonts w:ascii="times new roman" w:hAnsi="times new roman"/>
          <w:sz w:val="20"/>
        </w:rPr>
        <w:t>The following graph summarizes the changes in the components of net loss ratio for the periods indicated, along with the comparable components excluding commercial lines business:</w:t>
      </w:r>
    </w:p>
    <w:p>
      <w:pPr>
        <w:pStyle w:val="TextBody"/>
        <w:spacing w:before="0" w:after="0"/>
        <w:ind w:left="0" w:right="0" w:hanging="0"/>
        <w:jc w:val="both"/>
        <w:rPr/>
      </w:pPr>
      <w:r>
        <w:rPr/>
        <w:t> </w:t>
      </w:r>
    </w:p>
    <w:p>
      <w:pPr>
        <w:pStyle w:val="TextBody"/>
        <w:spacing w:before="0" w:after="0"/>
        <w:ind w:left="0" w:right="0" w:hanging="0"/>
        <w:jc w:val="center"/>
        <w:rPr/>
      </w:pPr>
      <w:r>
        <w:rPr/>
        <w:drawing>
          <wp:inline distT="0" distB="0" distL="0" distR="0">
            <wp:extent cx="5838825" cy="436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838825" cy="4362450"/>
                    </a:xfrm>
                    <a:prstGeom prst="rect">
                      <a:avLst/>
                    </a:prstGeom>
                  </pic:spPr>
                </pic:pic>
              </a:graphicData>
            </a:graphic>
          </wp:inline>
        </w:drawing>
      </w:r>
      <w:r>
        <w:rPr/>
        <w:t xml:space="preserve"> </w:t>
      </w:r>
    </w:p>
    <w:p>
      <w:pPr>
        <w:pStyle w:val="TextBody"/>
        <w:spacing w:before="0" w:after="0"/>
        <w:ind w:left="0" w:right="0" w:hanging="0"/>
        <w:jc w:val="center"/>
        <w:rPr/>
      </w:pPr>
      <w:r>
        <w:rPr/>
        <w:t> </w:t>
      </w:r>
    </w:p>
    <w:p>
      <w:pPr>
        <w:pStyle w:val="TextBody"/>
        <w:spacing w:before="0" w:after="0"/>
        <w:ind w:left="0" w:right="0" w:firstLine="720"/>
        <w:jc w:val="center"/>
        <w:rPr/>
      </w:pPr>
      <w:r>
        <w:rPr>
          <w:rStyle w:val="Emphasis"/>
          <w:rFonts w:ascii="times new roman" w:hAnsi="times new roman"/>
          <w:sz w:val="20"/>
        </w:rPr>
        <w:t>(Percent components may not sum to totals due to rounding)</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loss ratio for Year Ended 2022 was higher than Year Ended 2021 due to two factors. The predominant reason was the impact from climbing inflation leading to higher severity of claim settlements. A slightly elevated frequency of water damage claims was also observed, partially driven by winter-related claims resulting from freezing temperatures.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estimated net catastrophe losses were $7,632,000 for Year Ended 2022, which contributed 6.7 points to the loss ratio. This was mostly driven by two winter events in the first quarter and one winter event (Winter Storm Elliott) in the fourth quarter. There were also another seven minor wind catastrophe events for Year Ended 2022, but the impact was not significant. As a comparison, catastrophe events had a loss ratio impact of 10.3 points for Year Ended 2021 due to a more active hurricane season including the named storm, Ida.</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Prior years in total have unfavorable development of $2,700,000 for Year Ended 2022, driven mostly by large fire losses which occurred in 2021 and the volatility of liability claim settlements from the discontinued commercial multi-peril line. This contributed 2.4 points to the loss ratio.</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See table below under “Additional Financial Information” summarizing net loss ratios by line of business.</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39</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Commission Expense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Commission expense was $34,582,000 in Year Ended 2022 or 18.1% of direct earned premiums. Commission expense was $33,114,000 in Year Ended 2021 or 19.0% of direct earned premiums. The increase of $1,468,000 was primarily due to an increase in direct earned premiums of $17,607,000 to $191,522,000 offset in part by a reduction of commission rate on our Select products and the reduction to contingent commissions, which the producers now earn only if KICO has an operating profit.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Other Underwriting Expenses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Other underwriting expenses were $26,697,000, or 13.9% of direct earned premiums, in Year Ended 2022 compared to $26,254,000, or 15.1% of direct earned premiums, in Year Ended 2021. The increase of $443,000, or 1.7%, was primarily due to increases in expenses related to our growth in direct earned premiums, salaries, and our continuing initiative to reduce expenses with the use of technology, partially offset by decreases in professional fees, state insurance department fees, and policy management system fees as result of the completion of customized efficient policy management software which allowed us to eliminate multiple legacy systems.</w:t>
      </w:r>
    </w:p>
    <w:p>
      <w:pPr>
        <w:pStyle w:val="TextBody"/>
        <w:spacing w:before="0" w:after="0"/>
        <w:ind w:left="0" w:right="0" w:hanging="0"/>
        <w:rPr/>
      </w:pPr>
      <w:r>
        <w:rPr/>
        <w:t> </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largest single component of other underwriting expenses is salaries and employment costs, with costs of $10,799,000 in Year Ended 2022 compared to $10,189,000 in Year Ended 2021. The increase of $610,000, or 6.0%, compares favorably with the 10.8% increase in direct written premiums. In the periods following Year Ended 2021, we invested in the hiring of higher-level managers and staff to implement our goals of modernization and efficiency, which we refer to as Kingstone 2.0.</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net underwriting expense ratio in Year Ended 2022 was 36.0% compared to 40.6% in Year Ended 2021. The following table shows the individual components of our net underwriting expense ratio for the periods indicated:</w:t>
      </w:r>
    </w:p>
    <w:p>
      <w:pPr>
        <w:pStyle w:val="TextBody"/>
        <w:spacing w:before="0" w:after="0"/>
        <w:ind w:left="0" w:right="0" w:firstLine="720"/>
        <w:jc w:val="both"/>
        <w:rPr/>
      </w:pPr>
      <w:r>
        <w:rPr/>
        <w:t> </w:t>
      </w:r>
    </w:p>
    <w:tbl>
      <w:tblPr>
        <w:tblW w:w="7891" w:type="dxa"/>
        <w:jc w:val="left"/>
        <w:tblInd w:w="0" w:type="dxa"/>
        <w:tblCellMar>
          <w:top w:w="0" w:type="dxa"/>
          <w:left w:w="0" w:type="dxa"/>
          <w:bottom w:w="0" w:type="dxa"/>
          <w:right w:w="0" w:type="dxa"/>
        </w:tblCellMar>
      </w:tblPr>
      <w:tblGrid>
        <w:gridCol w:w="3675"/>
        <w:gridCol w:w="90"/>
        <w:gridCol w:w="140"/>
        <w:gridCol w:w="851"/>
        <w:gridCol w:w="382"/>
        <w:gridCol w:w="140"/>
        <w:gridCol w:w="140"/>
        <w:gridCol w:w="734"/>
        <w:gridCol w:w="245"/>
        <w:gridCol w:w="90"/>
        <w:gridCol w:w="173"/>
        <w:gridCol w:w="1061"/>
        <w:gridCol w:w="170"/>
      </w:tblGrid>
      <w:tr>
        <w:trPr/>
        <w:tc>
          <w:tcPr>
            <w:tcW w:w="367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387"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Style w:val="StrongEmphasis"/>
                <w:rFonts w:ascii="times new roman" w:hAnsi="times new roman"/>
                <w:sz w:val="20"/>
              </w:rPr>
              <w:t>Years ended December 31,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34"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Percentage  </w:t>
            </w:r>
          </w:p>
        </w:tc>
        <w:tc>
          <w:tcPr>
            <w:tcW w:w="170" w:type="dxa"/>
            <w:tcBorders/>
            <w:shd w:fill="auto" w:val="clear"/>
            <w:vAlign w:val="center"/>
          </w:tcPr>
          <w:p>
            <w:pPr>
              <w:pStyle w:val="TableContents"/>
              <w:spacing w:before="0" w:after="0"/>
              <w:ind w:left="0" w:right="0" w:hanging="0"/>
              <w:rPr/>
            </w:pPr>
            <w:r>
              <w:rPr/>
              <w:t> </w:t>
            </w:r>
          </w:p>
        </w:tc>
      </w:tr>
      <w:tr>
        <w:trPr/>
        <w:tc>
          <w:tcPr>
            <w:tcW w:w="367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9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2022 </w:t>
            </w:r>
          </w:p>
        </w:tc>
        <w:tc>
          <w:tcPr>
            <w:tcW w:w="382" w:type="dxa"/>
            <w:tcBorders/>
            <w:shd w:fill="auto" w:val="clear"/>
            <w:vAlign w:val="center"/>
          </w:tcPr>
          <w:p>
            <w:pPr>
              <w:pStyle w:val="TableContents"/>
              <w:spacing w:before="0" w:after="0"/>
              <w:ind w:left="0" w:right="0" w:hanging="0"/>
              <w:rPr/>
            </w:pPr>
            <w:r>
              <w:rPr/>
              <w:t> </w:t>
            </w:r>
          </w:p>
        </w:tc>
        <w:tc>
          <w:tcPr>
            <w:tcW w:w="140" w:type="dxa"/>
            <w:tcBorders/>
            <w:shd w:fill="auto" w:val="clear"/>
            <w:vAlign w:val="center"/>
          </w:tcPr>
          <w:p>
            <w:pPr>
              <w:pStyle w:val="TableContents"/>
              <w:spacing w:before="0" w:after="0"/>
              <w:ind w:left="0" w:right="0" w:hanging="0"/>
              <w:rPr/>
            </w:pPr>
            <w:r>
              <w:rPr/>
              <w:t> </w:t>
            </w:r>
          </w:p>
        </w:tc>
        <w:tc>
          <w:tcPr>
            <w:tcW w:w="87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2021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3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Point Change </w:t>
            </w:r>
          </w:p>
        </w:tc>
        <w:tc>
          <w:tcPr>
            <w:tcW w:w="170" w:type="dxa"/>
            <w:tcBorders/>
            <w:shd w:fill="auto" w:val="clear"/>
            <w:vAlign w:val="center"/>
          </w:tcPr>
          <w:p>
            <w:pPr>
              <w:pStyle w:val="TableContents"/>
              <w:spacing w:before="0" w:after="0"/>
              <w:ind w:left="0" w:right="0" w:hanging="0"/>
              <w:rPr/>
            </w:pPr>
            <w:r>
              <w:rPr/>
              <w:t> </w:t>
            </w:r>
          </w:p>
        </w:tc>
      </w:tr>
      <w:tr>
        <w:trPr/>
        <w:tc>
          <w:tcPr>
            <w:tcW w:w="367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Other underwriting expenses</w:t>
            </w:r>
          </w:p>
        </w:tc>
        <w:tc>
          <w:tcPr>
            <w:tcW w:w="90" w:type="dxa"/>
            <w:tcBorders/>
            <w:shd w:fill="auto" w:val="clear"/>
            <w:vAlign w:val="center"/>
          </w:tcPr>
          <w:p>
            <w:pPr>
              <w:pStyle w:val="TableContents"/>
              <w:spacing w:before="0" w:after="0"/>
              <w:ind w:left="0" w:right="0" w:hanging="0"/>
              <w:rPr/>
            </w:pPr>
            <w:r>
              <w:rPr/>
              <w:t> </w:t>
            </w:r>
          </w:p>
        </w:tc>
        <w:tc>
          <w:tcPr>
            <w:tcW w:w="991" w:type="dxa"/>
            <w:gridSpan w:val="2"/>
            <w:tcBorders/>
            <w:shd w:fill="auto" w:val="clear"/>
            <w:vAlign w:val="center"/>
          </w:tcPr>
          <w:p>
            <w:pPr>
              <w:pStyle w:val="TableContents"/>
              <w:spacing w:before="0" w:after="0"/>
              <w:ind w:left="0" w:right="0" w:hanging="0"/>
              <w:rPr/>
            </w:pPr>
            <w:r>
              <w:rPr/>
              <w:t> </w:t>
            </w:r>
          </w:p>
        </w:tc>
        <w:tc>
          <w:tcPr>
            <w:tcW w:w="382" w:type="dxa"/>
            <w:tcBorders/>
            <w:shd w:fill="auto" w:val="clear"/>
            <w:vAlign w:val="center"/>
          </w:tcPr>
          <w:p>
            <w:pPr>
              <w:pStyle w:val="TableContents"/>
              <w:spacing w:before="0" w:after="0"/>
              <w:ind w:left="0" w:right="0" w:hanging="0"/>
              <w:rPr/>
            </w:pPr>
            <w:r>
              <w:rPr/>
              <w:t> </w:t>
            </w:r>
          </w:p>
        </w:tc>
        <w:tc>
          <w:tcPr>
            <w:tcW w:w="140" w:type="dxa"/>
            <w:tcBorders/>
            <w:shd w:fill="auto" w:val="clear"/>
            <w:vAlign w:val="center"/>
          </w:tcPr>
          <w:p>
            <w:pPr>
              <w:pStyle w:val="TableContents"/>
              <w:spacing w:before="0" w:after="0"/>
              <w:ind w:left="0" w:right="0" w:hanging="0"/>
              <w:rPr/>
            </w:pPr>
            <w:r>
              <w:rPr/>
              <w:t> </w:t>
            </w:r>
          </w:p>
        </w:tc>
        <w:tc>
          <w:tcPr>
            <w:tcW w:w="874"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34" w:type="dxa"/>
            <w:gridSpan w:val="2"/>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r>
      <w:tr>
        <w:trPr/>
        <w:tc>
          <w:tcPr>
            <w:tcW w:w="3675" w:type="dxa"/>
            <w:tcBorders/>
            <w:shd w:fill="CCEEFF" w:val="clear"/>
            <w:vAlign w:val="center"/>
          </w:tcPr>
          <w:p>
            <w:pPr>
              <w:pStyle w:val="TableContents"/>
              <w:spacing w:before="0" w:after="0"/>
              <w:ind w:left="0" w:right="0" w:firstLine="400"/>
              <w:rPr>
                <w:rFonts w:ascii="times new roman" w:hAnsi="times new roman"/>
                <w:sz w:val="20"/>
              </w:rPr>
            </w:pPr>
            <w:r>
              <w:rPr>
                <w:rFonts w:ascii="times new roman" w:hAnsi="times new roman"/>
                <w:sz w:val="20"/>
              </w:rPr>
              <w:t>Employment costs</w:t>
            </w:r>
          </w:p>
        </w:tc>
        <w:tc>
          <w:tcPr>
            <w:tcW w:w="90" w:type="dxa"/>
            <w:tcBorders/>
            <w:shd w:fill="CCEEFF" w:val="clear"/>
            <w:vAlign w:val="center"/>
          </w:tcPr>
          <w:p>
            <w:pPr>
              <w:pStyle w:val="TableContents"/>
              <w:spacing w:before="0" w:after="0"/>
              <w:ind w:left="0" w:right="0" w:hanging="0"/>
              <w:rPr/>
            </w:pPr>
            <w:r>
              <w:rPr/>
              <w:t> </w:t>
            </w:r>
          </w:p>
        </w:tc>
        <w:tc>
          <w:tcPr>
            <w:tcW w:w="140" w:type="dxa"/>
            <w:tcBorders/>
            <w:shd w:fill="CCEEFF" w:val="clear"/>
            <w:vAlign w:val="center"/>
          </w:tcPr>
          <w:p>
            <w:pPr>
              <w:pStyle w:val="TableContents"/>
              <w:spacing w:before="0" w:after="0"/>
              <w:ind w:left="0" w:right="0" w:hanging="0"/>
              <w:rPr/>
            </w:pPr>
            <w:r>
              <w:rPr/>
              <w:t> </w:t>
            </w:r>
          </w:p>
        </w:tc>
        <w:tc>
          <w:tcPr>
            <w:tcW w:w="851" w:type="dxa"/>
            <w:tcBorders/>
            <w:shd w:fill="CCEEFF" w:val="clear"/>
            <w:vAlign w:val="center"/>
          </w:tcPr>
          <w:p>
            <w:pPr>
              <w:pStyle w:val="TableContents"/>
              <w:spacing w:before="0" w:after="283"/>
              <w:jc w:val="right"/>
              <w:rPr/>
            </w:pPr>
            <w:r>
              <w:rPr/>
              <w:t>9.4</w:t>
            </w:r>
          </w:p>
        </w:tc>
        <w:tc>
          <w:tcPr>
            <w:tcW w:w="382" w:type="dxa"/>
            <w:tcBorders/>
            <w:shd w:fill="CCEEFF" w:val="clear"/>
            <w:vAlign w:val="center"/>
          </w:tcPr>
          <w:p>
            <w:pPr>
              <w:pStyle w:val="TableContents"/>
              <w:spacing w:before="0" w:after="283"/>
              <w:rPr/>
            </w:pPr>
            <w:r>
              <w:rPr/>
              <w:t>%</w:t>
            </w:r>
          </w:p>
        </w:tc>
        <w:tc>
          <w:tcPr>
            <w:tcW w:w="140" w:type="dxa"/>
            <w:tcBorders/>
            <w:shd w:fill="CCEEFF" w:val="clear"/>
            <w:vAlign w:val="center"/>
          </w:tcPr>
          <w:p>
            <w:pPr>
              <w:pStyle w:val="TableContents"/>
              <w:spacing w:before="0" w:after="0"/>
              <w:ind w:left="0" w:right="0" w:hanging="0"/>
              <w:rPr/>
            </w:pPr>
            <w:r>
              <w:rPr/>
              <w:t> </w:t>
            </w:r>
          </w:p>
        </w:tc>
        <w:tc>
          <w:tcPr>
            <w:tcW w:w="140" w:type="dxa"/>
            <w:tcBorders/>
            <w:shd w:fill="CCEEFF" w:val="clear"/>
            <w:vAlign w:val="center"/>
          </w:tcPr>
          <w:p>
            <w:pPr>
              <w:pStyle w:val="TableContents"/>
              <w:spacing w:before="0" w:after="0"/>
              <w:ind w:left="0" w:right="0" w:hanging="0"/>
              <w:rPr/>
            </w:pPr>
            <w:r>
              <w:rPr/>
              <w:t> </w:t>
            </w:r>
          </w:p>
        </w:tc>
        <w:tc>
          <w:tcPr>
            <w:tcW w:w="734" w:type="dxa"/>
            <w:tcBorders/>
            <w:shd w:fill="CCEEFF" w:val="clear"/>
            <w:vAlign w:val="center"/>
          </w:tcPr>
          <w:p>
            <w:pPr>
              <w:pStyle w:val="TableContents"/>
              <w:spacing w:before="0" w:after="283"/>
              <w:jc w:val="right"/>
              <w:rPr/>
            </w:pPr>
            <w:r>
              <w:rPr/>
              <w:t>7.1</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3" w:type="dxa"/>
            <w:tcBorders/>
            <w:shd w:fill="CCEEFF" w:val="clear"/>
            <w:vAlign w:val="center"/>
          </w:tcPr>
          <w:p>
            <w:pPr>
              <w:pStyle w:val="TableContents"/>
              <w:spacing w:before="0" w:after="0"/>
              <w:ind w:left="0" w:right="0" w:hanging="0"/>
              <w:rPr/>
            </w:pPr>
            <w:r>
              <w:rPr/>
              <w:t> </w:t>
            </w:r>
          </w:p>
        </w:tc>
        <w:tc>
          <w:tcPr>
            <w:tcW w:w="1061" w:type="dxa"/>
            <w:tcBorders/>
            <w:shd w:fill="CCEEFF" w:val="clear"/>
            <w:vAlign w:val="center"/>
          </w:tcPr>
          <w:p>
            <w:pPr>
              <w:pStyle w:val="TableContents"/>
              <w:spacing w:before="0" w:after="283"/>
              <w:jc w:val="right"/>
              <w:rPr/>
            </w:pPr>
            <w:r>
              <w:rPr/>
              <w:t>2.3</w:t>
            </w:r>
          </w:p>
        </w:tc>
        <w:tc>
          <w:tcPr>
            <w:tcW w:w="170" w:type="dxa"/>
            <w:tcBorders/>
            <w:shd w:fill="CCEEFF" w:val="clear"/>
            <w:vAlign w:val="center"/>
          </w:tcPr>
          <w:p>
            <w:pPr>
              <w:pStyle w:val="TableContents"/>
              <w:spacing w:before="0" w:after="0"/>
              <w:ind w:left="0" w:right="0" w:hanging="0"/>
              <w:rPr/>
            </w:pPr>
            <w:r>
              <w:rPr/>
              <w:t> </w:t>
            </w:r>
          </w:p>
        </w:tc>
      </w:tr>
      <w:tr>
        <w:trPr/>
        <w:tc>
          <w:tcPr>
            <w:tcW w:w="3675" w:type="dxa"/>
            <w:tcBorders/>
            <w:shd w:fill="FFFFFF" w:val="clear"/>
            <w:vAlign w:val="center"/>
          </w:tcPr>
          <w:p>
            <w:pPr>
              <w:pStyle w:val="TableContents"/>
              <w:spacing w:before="0" w:after="0"/>
              <w:ind w:left="0" w:right="0" w:firstLine="400"/>
              <w:rPr>
                <w:rFonts w:ascii="times new roman" w:hAnsi="times new roman"/>
                <w:sz w:val="20"/>
              </w:rPr>
            </w:pPr>
            <w:r>
              <w:rPr>
                <w:rFonts w:ascii="times new roman" w:hAnsi="times new roman"/>
                <w:sz w:val="20"/>
              </w:rPr>
              <w:t>Underwriting fees (inspections/surveys)</w:t>
            </w:r>
          </w:p>
        </w:tc>
        <w:tc>
          <w:tcPr>
            <w:tcW w:w="90" w:type="dxa"/>
            <w:tcBorders/>
            <w:shd w:fill="FFFFFF" w:val="clear"/>
            <w:vAlign w:val="center"/>
          </w:tcPr>
          <w:p>
            <w:pPr>
              <w:pStyle w:val="TableContents"/>
              <w:spacing w:before="0" w:after="0"/>
              <w:ind w:left="0" w:right="0" w:hanging="0"/>
              <w:rPr/>
            </w:pPr>
            <w:r>
              <w:rPr/>
              <w:t> </w:t>
            </w:r>
          </w:p>
        </w:tc>
        <w:tc>
          <w:tcPr>
            <w:tcW w:w="140" w:type="dxa"/>
            <w:tcBorders/>
            <w:shd w:fill="FFFFFF" w:val="clear"/>
            <w:vAlign w:val="center"/>
          </w:tcPr>
          <w:p>
            <w:pPr>
              <w:pStyle w:val="TableContents"/>
              <w:spacing w:before="0" w:after="0"/>
              <w:ind w:left="0" w:right="0" w:hanging="0"/>
              <w:rPr/>
            </w:pPr>
            <w:r>
              <w:rPr/>
              <w:t> </w:t>
            </w:r>
          </w:p>
        </w:tc>
        <w:tc>
          <w:tcPr>
            <w:tcW w:w="851" w:type="dxa"/>
            <w:tcBorders/>
            <w:shd w:fill="FFFFFF" w:val="clear"/>
            <w:vAlign w:val="center"/>
          </w:tcPr>
          <w:p>
            <w:pPr>
              <w:pStyle w:val="TableContents"/>
              <w:spacing w:before="0" w:after="283"/>
              <w:jc w:val="right"/>
              <w:rPr/>
            </w:pPr>
            <w:r>
              <w:rPr/>
              <w:t>1.7</w:t>
            </w:r>
          </w:p>
        </w:tc>
        <w:tc>
          <w:tcPr>
            <w:tcW w:w="382" w:type="dxa"/>
            <w:tcBorders/>
            <w:shd w:fill="FFFFFF" w:val="clear"/>
            <w:vAlign w:val="center"/>
          </w:tcPr>
          <w:p>
            <w:pPr>
              <w:pStyle w:val="TableContents"/>
              <w:spacing w:before="0" w:after="0"/>
              <w:ind w:left="0" w:right="0" w:hanging="0"/>
              <w:rPr/>
            </w:pPr>
            <w:r>
              <w:rPr/>
              <w:t> </w:t>
            </w:r>
          </w:p>
        </w:tc>
        <w:tc>
          <w:tcPr>
            <w:tcW w:w="140" w:type="dxa"/>
            <w:tcBorders/>
            <w:shd w:fill="FFFFFF" w:val="clear"/>
            <w:vAlign w:val="center"/>
          </w:tcPr>
          <w:p>
            <w:pPr>
              <w:pStyle w:val="TableContents"/>
              <w:spacing w:before="0" w:after="0"/>
              <w:ind w:left="0" w:right="0" w:hanging="0"/>
              <w:rPr/>
            </w:pPr>
            <w:r>
              <w:rPr/>
              <w:t> </w:t>
            </w:r>
          </w:p>
        </w:tc>
        <w:tc>
          <w:tcPr>
            <w:tcW w:w="140" w:type="dxa"/>
            <w:tcBorders/>
            <w:shd w:fill="FFFFFF" w:val="clear"/>
            <w:vAlign w:val="center"/>
          </w:tcPr>
          <w:p>
            <w:pPr>
              <w:pStyle w:val="TableContents"/>
              <w:spacing w:before="0" w:after="0"/>
              <w:ind w:left="0" w:right="0" w:hanging="0"/>
              <w:rPr/>
            </w:pPr>
            <w:r>
              <w:rPr/>
              <w:t> </w:t>
            </w:r>
          </w:p>
        </w:tc>
        <w:tc>
          <w:tcPr>
            <w:tcW w:w="734" w:type="dxa"/>
            <w:tcBorders/>
            <w:shd w:fill="FFFFFF" w:val="clear"/>
            <w:vAlign w:val="center"/>
          </w:tcPr>
          <w:p>
            <w:pPr>
              <w:pStyle w:val="TableContents"/>
              <w:spacing w:before="0" w:after="283"/>
              <w:jc w:val="right"/>
              <w:rPr/>
            </w:pPr>
            <w:r>
              <w:rPr/>
              <w:t>1.3</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3" w:type="dxa"/>
            <w:tcBorders/>
            <w:shd w:fill="FFFFFF" w:val="clear"/>
            <w:vAlign w:val="center"/>
          </w:tcPr>
          <w:p>
            <w:pPr>
              <w:pStyle w:val="TableContents"/>
              <w:spacing w:before="0" w:after="0"/>
              <w:ind w:left="0" w:right="0" w:hanging="0"/>
              <w:rPr/>
            </w:pPr>
            <w:r>
              <w:rPr/>
              <w:t> </w:t>
            </w:r>
          </w:p>
        </w:tc>
        <w:tc>
          <w:tcPr>
            <w:tcW w:w="1061" w:type="dxa"/>
            <w:tcBorders/>
            <w:shd w:fill="FFFFFF" w:val="clear"/>
            <w:vAlign w:val="center"/>
          </w:tcPr>
          <w:p>
            <w:pPr>
              <w:pStyle w:val="TableContents"/>
              <w:spacing w:before="0" w:after="283"/>
              <w:jc w:val="right"/>
              <w:rPr/>
            </w:pPr>
            <w:r>
              <w:rPr/>
              <w:t>0.4</w:t>
            </w:r>
          </w:p>
        </w:tc>
        <w:tc>
          <w:tcPr>
            <w:tcW w:w="170" w:type="dxa"/>
            <w:tcBorders/>
            <w:shd w:fill="FFFFFF" w:val="clear"/>
            <w:vAlign w:val="center"/>
          </w:tcPr>
          <w:p>
            <w:pPr>
              <w:pStyle w:val="TableContents"/>
              <w:spacing w:before="0" w:after="0"/>
              <w:ind w:left="0" w:right="0" w:hanging="0"/>
              <w:rPr/>
            </w:pPr>
            <w:r>
              <w:rPr/>
              <w:t> </w:t>
            </w:r>
          </w:p>
        </w:tc>
      </w:tr>
      <w:tr>
        <w:trPr/>
        <w:tc>
          <w:tcPr>
            <w:tcW w:w="3675" w:type="dxa"/>
            <w:tcBorders/>
            <w:shd w:fill="CCEEFF" w:val="clear"/>
            <w:vAlign w:val="center"/>
          </w:tcPr>
          <w:p>
            <w:pPr>
              <w:pStyle w:val="TableContents"/>
              <w:spacing w:before="0" w:after="0"/>
              <w:ind w:left="0" w:right="0" w:firstLine="400"/>
              <w:rPr>
                <w:rFonts w:ascii="times new roman" w:hAnsi="times new roman"/>
                <w:sz w:val="20"/>
              </w:rPr>
            </w:pPr>
            <w:r>
              <w:rPr>
                <w:rFonts w:ascii="times new roman" w:hAnsi="times new roman"/>
                <w:sz w:val="20"/>
              </w:rPr>
              <w:t>IT expenses</w:t>
            </w:r>
          </w:p>
        </w:tc>
        <w:tc>
          <w:tcPr>
            <w:tcW w:w="90" w:type="dxa"/>
            <w:tcBorders/>
            <w:shd w:fill="CCEEFF" w:val="clear"/>
            <w:vAlign w:val="center"/>
          </w:tcPr>
          <w:p>
            <w:pPr>
              <w:pStyle w:val="TableContents"/>
              <w:spacing w:before="0" w:after="0"/>
              <w:ind w:left="0" w:right="0" w:hanging="0"/>
              <w:rPr/>
            </w:pPr>
            <w:r>
              <w:rPr/>
              <w:t> </w:t>
            </w:r>
          </w:p>
        </w:tc>
        <w:tc>
          <w:tcPr>
            <w:tcW w:w="140" w:type="dxa"/>
            <w:tcBorders/>
            <w:shd w:fill="CCEEFF" w:val="clear"/>
            <w:vAlign w:val="center"/>
          </w:tcPr>
          <w:p>
            <w:pPr>
              <w:pStyle w:val="TableContents"/>
              <w:spacing w:before="0" w:after="0"/>
              <w:ind w:left="0" w:right="0" w:hanging="0"/>
              <w:rPr/>
            </w:pPr>
            <w:r>
              <w:rPr/>
              <w:t> </w:t>
            </w:r>
          </w:p>
        </w:tc>
        <w:tc>
          <w:tcPr>
            <w:tcW w:w="851" w:type="dxa"/>
            <w:tcBorders/>
            <w:shd w:fill="CCEEFF" w:val="clear"/>
            <w:vAlign w:val="center"/>
          </w:tcPr>
          <w:p>
            <w:pPr>
              <w:pStyle w:val="TableContents"/>
              <w:spacing w:before="0" w:after="283"/>
              <w:jc w:val="right"/>
              <w:rPr/>
            </w:pPr>
            <w:r>
              <w:rPr/>
              <w:t>3.9</w:t>
            </w:r>
          </w:p>
        </w:tc>
        <w:tc>
          <w:tcPr>
            <w:tcW w:w="382" w:type="dxa"/>
            <w:tcBorders/>
            <w:shd w:fill="CCEEFF" w:val="clear"/>
            <w:vAlign w:val="center"/>
          </w:tcPr>
          <w:p>
            <w:pPr>
              <w:pStyle w:val="TableContents"/>
              <w:spacing w:before="0" w:after="0"/>
              <w:ind w:left="0" w:right="0" w:hanging="0"/>
              <w:rPr/>
            </w:pPr>
            <w:r>
              <w:rPr/>
              <w:t> </w:t>
            </w:r>
          </w:p>
        </w:tc>
        <w:tc>
          <w:tcPr>
            <w:tcW w:w="140" w:type="dxa"/>
            <w:tcBorders/>
            <w:shd w:fill="CCEEFF" w:val="clear"/>
            <w:vAlign w:val="center"/>
          </w:tcPr>
          <w:p>
            <w:pPr>
              <w:pStyle w:val="TableContents"/>
              <w:spacing w:before="0" w:after="0"/>
              <w:ind w:left="0" w:right="0" w:hanging="0"/>
              <w:rPr/>
            </w:pPr>
            <w:r>
              <w:rPr/>
              <w:t> </w:t>
            </w:r>
          </w:p>
        </w:tc>
        <w:tc>
          <w:tcPr>
            <w:tcW w:w="140" w:type="dxa"/>
            <w:tcBorders/>
            <w:shd w:fill="CCEEFF" w:val="clear"/>
            <w:vAlign w:val="center"/>
          </w:tcPr>
          <w:p>
            <w:pPr>
              <w:pStyle w:val="TableContents"/>
              <w:spacing w:before="0" w:after="0"/>
              <w:ind w:left="0" w:right="0" w:hanging="0"/>
              <w:rPr/>
            </w:pPr>
            <w:r>
              <w:rPr/>
              <w:t> </w:t>
            </w:r>
          </w:p>
        </w:tc>
        <w:tc>
          <w:tcPr>
            <w:tcW w:w="734" w:type="dxa"/>
            <w:tcBorders/>
            <w:shd w:fill="CCEEFF" w:val="clear"/>
            <w:vAlign w:val="center"/>
          </w:tcPr>
          <w:p>
            <w:pPr>
              <w:pStyle w:val="TableContents"/>
              <w:spacing w:before="0" w:after="283"/>
              <w:jc w:val="right"/>
              <w:rPr/>
            </w:pPr>
            <w:r>
              <w:rPr/>
              <w:t>3.2</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3" w:type="dxa"/>
            <w:tcBorders/>
            <w:shd w:fill="CCEEFF" w:val="clear"/>
            <w:vAlign w:val="center"/>
          </w:tcPr>
          <w:p>
            <w:pPr>
              <w:pStyle w:val="TableContents"/>
              <w:spacing w:before="0" w:after="0"/>
              <w:ind w:left="0" w:right="0" w:hanging="0"/>
              <w:rPr/>
            </w:pPr>
            <w:r>
              <w:rPr/>
              <w:t> </w:t>
            </w:r>
          </w:p>
        </w:tc>
        <w:tc>
          <w:tcPr>
            <w:tcW w:w="1061" w:type="dxa"/>
            <w:tcBorders/>
            <w:shd w:fill="CCEEFF" w:val="clear"/>
            <w:vAlign w:val="center"/>
          </w:tcPr>
          <w:p>
            <w:pPr>
              <w:pStyle w:val="TableContents"/>
              <w:spacing w:before="0" w:after="283"/>
              <w:jc w:val="right"/>
              <w:rPr/>
            </w:pPr>
            <w:r>
              <w:rPr/>
              <w:t>0.7</w:t>
            </w:r>
          </w:p>
        </w:tc>
        <w:tc>
          <w:tcPr>
            <w:tcW w:w="170" w:type="dxa"/>
            <w:tcBorders/>
            <w:shd w:fill="CCEEFF" w:val="clear"/>
            <w:vAlign w:val="center"/>
          </w:tcPr>
          <w:p>
            <w:pPr>
              <w:pStyle w:val="TableContents"/>
              <w:spacing w:before="0" w:after="0"/>
              <w:ind w:left="0" w:right="0" w:hanging="0"/>
              <w:rPr/>
            </w:pPr>
            <w:r>
              <w:rPr/>
              <w:t> </w:t>
            </w:r>
          </w:p>
        </w:tc>
      </w:tr>
      <w:tr>
        <w:trPr/>
        <w:tc>
          <w:tcPr>
            <w:tcW w:w="3675" w:type="dxa"/>
            <w:tcBorders/>
            <w:shd w:fill="FFFFFF" w:val="clear"/>
            <w:vAlign w:val="center"/>
          </w:tcPr>
          <w:p>
            <w:pPr>
              <w:pStyle w:val="TableContents"/>
              <w:spacing w:before="0" w:after="0"/>
              <w:ind w:left="0" w:right="0" w:firstLine="400"/>
              <w:rPr>
                <w:rFonts w:ascii="times new roman" w:hAnsi="times new roman"/>
                <w:sz w:val="20"/>
              </w:rPr>
            </w:pPr>
            <w:r>
              <w:rPr>
                <w:rFonts w:ascii="times new roman" w:hAnsi="times new roman"/>
                <w:sz w:val="20"/>
              </w:rPr>
              <w:t>Professional fees</w:t>
            </w:r>
          </w:p>
        </w:tc>
        <w:tc>
          <w:tcPr>
            <w:tcW w:w="90" w:type="dxa"/>
            <w:tcBorders/>
            <w:shd w:fill="FFFFFF" w:val="clear"/>
            <w:vAlign w:val="center"/>
          </w:tcPr>
          <w:p>
            <w:pPr>
              <w:pStyle w:val="TableContents"/>
              <w:spacing w:before="0" w:after="0"/>
              <w:ind w:left="0" w:right="0" w:hanging="0"/>
              <w:rPr/>
            </w:pPr>
            <w:r>
              <w:rPr/>
              <w:t> </w:t>
            </w:r>
          </w:p>
        </w:tc>
        <w:tc>
          <w:tcPr>
            <w:tcW w:w="140" w:type="dxa"/>
            <w:tcBorders/>
            <w:shd w:fill="FFFFFF" w:val="clear"/>
            <w:vAlign w:val="center"/>
          </w:tcPr>
          <w:p>
            <w:pPr>
              <w:pStyle w:val="TableContents"/>
              <w:spacing w:before="0" w:after="0"/>
              <w:ind w:left="0" w:right="0" w:hanging="0"/>
              <w:rPr/>
            </w:pPr>
            <w:r>
              <w:rPr/>
              <w:t> </w:t>
            </w:r>
          </w:p>
        </w:tc>
        <w:tc>
          <w:tcPr>
            <w:tcW w:w="851" w:type="dxa"/>
            <w:tcBorders/>
            <w:shd w:fill="FFFFFF" w:val="clear"/>
            <w:vAlign w:val="center"/>
          </w:tcPr>
          <w:p>
            <w:pPr>
              <w:pStyle w:val="TableContents"/>
              <w:spacing w:before="0" w:after="283"/>
              <w:jc w:val="right"/>
              <w:rPr/>
            </w:pPr>
            <w:r>
              <w:rPr/>
              <w:t>1.3</w:t>
            </w:r>
          </w:p>
        </w:tc>
        <w:tc>
          <w:tcPr>
            <w:tcW w:w="382" w:type="dxa"/>
            <w:tcBorders/>
            <w:shd w:fill="FFFFFF" w:val="clear"/>
            <w:vAlign w:val="center"/>
          </w:tcPr>
          <w:p>
            <w:pPr>
              <w:pStyle w:val="TableContents"/>
              <w:spacing w:before="0" w:after="0"/>
              <w:ind w:left="0" w:right="0" w:hanging="0"/>
              <w:rPr/>
            </w:pPr>
            <w:r>
              <w:rPr/>
              <w:t> </w:t>
            </w:r>
          </w:p>
        </w:tc>
        <w:tc>
          <w:tcPr>
            <w:tcW w:w="140" w:type="dxa"/>
            <w:tcBorders/>
            <w:shd w:fill="FFFFFF" w:val="clear"/>
            <w:vAlign w:val="center"/>
          </w:tcPr>
          <w:p>
            <w:pPr>
              <w:pStyle w:val="TableContents"/>
              <w:spacing w:before="0" w:after="0"/>
              <w:ind w:left="0" w:right="0" w:hanging="0"/>
              <w:rPr/>
            </w:pPr>
            <w:r>
              <w:rPr/>
              <w:t> </w:t>
            </w:r>
          </w:p>
        </w:tc>
        <w:tc>
          <w:tcPr>
            <w:tcW w:w="140" w:type="dxa"/>
            <w:tcBorders/>
            <w:shd w:fill="FFFFFF" w:val="clear"/>
            <w:vAlign w:val="center"/>
          </w:tcPr>
          <w:p>
            <w:pPr>
              <w:pStyle w:val="TableContents"/>
              <w:spacing w:before="0" w:after="0"/>
              <w:ind w:left="0" w:right="0" w:hanging="0"/>
              <w:rPr/>
            </w:pPr>
            <w:r>
              <w:rPr/>
              <w:t> </w:t>
            </w:r>
          </w:p>
        </w:tc>
        <w:tc>
          <w:tcPr>
            <w:tcW w:w="734" w:type="dxa"/>
            <w:tcBorders/>
            <w:shd w:fill="FFFFFF" w:val="clear"/>
            <w:vAlign w:val="center"/>
          </w:tcPr>
          <w:p>
            <w:pPr>
              <w:pStyle w:val="TableContents"/>
              <w:spacing w:before="0" w:after="283"/>
              <w:jc w:val="right"/>
              <w:rPr/>
            </w:pPr>
            <w:r>
              <w:rPr/>
              <w:t>1.2</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3" w:type="dxa"/>
            <w:tcBorders/>
            <w:shd w:fill="FFFFFF" w:val="clear"/>
            <w:vAlign w:val="center"/>
          </w:tcPr>
          <w:p>
            <w:pPr>
              <w:pStyle w:val="TableContents"/>
              <w:spacing w:before="0" w:after="0"/>
              <w:ind w:left="0" w:right="0" w:hanging="0"/>
              <w:rPr/>
            </w:pPr>
            <w:r>
              <w:rPr/>
              <w:t> </w:t>
            </w:r>
          </w:p>
        </w:tc>
        <w:tc>
          <w:tcPr>
            <w:tcW w:w="1061" w:type="dxa"/>
            <w:tcBorders/>
            <w:shd w:fill="FFFFFF" w:val="clear"/>
            <w:vAlign w:val="center"/>
          </w:tcPr>
          <w:p>
            <w:pPr>
              <w:pStyle w:val="TableContents"/>
              <w:spacing w:before="0" w:after="283"/>
              <w:jc w:val="right"/>
              <w:rPr/>
            </w:pPr>
            <w:r>
              <w:rPr/>
              <w:t>0.1</w:t>
            </w:r>
          </w:p>
        </w:tc>
        <w:tc>
          <w:tcPr>
            <w:tcW w:w="170" w:type="dxa"/>
            <w:tcBorders/>
            <w:shd w:fill="FFFFFF" w:val="clear"/>
            <w:vAlign w:val="center"/>
          </w:tcPr>
          <w:p>
            <w:pPr>
              <w:pStyle w:val="TableContents"/>
              <w:spacing w:before="0" w:after="0"/>
              <w:ind w:left="0" w:right="0" w:hanging="0"/>
              <w:rPr/>
            </w:pPr>
            <w:r>
              <w:rPr/>
              <w:t> </w:t>
            </w:r>
          </w:p>
        </w:tc>
      </w:tr>
      <w:tr>
        <w:trPr/>
        <w:tc>
          <w:tcPr>
            <w:tcW w:w="3675" w:type="dxa"/>
            <w:tcBorders/>
            <w:shd w:fill="CCEEFF" w:val="clear"/>
            <w:vAlign w:val="center"/>
          </w:tcPr>
          <w:p>
            <w:pPr>
              <w:pStyle w:val="TableContents"/>
              <w:spacing w:before="0" w:after="0"/>
              <w:ind w:left="0" w:right="0" w:firstLine="400"/>
              <w:rPr>
                <w:rFonts w:ascii="times new roman" w:hAnsi="times new roman"/>
                <w:sz w:val="20"/>
              </w:rPr>
            </w:pPr>
            <w:r>
              <w:rPr>
                <w:rFonts w:ascii="times new roman" w:hAnsi="times new roman"/>
                <w:sz w:val="20"/>
              </w:rPr>
              <w:t>Other expenses</w:t>
            </w:r>
          </w:p>
        </w:tc>
        <w:tc>
          <w:tcPr>
            <w:tcW w:w="90" w:type="dxa"/>
            <w:tcBorders/>
            <w:shd w:fill="CCEEFF" w:val="clear"/>
            <w:vAlign w:val="center"/>
          </w:tcPr>
          <w:p>
            <w:pPr>
              <w:pStyle w:val="TableContents"/>
              <w:spacing w:before="0" w:after="0"/>
              <w:ind w:left="0" w:right="0" w:hanging="0"/>
              <w:rPr/>
            </w:pPr>
            <w:r>
              <w:rPr/>
              <w:t> </w:t>
            </w:r>
          </w:p>
        </w:tc>
        <w:tc>
          <w:tcPr>
            <w:tcW w:w="14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51" w:type="dxa"/>
            <w:tcBorders>
              <w:bottom w:val="single" w:sz="2" w:space="0" w:color="000000"/>
            </w:tcBorders>
            <w:shd w:fill="CCEEFF" w:val="clear"/>
            <w:tcMar>
              <w:bottom w:w="28" w:type="dxa"/>
            </w:tcMar>
            <w:vAlign w:val="center"/>
          </w:tcPr>
          <w:p>
            <w:pPr>
              <w:pStyle w:val="TableContents"/>
              <w:spacing w:before="0" w:after="283"/>
              <w:jc w:val="right"/>
              <w:rPr/>
            </w:pPr>
            <w:r>
              <w:rPr/>
              <w:t>7.0</w:t>
            </w:r>
          </w:p>
        </w:tc>
        <w:tc>
          <w:tcPr>
            <w:tcW w:w="382" w:type="dxa"/>
            <w:tcBorders/>
            <w:shd w:fill="CCEEFF" w:val="clear"/>
            <w:vAlign w:val="center"/>
          </w:tcPr>
          <w:p>
            <w:pPr>
              <w:pStyle w:val="TableContents"/>
              <w:spacing w:before="0" w:after="0"/>
              <w:ind w:left="0" w:right="0" w:hanging="0"/>
              <w:rPr/>
            </w:pPr>
            <w:r>
              <w:rPr/>
              <w:t> </w:t>
            </w:r>
          </w:p>
        </w:tc>
        <w:tc>
          <w:tcPr>
            <w:tcW w:w="140" w:type="dxa"/>
            <w:tcBorders/>
            <w:shd w:fill="CCEEFF" w:val="clear"/>
            <w:vAlign w:val="center"/>
          </w:tcPr>
          <w:p>
            <w:pPr>
              <w:pStyle w:val="TableContents"/>
              <w:spacing w:before="0" w:after="0"/>
              <w:ind w:left="0" w:right="0" w:hanging="0"/>
              <w:rPr/>
            </w:pPr>
            <w:r>
              <w:rPr/>
              <w:t> </w:t>
            </w:r>
          </w:p>
        </w:tc>
        <w:tc>
          <w:tcPr>
            <w:tcW w:w="14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34" w:type="dxa"/>
            <w:tcBorders>
              <w:bottom w:val="single" w:sz="2" w:space="0" w:color="000000"/>
            </w:tcBorders>
            <w:shd w:fill="CCEEFF" w:val="clear"/>
            <w:tcMar>
              <w:bottom w:w="28" w:type="dxa"/>
            </w:tcMar>
            <w:vAlign w:val="center"/>
          </w:tcPr>
          <w:p>
            <w:pPr>
              <w:pStyle w:val="TableContents"/>
              <w:spacing w:before="0" w:after="283"/>
              <w:jc w:val="right"/>
              <w:rPr/>
            </w:pPr>
            <w:r>
              <w:rPr/>
              <w:t>5.5</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3"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61" w:type="dxa"/>
            <w:tcBorders>
              <w:bottom w:val="single" w:sz="2" w:space="0" w:color="000000"/>
            </w:tcBorders>
            <w:shd w:fill="CCEEFF" w:val="clear"/>
            <w:tcMar>
              <w:bottom w:w="28" w:type="dxa"/>
            </w:tcMar>
            <w:vAlign w:val="center"/>
          </w:tcPr>
          <w:p>
            <w:pPr>
              <w:pStyle w:val="TableContents"/>
              <w:spacing w:before="0" w:after="283"/>
              <w:jc w:val="right"/>
              <w:rPr/>
            </w:pPr>
            <w:r>
              <w:rPr/>
              <w:t>1.5</w:t>
            </w:r>
          </w:p>
        </w:tc>
        <w:tc>
          <w:tcPr>
            <w:tcW w:w="170" w:type="dxa"/>
            <w:tcBorders/>
            <w:shd w:fill="CCEEFF" w:val="clear"/>
            <w:vAlign w:val="center"/>
          </w:tcPr>
          <w:p>
            <w:pPr>
              <w:pStyle w:val="TableContents"/>
              <w:spacing w:before="0" w:after="0"/>
              <w:ind w:left="0" w:right="0" w:hanging="0"/>
              <w:rPr/>
            </w:pPr>
            <w:r>
              <w:rPr/>
              <w:t> </w:t>
            </w:r>
          </w:p>
        </w:tc>
      </w:tr>
      <w:tr>
        <w:trPr/>
        <w:tc>
          <w:tcPr>
            <w:tcW w:w="3675" w:type="dxa"/>
            <w:tcBorders/>
            <w:shd w:fill="FFFF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Total other underwriting expenses</w:t>
            </w:r>
          </w:p>
        </w:tc>
        <w:tc>
          <w:tcPr>
            <w:tcW w:w="90" w:type="dxa"/>
            <w:tcBorders/>
            <w:shd w:fill="FFFFFF" w:val="clear"/>
            <w:vAlign w:val="center"/>
          </w:tcPr>
          <w:p>
            <w:pPr>
              <w:pStyle w:val="TableContents"/>
              <w:spacing w:before="0" w:after="0"/>
              <w:ind w:left="0" w:right="0" w:hanging="0"/>
              <w:rPr/>
            </w:pPr>
            <w:r>
              <w:rPr/>
              <w:t> </w:t>
            </w:r>
          </w:p>
        </w:tc>
        <w:tc>
          <w:tcPr>
            <w:tcW w:w="14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51" w:type="dxa"/>
            <w:tcBorders>
              <w:bottom w:val="single" w:sz="2" w:space="0" w:color="000000"/>
            </w:tcBorders>
            <w:shd w:fill="FFFFFF" w:val="clear"/>
            <w:tcMar>
              <w:bottom w:w="28" w:type="dxa"/>
            </w:tcMar>
            <w:vAlign w:val="center"/>
          </w:tcPr>
          <w:p>
            <w:pPr>
              <w:pStyle w:val="TableContents"/>
              <w:spacing w:before="0" w:after="283"/>
              <w:jc w:val="right"/>
              <w:rPr/>
            </w:pPr>
            <w:r>
              <w:rPr/>
              <w:t>23.3</w:t>
            </w:r>
          </w:p>
        </w:tc>
        <w:tc>
          <w:tcPr>
            <w:tcW w:w="382" w:type="dxa"/>
            <w:tcBorders/>
            <w:shd w:fill="FFFFFF" w:val="clear"/>
            <w:vAlign w:val="center"/>
          </w:tcPr>
          <w:p>
            <w:pPr>
              <w:pStyle w:val="TableContents"/>
              <w:spacing w:before="0" w:after="0"/>
              <w:ind w:left="0" w:right="0" w:hanging="0"/>
              <w:rPr/>
            </w:pPr>
            <w:r>
              <w:rPr/>
              <w:t> </w:t>
            </w:r>
          </w:p>
        </w:tc>
        <w:tc>
          <w:tcPr>
            <w:tcW w:w="140" w:type="dxa"/>
            <w:tcBorders/>
            <w:shd w:fill="FFFFFF" w:val="clear"/>
            <w:vAlign w:val="center"/>
          </w:tcPr>
          <w:p>
            <w:pPr>
              <w:pStyle w:val="TableContents"/>
              <w:spacing w:before="0" w:after="0"/>
              <w:ind w:left="0" w:right="0" w:hanging="0"/>
              <w:rPr/>
            </w:pPr>
            <w:r>
              <w:rPr/>
              <w:t> </w:t>
            </w:r>
          </w:p>
        </w:tc>
        <w:tc>
          <w:tcPr>
            <w:tcW w:w="14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34" w:type="dxa"/>
            <w:tcBorders>
              <w:bottom w:val="single" w:sz="2" w:space="0" w:color="000000"/>
            </w:tcBorders>
            <w:shd w:fill="FFFFFF" w:val="clear"/>
            <w:tcMar>
              <w:bottom w:w="28" w:type="dxa"/>
            </w:tcMar>
            <w:vAlign w:val="center"/>
          </w:tcPr>
          <w:p>
            <w:pPr>
              <w:pStyle w:val="TableContents"/>
              <w:spacing w:before="0" w:after="283"/>
              <w:jc w:val="right"/>
              <w:rPr/>
            </w:pPr>
            <w:r>
              <w:rPr/>
              <w:t>18.3</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3"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61" w:type="dxa"/>
            <w:tcBorders>
              <w:bottom w:val="single" w:sz="2" w:space="0" w:color="000000"/>
            </w:tcBorders>
            <w:shd w:fill="FFFFFF" w:val="clear"/>
            <w:tcMar>
              <w:bottom w:w="28" w:type="dxa"/>
            </w:tcMar>
            <w:vAlign w:val="center"/>
          </w:tcPr>
          <w:p>
            <w:pPr>
              <w:pStyle w:val="TableContents"/>
              <w:spacing w:before="0" w:after="283"/>
              <w:jc w:val="right"/>
              <w:rPr/>
            </w:pPr>
            <w:r>
              <w:rPr/>
              <w:t>5.0</w:t>
            </w:r>
          </w:p>
        </w:tc>
        <w:tc>
          <w:tcPr>
            <w:tcW w:w="170" w:type="dxa"/>
            <w:tcBorders/>
            <w:shd w:fill="FFFFFF" w:val="clear"/>
            <w:vAlign w:val="center"/>
          </w:tcPr>
          <w:p>
            <w:pPr>
              <w:pStyle w:val="TableContents"/>
              <w:spacing w:before="0" w:after="0"/>
              <w:ind w:left="0" w:right="0" w:hanging="0"/>
              <w:rPr/>
            </w:pPr>
            <w:r>
              <w:rPr/>
              <w:t> </w:t>
            </w:r>
          </w:p>
        </w:tc>
      </w:tr>
      <w:tr>
        <w:trPr/>
        <w:tc>
          <w:tcPr>
            <w:tcW w:w="367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0" w:type="dxa"/>
            <w:tcBorders/>
            <w:shd w:fill="CCEEFF" w:val="clear"/>
            <w:vAlign w:val="center"/>
          </w:tcPr>
          <w:p>
            <w:pPr>
              <w:pStyle w:val="TableContents"/>
              <w:spacing w:before="0" w:after="0"/>
              <w:ind w:left="0" w:right="0" w:hanging="0"/>
              <w:rPr/>
            </w:pPr>
            <w:r>
              <w:rPr/>
              <w:t> </w:t>
            </w:r>
          </w:p>
        </w:tc>
        <w:tc>
          <w:tcPr>
            <w:tcW w:w="851" w:type="dxa"/>
            <w:tcBorders/>
            <w:shd w:fill="CCEEFF" w:val="clear"/>
            <w:vAlign w:val="center"/>
          </w:tcPr>
          <w:p>
            <w:pPr>
              <w:pStyle w:val="TableContents"/>
              <w:spacing w:before="0" w:after="0"/>
              <w:ind w:left="0" w:right="0" w:hanging="0"/>
              <w:rPr/>
            </w:pPr>
            <w:r>
              <w:rPr/>
              <w:t> </w:t>
            </w:r>
          </w:p>
        </w:tc>
        <w:tc>
          <w:tcPr>
            <w:tcW w:w="382" w:type="dxa"/>
            <w:tcBorders/>
            <w:shd w:fill="CCEEFF" w:val="clear"/>
            <w:vAlign w:val="center"/>
          </w:tcPr>
          <w:p>
            <w:pPr>
              <w:pStyle w:val="TableContents"/>
              <w:spacing w:before="0" w:after="0"/>
              <w:ind w:left="0" w:right="0" w:hanging="0"/>
              <w:rPr/>
            </w:pPr>
            <w:r>
              <w:rPr/>
              <w:t> </w:t>
            </w:r>
          </w:p>
        </w:tc>
        <w:tc>
          <w:tcPr>
            <w:tcW w:w="140" w:type="dxa"/>
            <w:tcBorders/>
            <w:shd w:fill="CCEEFF" w:val="clear"/>
            <w:vAlign w:val="center"/>
          </w:tcPr>
          <w:p>
            <w:pPr>
              <w:pStyle w:val="TableContents"/>
              <w:spacing w:before="0" w:after="0"/>
              <w:ind w:left="0" w:right="0" w:hanging="0"/>
              <w:rPr/>
            </w:pPr>
            <w:r>
              <w:rPr/>
              <w:t> </w:t>
            </w:r>
          </w:p>
        </w:tc>
        <w:tc>
          <w:tcPr>
            <w:tcW w:w="140" w:type="dxa"/>
            <w:tcBorders/>
            <w:shd w:fill="CCEEFF" w:val="clear"/>
            <w:vAlign w:val="center"/>
          </w:tcPr>
          <w:p>
            <w:pPr>
              <w:pStyle w:val="TableContents"/>
              <w:spacing w:before="0" w:after="0"/>
              <w:ind w:left="0" w:right="0" w:hanging="0"/>
              <w:rPr/>
            </w:pPr>
            <w:r>
              <w:rPr/>
              <w:t> </w:t>
            </w:r>
          </w:p>
        </w:tc>
        <w:tc>
          <w:tcPr>
            <w:tcW w:w="734"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3" w:type="dxa"/>
            <w:tcBorders/>
            <w:shd w:fill="CCEEFF" w:val="clear"/>
            <w:vAlign w:val="center"/>
          </w:tcPr>
          <w:p>
            <w:pPr>
              <w:pStyle w:val="TableContents"/>
              <w:spacing w:before="0" w:after="0"/>
              <w:ind w:left="0" w:right="0" w:hanging="0"/>
              <w:rPr/>
            </w:pPr>
            <w:r>
              <w:rPr/>
              <w:t> </w:t>
            </w:r>
          </w:p>
        </w:tc>
        <w:tc>
          <w:tcPr>
            <w:tcW w:w="1061"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367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Commission expense</w:t>
            </w:r>
          </w:p>
        </w:tc>
        <w:tc>
          <w:tcPr>
            <w:tcW w:w="90" w:type="dxa"/>
            <w:tcBorders/>
            <w:shd w:fill="FFFFFF" w:val="clear"/>
            <w:vAlign w:val="center"/>
          </w:tcPr>
          <w:p>
            <w:pPr>
              <w:pStyle w:val="TableContents"/>
              <w:spacing w:before="0" w:after="0"/>
              <w:ind w:left="0" w:right="0" w:hanging="0"/>
              <w:rPr/>
            </w:pPr>
            <w:r>
              <w:rPr/>
              <w:t> </w:t>
            </w:r>
          </w:p>
        </w:tc>
        <w:tc>
          <w:tcPr>
            <w:tcW w:w="14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51" w:type="dxa"/>
            <w:tcBorders>
              <w:bottom w:val="single" w:sz="2" w:space="0" w:color="000000"/>
            </w:tcBorders>
            <w:shd w:fill="FFFFFF" w:val="clear"/>
            <w:tcMar>
              <w:bottom w:w="28" w:type="dxa"/>
            </w:tcMar>
            <w:vAlign w:val="center"/>
          </w:tcPr>
          <w:p>
            <w:pPr>
              <w:pStyle w:val="TableContents"/>
              <w:spacing w:before="0" w:after="283"/>
              <w:jc w:val="right"/>
              <w:rPr/>
            </w:pPr>
            <w:r>
              <w:rPr/>
              <w:t>30.2</w:t>
            </w:r>
          </w:p>
        </w:tc>
        <w:tc>
          <w:tcPr>
            <w:tcW w:w="382" w:type="dxa"/>
            <w:tcBorders/>
            <w:shd w:fill="FFFFFF" w:val="clear"/>
            <w:vAlign w:val="center"/>
          </w:tcPr>
          <w:p>
            <w:pPr>
              <w:pStyle w:val="TableContents"/>
              <w:spacing w:before="0" w:after="0"/>
              <w:ind w:left="0" w:right="0" w:hanging="0"/>
              <w:rPr/>
            </w:pPr>
            <w:r>
              <w:rPr/>
              <w:t> </w:t>
            </w:r>
          </w:p>
        </w:tc>
        <w:tc>
          <w:tcPr>
            <w:tcW w:w="140" w:type="dxa"/>
            <w:tcBorders/>
            <w:shd w:fill="FFFFFF" w:val="clear"/>
            <w:vAlign w:val="center"/>
          </w:tcPr>
          <w:p>
            <w:pPr>
              <w:pStyle w:val="TableContents"/>
              <w:spacing w:before="0" w:after="0"/>
              <w:ind w:left="0" w:right="0" w:hanging="0"/>
              <w:rPr/>
            </w:pPr>
            <w:r>
              <w:rPr/>
              <w:t> </w:t>
            </w:r>
          </w:p>
        </w:tc>
        <w:tc>
          <w:tcPr>
            <w:tcW w:w="14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34" w:type="dxa"/>
            <w:tcBorders>
              <w:bottom w:val="single" w:sz="2" w:space="0" w:color="000000"/>
            </w:tcBorders>
            <w:shd w:fill="FFFFFF" w:val="clear"/>
            <w:tcMar>
              <w:bottom w:w="28" w:type="dxa"/>
            </w:tcMar>
            <w:vAlign w:val="center"/>
          </w:tcPr>
          <w:p>
            <w:pPr>
              <w:pStyle w:val="TableContents"/>
              <w:spacing w:before="0" w:after="283"/>
              <w:jc w:val="right"/>
              <w:rPr/>
            </w:pPr>
            <w:r>
              <w:rPr/>
              <w:t>23.0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3"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61" w:type="dxa"/>
            <w:tcBorders>
              <w:bottom w:val="single" w:sz="2" w:space="0" w:color="000000"/>
            </w:tcBorders>
            <w:shd w:fill="FFFFFF" w:val="clear"/>
            <w:tcMar>
              <w:bottom w:w="28" w:type="dxa"/>
            </w:tcMar>
            <w:vAlign w:val="center"/>
          </w:tcPr>
          <w:p>
            <w:pPr>
              <w:pStyle w:val="TableContents"/>
              <w:spacing w:before="0" w:after="283"/>
              <w:jc w:val="right"/>
              <w:rPr/>
            </w:pPr>
            <w:r>
              <w:rPr/>
              <w:t>7.2</w:t>
            </w:r>
          </w:p>
        </w:tc>
        <w:tc>
          <w:tcPr>
            <w:tcW w:w="170" w:type="dxa"/>
            <w:tcBorders/>
            <w:shd w:fill="FFFFFF" w:val="clear"/>
            <w:vAlign w:val="center"/>
          </w:tcPr>
          <w:p>
            <w:pPr>
              <w:pStyle w:val="TableContents"/>
              <w:spacing w:before="0" w:after="0"/>
              <w:ind w:left="0" w:right="0" w:hanging="0"/>
              <w:rPr/>
            </w:pPr>
            <w:r>
              <w:rPr/>
              <w:t> </w:t>
            </w:r>
          </w:p>
        </w:tc>
      </w:tr>
      <w:tr>
        <w:trPr/>
        <w:tc>
          <w:tcPr>
            <w:tcW w:w="367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0" w:type="dxa"/>
            <w:tcBorders/>
            <w:shd w:fill="CCEEFF" w:val="clear"/>
            <w:vAlign w:val="center"/>
          </w:tcPr>
          <w:p>
            <w:pPr>
              <w:pStyle w:val="TableContents"/>
              <w:spacing w:before="0" w:after="0"/>
              <w:ind w:left="0" w:right="0" w:hanging="0"/>
              <w:rPr/>
            </w:pPr>
            <w:r>
              <w:rPr/>
              <w:t> </w:t>
            </w:r>
          </w:p>
        </w:tc>
        <w:tc>
          <w:tcPr>
            <w:tcW w:w="851" w:type="dxa"/>
            <w:tcBorders/>
            <w:shd w:fill="CCEEFF" w:val="clear"/>
            <w:vAlign w:val="center"/>
          </w:tcPr>
          <w:p>
            <w:pPr>
              <w:pStyle w:val="TableContents"/>
              <w:spacing w:before="0" w:after="0"/>
              <w:ind w:left="0" w:right="0" w:hanging="0"/>
              <w:rPr/>
            </w:pPr>
            <w:r>
              <w:rPr/>
              <w:t> </w:t>
            </w:r>
          </w:p>
        </w:tc>
        <w:tc>
          <w:tcPr>
            <w:tcW w:w="382" w:type="dxa"/>
            <w:tcBorders/>
            <w:shd w:fill="CCEEFF" w:val="clear"/>
            <w:vAlign w:val="center"/>
          </w:tcPr>
          <w:p>
            <w:pPr>
              <w:pStyle w:val="TableContents"/>
              <w:spacing w:before="0" w:after="0"/>
              <w:ind w:left="0" w:right="0" w:hanging="0"/>
              <w:rPr/>
            </w:pPr>
            <w:r>
              <w:rPr/>
              <w:t> </w:t>
            </w:r>
          </w:p>
        </w:tc>
        <w:tc>
          <w:tcPr>
            <w:tcW w:w="140" w:type="dxa"/>
            <w:tcBorders/>
            <w:shd w:fill="CCEEFF" w:val="clear"/>
            <w:vAlign w:val="center"/>
          </w:tcPr>
          <w:p>
            <w:pPr>
              <w:pStyle w:val="TableContents"/>
              <w:spacing w:before="0" w:after="0"/>
              <w:ind w:left="0" w:right="0" w:hanging="0"/>
              <w:rPr/>
            </w:pPr>
            <w:r>
              <w:rPr/>
              <w:t> </w:t>
            </w:r>
          </w:p>
        </w:tc>
        <w:tc>
          <w:tcPr>
            <w:tcW w:w="140" w:type="dxa"/>
            <w:tcBorders/>
            <w:shd w:fill="CCEEFF" w:val="clear"/>
            <w:vAlign w:val="center"/>
          </w:tcPr>
          <w:p>
            <w:pPr>
              <w:pStyle w:val="TableContents"/>
              <w:spacing w:before="0" w:after="0"/>
              <w:ind w:left="0" w:right="0" w:hanging="0"/>
              <w:rPr/>
            </w:pPr>
            <w:r>
              <w:rPr/>
              <w:t> </w:t>
            </w:r>
          </w:p>
        </w:tc>
        <w:tc>
          <w:tcPr>
            <w:tcW w:w="734"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3" w:type="dxa"/>
            <w:tcBorders/>
            <w:shd w:fill="CCEEFF" w:val="clear"/>
            <w:vAlign w:val="center"/>
          </w:tcPr>
          <w:p>
            <w:pPr>
              <w:pStyle w:val="TableContents"/>
              <w:spacing w:before="0" w:after="0"/>
              <w:ind w:left="0" w:right="0" w:hanging="0"/>
              <w:rPr/>
            </w:pPr>
            <w:r>
              <w:rPr/>
              <w:t> </w:t>
            </w:r>
          </w:p>
        </w:tc>
        <w:tc>
          <w:tcPr>
            <w:tcW w:w="1061"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367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Ceding commission revenue</w:t>
            </w:r>
          </w:p>
        </w:tc>
        <w:tc>
          <w:tcPr>
            <w:tcW w:w="90" w:type="dxa"/>
            <w:tcBorders/>
            <w:shd w:fill="FFFFFF" w:val="clear"/>
            <w:vAlign w:val="center"/>
          </w:tcPr>
          <w:p>
            <w:pPr>
              <w:pStyle w:val="TableContents"/>
              <w:spacing w:before="0" w:after="0"/>
              <w:ind w:left="0" w:right="0" w:hanging="0"/>
              <w:rPr/>
            </w:pPr>
            <w:r>
              <w:rPr/>
              <w:t> </w:t>
            </w:r>
          </w:p>
        </w:tc>
        <w:tc>
          <w:tcPr>
            <w:tcW w:w="140" w:type="dxa"/>
            <w:tcBorders/>
            <w:shd w:fill="FFFFFF" w:val="clear"/>
            <w:vAlign w:val="center"/>
          </w:tcPr>
          <w:p>
            <w:pPr>
              <w:pStyle w:val="TableContents"/>
              <w:spacing w:before="0" w:after="0"/>
              <w:ind w:left="0" w:right="0" w:hanging="0"/>
              <w:rPr/>
            </w:pPr>
            <w:r>
              <w:rPr/>
              <w:t> </w:t>
            </w:r>
          </w:p>
        </w:tc>
        <w:tc>
          <w:tcPr>
            <w:tcW w:w="851" w:type="dxa"/>
            <w:tcBorders/>
            <w:shd w:fill="FFFFFF" w:val="clear"/>
            <w:vAlign w:val="center"/>
          </w:tcPr>
          <w:p>
            <w:pPr>
              <w:pStyle w:val="TableContents"/>
              <w:spacing w:before="0" w:after="0"/>
              <w:ind w:left="0" w:right="0" w:hanging="0"/>
              <w:rPr/>
            </w:pPr>
            <w:r>
              <w:rPr/>
              <w:t> </w:t>
            </w:r>
          </w:p>
        </w:tc>
        <w:tc>
          <w:tcPr>
            <w:tcW w:w="382" w:type="dxa"/>
            <w:tcBorders/>
            <w:shd w:fill="FFFFFF" w:val="clear"/>
            <w:vAlign w:val="center"/>
          </w:tcPr>
          <w:p>
            <w:pPr>
              <w:pStyle w:val="TableContents"/>
              <w:spacing w:before="0" w:after="0"/>
              <w:ind w:left="0" w:right="0" w:hanging="0"/>
              <w:rPr/>
            </w:pPr>
            <w:r>
              <w:rPr/>
              <w:t> </w:t>
            </w:r>
          </w:p>
        </w:tc>
        <w:tc>
          <w:tcPr>
            <w:tcW w:w="140" w:type="dxa"/>
            <w:tcBorders/>
            <w:shd w:fill="FFFFFF" w:val="clear"/>
            <w:vAlign w:val="center"/>
          </w:tcPr>
          <w:p>
            <w:pPr>
              <w:pStyle w:val="TableContents"/>
              <w:spacing w:before="0" w:after="0"/>
              <w:ind w:left="0" w:right="0" w:hanging="0"/>
              <w:rPr/>
            </w:pPr>
            <w:r>
              <w:rPr/>
              <w:t> </w:t>
            </w:r>
          </w:p>
        </w:tc>
        <w:tc>
          <w:tcPr>
            <w:tcW w:w="140" w:type="dxa"/>
            <w:tcBorders/>
            <w:shd w:fill="FFFFFF" w:val="clear"/>
            <w:vAlign w:val="center"/>
          </w:tcPr>
          <w:p>
            <w:pPr>
              <w:pStyle w:val="TableContents"/>
              <w:spacing w:before="0" w:after="0"/>
              <w:ind w:left="0" w:right="0" w:hanging="0"/>
              <w:rPr/>
            </w:pPr>
            <w:r>
              <w:rPr/>
              <w:t> </w:t>
            </w:r>
          </w:p>
        </w:tc>
        <w:tc>
          <w:tcPr>
            <w:tcW w:w="734"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3" w:type="dxa"/>
            <w:tcBorders/>
            <w:shd w:fill="FFFFFF" w:val="clear"/>
            <w:vAlign w:val="center"/>
          </w:tcPr>
          <w:p>
            <w:pPr>
              <w:pStyle w:val="TableContents"/>
              <w:spacing w:before="0" w:after="0"/>
              <w:ind w:left="0" w:right="0" w:hanging="0"/>
              <w:rPr/>
            </w:pPr>
            <w:r>
              <w:rPr/>
              <w:t> </w:t>
            </w:r>
          </w:p>
        </w:tc>
        <w:tc>
          <w:tcPr>
            <w:tcW w:w="1061"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3675" w:type="dxa"/>
            <w:tcBorders/>
            <w:shd w:fill="CCEEFF" w:val="clear"/>
            <w:vAlign w:val="center"/>
          </w:tcPr>
          <w:p>
            <w:pPr>
              <w:pStyle w:val="TableContents"/>
              <w:spacing w:before="0" w:after="0"/>
              <w:ind w:left="0" w:right="0" w:firstLine="400"/>
              <w:rPr>
                <w:rFonts w:ascii="times new roman" w:hAnsi="times new roman"/>
                <w:sz w:val="20"/>
              </w:rPr>
            </w:pPr>
            <w:r>
              <w:rPr>
                <w:rFonts w:ascii="times new roman" w:hAnsi="times new roman"/>
                <w:sz w:val="20"/>
              </w:rPr>
              <w:t>Provisional</w:t>
            </w:r>
          </w:p>
        </w:tc>
        <w:tc>
          <w:tcPr>
            <w:tcW w:w="90" w:type="dxa"/>
            <w:tcBorders/>
            <w:shd w:fill="CCEEFF" w:val="clear"/>
            <w:vAlign w:val="center"/>
          </w:tcPr>
          <w:p>
            <w:pPr>
              <w:pStyle w:val="TableContents"/>
              <w:spacing w:before="0" w:after="0"/>
              <w:ind w:left="0" w:right="0" w:hanging="0"/>
              <w:rPr/>
            </w:pPr>
            <w:r>
              <w:rPr/>
              <w:t> </w:t>
            </w:r>
          </w:p>
        </w:tc>
        <w:tc>
          <w:tcPr>
            <w:tcW w:w="140" w:type="dxa"/>
            <w:tcBorders/>
            <w:shd w:fill="CCEEFF" w:val="clear"/>
            <w:vAlign w:val="center"/>
          </w:tcPr>
          <w:p>
            <w:pPr>
              <w:pStyle w:val="TableContents"/>
              <w:spacing w:before="0" w:after="0"/>
              <w:ind w:left="0" w:right="0" w:hanging="0"/>
              <w:rPr/>
            </w:pPr>
            <w:r>
              <w:rPr/>
              <w:t> </w:t>
            </w:r>
          </w:p>
        </w:tc>
        <w:tc>
          <w:tcPr>
            <w:tcW w:w="851" w:type="dxa"/>
            <w:tcBorders/>
            <w:shd w:fill="CCEEFF" w:val="clear"/>
            <w:vAlign w:val="center"/>
          </w:tcPr>
          <w:p>
            <w:pPr>
              <w:pStyle w:val="TableContents"/>
              <w:spacing w:before="0" w:after="283"/>
              <w:jc w:val="right"/>
              <w:rPr/>
            </w:pPr>
            <w:r>
              <w:rPr/>
              <w:t>(16.7</w:t>
            </w:r>
          </w:p>
        </w:tc>
        <w:tc>
          <w:tcPr>
            <w:tcW w:w="382" w:type="dxa"/>
            <w:tcBorders/>
            <w:shd w:fill="CCEEFF" w:val="clear"/>
            <w:vAlign w:val="center"/>
          </w:tcPr>
          <w:p>
            <w:pPr>
              <w:pStyle w:val="TableContents"/>
              <w:spacing w:before="0" w:after="283"/>
              <w:rPr/>
            </w:pPr>
            <w:r>
              <w:rPr/>
              <w:t>)</w:t>
            </w:r>
          </w:p>
        </w:tc>
        <w:tc>
          <w:tcPr>
            <w:tcW w:w="140" w:type="dxa"/>
            <w:tcBorders/>
            <w:shd w:fill="CCEEFF" w:val="clear"/>
            <w:vAlign w:val="center"/>
          </w:tcPr>
          <w:p>
            <w:pPr>
              <w:pStyle w:val="TableContents"/>
              <w:spacing w:before="0" w:after="0"/>
              <w:ind w:left="0" w:right="0" w:hanging="0"/>
              <w:rPr/>
            </w:pPr>
            <w:r>
              <w:rPr/>
              <w:t> </w:t>
            </w:r>
          </w:p>
        </w:tc>
        <w:tc>
          <w:tcPr>
            <w:tcW w:w="140" w:type="dxa"/>
            <w:tcBorders/>
            <w:shd w:fill="CCEEFF" w:val="clear"/>
            <w:vAlign w:val="center"/>
          </w:tcPr>
          <w:p>
            <w:pPr>
              <w:pStyle w:val="TableContents"/>
              <w:spacing w:before="0" w:after="0"/>
              <w:ind w:left="0" w:right="0" w:hanging="0"/>
              <w:rPr/>
            </w:pPr>
            <w:r>
              <w:rPr/>
              <w:t> </w:t>
            </w:r>
          </w:p>
        </w:tc>
        <w:tc>
          <w:tcPr>
            <w:tcW w:w="734" w:type="dxa"/>
            <w:tcBorders/>
            <w:shd w:fill="CCEEFF" w:val="clear"/>
            <w:vAlign w:val="center"/>
          </w:tcPr>
          <w:p>
            <w:pPr>
              <w:pStyle w:val="TableContents"/>
              <w:spacing w:before="0" w:after="283"/>
              <w:jc w:val="right"/>
              <w:rPr/>
            </w:pPr>
            <w:r>
              <w:rPr/>
              <w:t>(0.2</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3" w:type="dxa"/>
            <w:tcBorders/>
            <w:shd w:fill="CCEEFF" w:val="clear"/>
            <w:vAlign w:val="center"/>
          </w:tcPr>
          <w:p>
            <w:pPr>
              <w:pStyle w:val="TableContents"/>
              <w:spacing w:before="0" w:after="0"/>
              <w:ind w:left="0" w:right="0" w:hanging="0"/>
              <w:rPr/>
            </w:pPr>
            <w:r>
              <w:rPr/>
              <w:t> </w:t>
            </w:r>
          </w:p>
        </w:tc>
        <w:tc>
          <w:tcPr>
            <w:tcW w:w="1061" w:type="dxa"/>
            <w:tcBorders/>
            <w:shd w:fill="CCEEFF" w:val="clear"/>
            <w:vAlign w:val="center"/>
          </w:tcPr>
          <w:p>
            <w:pPr>
              <w:pStyle w:val="TableContents"/>
              <w:spacing w:before="0" w:after="283"/>
              <w:jc w:val="right"/>
              <w:rPr/>
            </w:pPr>
            <w:r>
              <w:rPr/>
              <w:t>(16.5</w:t>
            </w:r>
          </w:p>
        </w:tc>
        <w:tc>
          <w:tcPr>
            <w:tcW w:w="170" w:type="dxa"/>
            <w:tcBorders/>
            <w:shd w:fill="CCEEFF" w:val="clear"/>
            <w:vAlign w:val="center"/>
          </w:tcPr>
          <w:p>
            <w:pPr>
              <w:pStyle w:val="TableContents"/>
              <w:spacing w:before="0" w:after="283"/>
              <w:rPr/>
            </w:pPr>
            <w:r>
              <w:rPr/>
              <w:t>)</w:t>
            </w:r>
          </w:p>
        </w:tc>
      </w:tr>
      <w:tr>
        <w:trPr/>
        <w:tc>
          <w:tcPr>
            <w:tcW w:w="3675" w:type="dxa"/>
            <w:tcBorders/>
            <w:shd w:fill="FFFFFF" w:val="clear"/>
            <w:vAlign w:val="center"/>
          </w:tcPr>
          <w:p>
            <w:pPr>
              <w:pStyle w:val="TableContents"/>
              <w:spacing w:before="0" w:after="0"/>
              <w:ind w:left="0" w:right="0" w:firstLine="400"/>
              <w:rPr>
                <w:rFonts w:ascii="times new roman" w:hAnsi="times new roman"/>
                <w:sz w:val="20"/>
              </w:rPr>
            </w:pPr>
            <w:r>
              <w:rPr>
                <w:rFonts w:ascii="times new roman" w:hAnsi="times new roman"/>
                <w:sz w:val="20"/>
              </w:rPr>
              <w:t>Contingent</w:t>
            </w:r>
          </w:p>
        </w:tc>
        <w:tc>
          <w:tcPr>
            <w:tcW w:w="90" w:type="dxa"/>
            <w:tcBorders/>
            <w:shd w:fill="FFFFFF" w:val="clear"/>
            <w:vAlign w:val="center"/>
          </w:tcPr>
          <w:p>
            <w:pPr>
              <w:pStyle w:val="TableContents"/>
              <w:spacing w:before="0" w:after="0"/>
              <w:ind w:left="0" w:right="0" w:hanging="0"/>
              <w:rPr/>
            </w:pPr>
            <w:r>
              <w:rPr/>
              <w:t> </w:t>
            </w:r>
          </w:p>
        </w:tc>
        <w:tc>
          <w:tcPr>
            <w:tcW w:w="14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51" w:type="dxa"/>
            <w:tcBorders>
              <w:bottom w:val="single" w:sz="2" w:space="0" w:color="000000"/>
            </w:tcBorders>
            <w:shd w:fill="FFFFFF" w:val="clear"/>
            <w:tcMar>
              <w:bottom w:w="28" w:type="dxa"/>
            </w:tcMar>
            <w:vAlign w:val="center"/>
          </w:tcPr>
          <w:p>
            <w:pPr>
              <w:pStyle w:val="TableContents"/>
              <w:spacing w:before="0" w:after="283"/>
              <w:jc w:val="right"/>
              <w:rPr/>
            </w:pPr>
            <w:r>
              <w:rPr/>
              <w:t>(0.2</w:t>
            </w:r>
          </w:p>
        </w:tc>
        <w:tc>
          <w:tcPr>
            <w:tcW w:w="382" w:type="dxa"/>
            <w:tcBorders/>
            <w:shd w:fill="FFFFFF" w:val="clear"/>
            <w:vAlign w:val="center"/>
          </w:tcPr>
          <w:p>
            <w:pPr>
              <w:pStyle w:val="TableContents"/>
              <w:spacing w:before="0" w:after="283"/>
              <w:rPr/>
            </w:pPr>
            <w:r>
              <w:rPr/>
              <w:t>)</w:t>
            </w:r>
          </w:p>
        </w:tc>
        <w:tc>
          <w:tcPr>
            <w:tcW w:w="140" w:type="dxa"/>
            <w:tcBorders/>
            <w:shd w:fill="FFFFFF" w:val="clear"/>
            <w:vAlign w:val="center"/>
          </w:tcPr>
          <w:p>
            <w:pPr>
              <w:pStyle w:val="TableContents"/>
              <w:spacing w:before="0" w:after="0"/>
              <w:ind w:left="0" w:right="0" w:hanging="0"/>
              <w:rPr/>
            </w:pPr>
            <w:r>
              <w:rPr/>
              <w:t> </w:t>
            </w:r>
          </w:p>
        </w:tc>
        <w:tc>
          <w:tcPr>
            <w:tcW w:w="14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734" w:type="dxa"/>
            <w:tcBorders>
              <w:bottom w:val="single" w:sz="2" w:space="0" w:color="000000"/>
            </w:tcBorders>
            <w:shd w:fill="FFFFFF" w:val="clear"/>
            <w:tcMar>
              <w:bottom w:w="28" w:type="dxa"/>
            </w:tcMar>
            <w:vAlign w:val="center"/>
          </w:tcPr>
          <w:p>
            <w:pPr>
              <w:pStyle w:val="TableContents"/>
              <w:spacing w:before="0" w:after="283"/>
              <w:jc w:val="right"/>
              <w:rPr/>
            </w:pPr>
            <w:r>
              <w:rPr/>
              <w:t>0.1</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3"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61" w:type="dxa"/>
            <w:tcBorders>
              <w:bottom w:val="single" w:sz="2" w:space="0" w:color="000000"/>
            </w:tcBorders>
            <w:shd w:fill="FFFFFF" w:val="clear"/>
            <w:tcMar>
              <w:bottom w:w="28" w:type="dxa"/>
            </w:tcMar>
            <w:vAlign w:val="center"/>
          </w:tcPr>
          <w:p>
            <w:pPr>
              <w:pStyle w:val="TableContents"/>
              <w:spacing w:before="0" w:after="283"/>
              <w:jc w:val="right"/>
              <w:rPr/>
            </w:pPr>
            <w:r>
              <w:rPr/>
              <w:t>(0.3</w:t>
            </w:r>
          </w:p>
        </w:tc>
        <w:tc>
          <w:tcPr>
            <w:tcW w:w="170" w:type="dxa"/>
            <w:tcBorders/>
            <w:shd w:fill="FFFFFF" w:val="clear"/>
            <w:vAlign w:val="center"/>
          </w:tcPr>
          <w:p>
            <w:pPr>
              <w:pStyle w:val="TableContents"/>
              <w:spacing w:before="0" w:after="283"/>
              <w:rPr/>
            </w:pPr>
            <w:r>
              <w:rPr/>
              <w:t>)</w:t>
            </w:r>
          </w:p>
        </w:tc>
      </w:tr>
      <w:tr>
        <w:trPr/>
        <w:tc>
          <w:tcPr>
            <w:tcW w:w="3675" w:type="dxa"/>
            <w:tcBorders/>
            <w:shd w:fill="CCEE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Total ceding commission revenue</w:t>
            </w:r>
          </w:p>
        </w:tc>
        <w:tc>
          <w:tcPr>
            <w:tcW w:w="90" w:type="dxa"/>
            <w:tcBorders/>
            <w:shd w:fill="CCEEFF" w:val="clear"/>
            <w:vAlign w:val="center"/>
          </w:tcPr>
          <w:p>
            <w:pPr>
              <w:pStyle w:val="TableContents"/>
              <w:spacing w:before="0" w:after="0"/>
              <w:ind w:left="0" w:right="0" w:hanging="0"/>
              <w:rPr/>
            </w:pPr>
            <w:r>
              <w:rPr/>
              <w:t> </w:t>
            </w:r>
          </w:p>
        </w:tc>
        <w:tc>
          <w:tcPr>
            <w:tcW w:w="14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51" w:type="dxa"/>
            <w:tcBorders>
              <w:bottom w:val="single" w:sz="2" w:space="0" w:color="000000"/>
            </w:tcBorders>
            <w:shd w:fill="CCEEFF" w:val="clear"/>
            <w:tcMar>
              <w:bottom w:w="28" w:type="dxa"/>
            </w:tcMar>
            <w:vAlign w:val="center"/>
          </w:tcPr>
          <w:p>
            <w:pPr>
              <w:pStyle w:val="TableContents"/>
              <w:spacing w:before="0" w:after="283"/>
              <w:jc w:val="right"/>
              <w:rPr/>
            </w:pPr>
            <w:r>
              <w:rPr/>
              <w:t>(16.9</w:t>
            </w:r>
          </w:p>
        </w:tc>
        <w:tc>
          <w:tcPr>
            <w:tcW w:w="382" w:type="dxa"/>
            <w:tcBorders/>
            <w:shd w:fill="CCEEFF" w:val="clear"/>
            <w:vAlign w:val="center"/>
          </w:tcPr>
          <w:p>
            <w:pPr>
              <w:pStyle w:val="TableContents"/>
              <w:spacing w:before="0" w:after="283"/>
              <w:rPr/>
            </w:pPr>
            <w:r>
              <w:rPr/>
              <w:t>)</w:t>
            </w:r>
          </w:p>
        </w:tc>
        <w:tc>
          <w:tcPr>
            <w:tcW w:w="140" w:type="dxa"/>
            <w:tcBorders/>
            <w:shd w:fill="CCEEFF" w:val="clear"/>
            <w:vAlign w:val="center"/>
          </w:tcPr>
          <w:p>
            <w:pPr>
              <w:pStyle w:val="TableContents"/>
              <w:spacing w:before="0" w:after="0"/>
              <w:ind w:left="0" w:right="0" w:hanging="0"/>
              <w:rPr/>
            </w:pPr>
            <w:r>
              <w:rPr/>
              <w:t> </w:t>
            </w:r>
          </w:p>
        </w:tc>
        <w:tc>
          <w:tcPr>
            <w:tcW w:w="14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34" w:type="dxa"/>
            <w:tcBorders>
              <w:bottom w:val="single" w:sz="2" w:space="0" w:color="000000"/>
            </w:tcBorders>
            <w:shd w:fill="CCEEFF" w:val="clear"/>
            <w:tcMar>
              <w:bottom w:w="28" w:type="dxa"/>
            </w:tcMar>
            <w:vAlign w:val="center"/>
          </w:tcPr>
          <w:p>
            <w:pPr>
              <w:pStyle w:val="TableContents"/>
              <w:spacing w:before="0" w:after="283"/>
              <w:jc w:val="right"/>
              <w:rPr/>
            </w:pPr>
            <w:r>
              <w:rPr/>
              <w:t>(0.1</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3"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61" w:type="dxa"/>
            <w:tcBorders>
              <w:bottom w:val="single" w:sz="2" w:space="0" w:color="000000"/>
            </w:tcBorders>
            <w:shd w:fill="CCEEFF" w:val="clear"/>
            <w:tcMar>
              <w:bottom w:w="28" w:type="dxa"/>
            </w:tcMar>
            <w:vAlign w:val="center"/>
          </w:tcPr>
          <w:p>
            <w:pPr>
              <w:pStyle w:val="TableContents"/>
              <w:spacing w:before="0" w:after="283"/>
              <w:jc w:val="right"/>
              <w:rPr/>
            </w:pPr>
            <w:r>
              <w:rPr/>
              <w:t>(16.8</w:t>
            </w:r>
          </w:p>
        </w:tc>
        <w:tc>
          <w:tcPr>
            <w:tcW w:w="170" w:type="dxa"/>
            <w:tcBorders/>
            <w:shd w:fill="CCEEFF" w:val="clear"/>
            <w:vAlign w:val="center"/>
          </w:tcPr>
          <w:p>
            <w:pPr>
              <w:pStyle w:val="TableContents"/>
              <w:spacing w:before="0" w:after="283"/>
              <w:rPr/>
            </w:pPr>
            <w:r>
              <w:rPr/>
              <w:t>)</w:t>
            </w:r>
          </w:p>
        </w:tc>
      </w:tr>
      <w:tr>
        <w:trPr/>
        <w:tc>
          <w:tcPr>
            <w:tcW w:w="367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0" w:type="dxa"/>
            <w:tcBorders/>
            <w:shd w:fill="FFFFFF" w:val="clear"/>
            <w:vAlign w:val="center"/>
          </w:tcPr>
          <w:p>
            <w:pPr>
              <w:pStyle w:val="TableContents"/>
              <w:spacing w:before="0" w:after="0"/>
              <w:ind w:left="0" w:right="0" w:hanging="0"/>
              <w:rPr/>
            </w:pPr>
            <w:r>
              <w:rPr/>
              <w:t> </w:t>
            </w:r>
          </w:p>
        </w:tc>
        <w:tc>
          <w:tcPr>
            <w:tcW w:w="851" w:type="dxa"/>
            <w:tcBorders/>
            <w:shd w:fill="FFFFFF" w:val="clear"/>
            <w:vAlign w:val="center"/>
          </w:tcPr>
          <w:p>
            <w:pPr>
              <w:pStyle w:val="TableContents"/>
              <w:spacing w:before="0" w:after="0"/>
              <w:ind w:left="0" w:right="0" w:hanging="0"/>
              <w:rPr/>
            </w:pPr>
            <w:r>
              <w:rPr/>
              <w:t> </w:t>
            </w:r>
          </w:p>
        </w:tc>
        <w:tc>
          <w:tcPr>
            <w:tcW w:w="382" w:type="dxa"/>
            <w:tcBorders/>
            <w:shd w:fill="FFFFFF" w:val="clear"/>
            <w:vAlign w:val="center"/>
          </w:tcPr>
          <w:p>
            <w:pPr>
              <w:pStyle w:val="TableContents"/>
              <w:spacing w:before="0" w:after="0"/>
              <w:ind w:left="0" w:right="0" w:hanging="0"/>
              <w:rPr/>
            </w:pPr>
            <w:r>
              <w:rPr/>
              <w:t> </w:t>
            </w:r>
          </w:p>
        </w:tc>
        <w:tc>
          <w:tcPr>
            <w:tcW w:w="140" w:type="dxa"/>
            <w:tcBorders/>
            <w:shd w:fill="FFFFFF" w:val="clear"/>
            <w:vAlign w:val="center"/>
          </w:tcPr>
          <w:p>
            <w:pPr>
              <w:pStyle w:val="TableContents"/>
              <w:spacing w:before="0" w:after="0"/>
              <w:ind w:left="0" w:right="0" w:hanging="0"/>
              <w:rPr/>
            </w:pPr>
            <w:r>
              <w:rPr/>
              <w:t> </w:t>
            </w:r>
          </w:p>
        </w:tc>
        <w:tc>
          <w:tcPr>
            <w:tcW w:w="140" w:type="dxa"/>
            <w:tcBorders/>
            <w:shd w:fill="FFFFFF" w:val="clear"/>
            <w:vAlign w:val="center"/>
          </w:tcPr>
          <w:p>
            <w:pPr>
              <w:pStyle w:val="TableContents"/>
              <w:spacing w:before="0" w:after="0"/>
              <w:ind w:left="0" w:right="0" w:hanging="0"/>
              <w:rPr/>
            </w:pPr>
            <w:r>
              <w:rPr/>
              <w:t> </w:t>
            </w:r>
          </w:p>
        </w:tc>
        <w:tc>
          <w:tcPr>
            <w:tcW w:w="734"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3" w:type="dxa"/>
            <w:tcBorders/>
            <w:shd w:fill="FFFFFF" w:val="clear"/>
            <w:vAlign w:val="center"/>
          </w:tcPr>
          <w:p>
            <w:pPr>
              <w:pStyle w:val="TableContents"/>
              <w:spacing w:before="0" w:after="0"/>
              <w:ind w:left="0" w:right="0" w:hanging="0"/>
              <w:rPr/>
            </w:pPr>
            <w:r>
              <w:rPr/>
              <w:t> </w:t>
            </w:r>
          </w:p>
        </w:tc>
        <w:tc>
          <w:tcPr>
            <w:tcW w:w="1061"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367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Other income</w:t>
            </w:r>
          </w:p>
        </w:tc>
        <w:tc>
          <w:tcPr>
            <w:tcW w:w="90" w:type="dxa"/>
            <w:tcBorders/>
            <w:shd w:fill="CCEEFF" w:val="clear"/>
            <w:vAlign w:val="center"/>
          </w:tcPr>
          <w:p>
            <w:pPr>
              <w:pStyle w:val="TableContents"/>
              <w:spacing w:before="0" w:after="0"/>
              <w:ind w:left="0" w:right="0" w:hanging="0"/>
              <w:rPr/>
            </w:pPr>
            <w:r>
              <w:rPr/>
              <w:t> </w:t>
            </w:r>
          </w:p>
        </w:tc>
        <w:tc>
          <w:tcPr>
            <w:tcW w:w="14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51" w:type="dxa"/>
            <w:tcBorders>
              <w:bottom w:val="single" w:sz="2" w:space="0" w:color="000000"/>
            </w:tcBorders>
            <w:shd w:fill="CCEEFF" w:val="clear"/>
            <w:tcMar>
              <w:bottom w:w="28" w:type="dxa"/>
            </w:tcMar>
            <w:vAlign w:val="center"/>
          </w:tcPr>
          <w:p>
            <w:pPr>
              <w:pStyle w:val="TableContents"/>
              <w:spacing w:before="0" w:after="283"/>
              <w:jc w:val="right"/>
              <w:rPr/>
            </w:pPr>
            <w:r>
              <w:rPr/>
              <w:t>(0.7</w:t>
            </w:r>
          </w:p>
        </w:tc>
        <w:tc>
          <w:tcPr>
            <w:tcW w:w="382" w:type="dxa"/>
            <w:tcBorders/>
            <w:shd w:fill="CCEEFF" w:val="clear"/>
            <w:vAlign w:val="center"/>
          </w:tcPr>
          <w:p>
            <w:pPr>
              <w:pStyle w:val="TableContents"/>
              <w:spacing w:before="0" w:after="283"/>
              <w:rPr/>
            </w:pPr>
            <w:r>
              <w:rPr/>
              <w:t>)</w:t>
            </w:r>
          </w:p>
        </w:tc>
        <w:tc>
          <w:tcPr>
            <w:tcW w:w="140" w:type="dxa"/>
            <w:tcBorders/>
            <w:shd w:fill="CCEEFF" w:val="clear"/>
            <w:vAlign w:val="center"/>
          </w:tcPr>
          <w:p>
            <w:pPr>
              <w:pStyle w:val="TableContents"/>
              <w:spacing w:before="0" w:after="0"/>
              <w:ind w:left="0" w:right="0" w:hanging="0"/>
              <w:rPr/>
            </w:pPr>
            <w:r>
              <w:rPr/>
              <w:t> </w:t>
            </w:r>
          </w:p>
        </w:tc>
        <w:tc>
          <w:tcPr>
            <w:tcW w:w="14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34" w:type="dxa"/>
            <w:tcBorders>
              <w:bottom w:val="single" w:sz="2" w:space="0" w:color="000000"/>
            </w:tcBorders>
            <w:shd w:fill="CCEEFF" w:val="clear"/>
            <w:tcMar>
              <w:bottom w:w="28" w:type="dxa"/>
            </w:tcMar>
            <w:vAlign w:val="center"/>
          </w:tcPr>
          <w:p>
            <w:pPr>
              <w:pStyle w:val="TableContents"/>
              <w:spacing w:before="0" w:after="283"/>
              <w:jc w:val="right"/>
              <w:rPr/>
            </w:pPr>
            <w:r>
              <w:rPr/>
              <w:t>(0.6</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3"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61" w:type="dxa"/>
            <w:tcBorders>
              <w:bottom w:val="single" w:sz="2" w:space="0" w:color="000000"/>
            </w:tcBorders>
            <w:shd w:fill="CCEEFF" w:val="clear"/>
            <w:tcMar>
              <w:bottom w:w="28" w:type="dxa"/>
            </w:tcMar>
            <w:vAlign w:val="center"/>
          </w:tcPr>
          <w:p>
            <w:pPr>
              <w:pStyle w:val="TableContents"/>
              <w:spacing w:before="0" w:after="283"/>
              <w:jc w:val="right"/>
              <w:rPr/>
            </w:pPr>
            <w:r>
              <w:rPr/>
              <w:t>(0.1</w:t>
            </w:r>
          </w:p>
        </w:tc>
        <w:tc>
          <w:tcPr>
            <w:tcW w:w="170" w:type="dxa"/>
            <w:tcBorders/>
            <w:shd w:fill="CCEEFF" w:val="clear"/>
            <w:vAlign w:val="center"/>
          </w:tcPr>
          <w:p>
            <w:pPr>
              <w:pStyle w:val="TableContents"/>
              <w:spacing w:before="0" w:after="283"/>
              <w:rPr/>
            </w:pPr>
            <w:r>
              <w:rPr/>
              <w:t>)</w:t>
            </w:r>
          </w:p>
        </w:tc>
      </w:tr>
      <w:tr>
        <w:trPr/>
        <w:tc>
          <w:tcPr>
            <w:tcW w:w="367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0" w:type="dxa"/>
            <w:tcBorders/>
            <w:shd w:fill="FFFFFF" w:val="clear"/>
            <w:vAlign w:val="center"/>
          </w:tcPr>
          <w:p>
            <w:pPr>
              <w:pStyle w:val="TableContents"/>
              <w:spacing w:before="0" w:after="0"/>
              <w:ind w:left="0" w:right="0" w:hanging="0"/>
              <w:rPr/>
            </w:pPr>
            <w:r>
              <w:rPr/>
              <w:t> </w:t>
            </w:r>
          </w:p>
        </w:tc>
        <w:tc>
          <w:tcPr>
            <w:tcW w:w="851" w:type="dxa"/>
            <w:tcBorders/>
            <w:shd w:fill="FFFFFF" w:val="clear"/>
            <w:vAlign w:val="center"/>
          </w:tcPr>
          <w:p>
            <w:pPr>
              <w:pStyle w:val="TableContents"/>
              <w:spacing w:before="0" w:after="0"/>
              <w:ind w:left="0" w:right="0" w:hanging="0"/>
              <w:rPr/>
            </w:pPr>
            <w:r>
              <w:rPr/>
              <w:t> </w:t>
            </w:r>
          </w:p>
        </w:tc>
        <w:tc>
          <w:tcPr>
            <w:tcW w:w="382" w:type="dxa"/>
            <w:tcBorders/>
            <w:shd w:fill="FFFFFF" w:val="clear"/>
            <w:vAlign w:val="center"/>
          </w:tcPr>
          <w:p>
            <w:pPr>
              <w:pStyle w:val="TableContents"/>
              <w:spacing w:before="0" w:after="0"/>
              <w:ind w:left="0" w:right="0" w:hanging="0"/>
              <w:rPr/>
            </w:pPr>
            <w:r>
              <w:rPr/>
              <w:t> </w:t>
            </w:r>
          </w:p>
        </w:tc>
        <w:tc>
          <w:tcPr>
            <w:tcW w:w="140" w:type="dxa"/>
            <w:tcBorders/>
            <w:shd w:fill="FFFFFF" w:val="clear"/>
            <w:vAlign w:val="center"/>
          </w:tcPr>
          <w:p>
            <w:pPr>
              <w:pStyle w:val="TableContents"/>
              <w:spacing w:before="0" w:after="0"/>
              <w:ind w:left="0" w:right="0" w:hanging="0"/>
              <w:rPr/>
            </w:pPr>
            <w:r>
              <w:rPr/>
              <w:t> </w:t>
            </w:r>
          </w:p>
        </w:tc>
        <w:tc>
          <w:tcPr>
            <w:tcW w:w="140" w:type="dxa"/>
            <w:tcBorders/>
            <w:shd w:fill="FFFFFF" w:val="clear"/>
            <w:vAlign w:val="center"/>
          </w:tcPr>
          <w:p>
            <w:pPr>
              <w:pStyle w:val="TableContents"/>
              <w:spacing w:before="0" w:after="0"/>
              <w:ind w:left="0" w:right="0" w:hanging="0"/>
              <w:rPr/>
            </w:pPr>
            <w:r>
              <w:rPr/>
              <w:t> </w:t>
            </w:r>
          </w:p>
        </w:tc>
        <w:tc>
          <w:tcPr>
            <w:tcW w:w="734"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3" w:type="dxa"/>
            <w:tcBorders/>
            <w:shd w:fill="FFFFFF" w:val="clear"/>
            <w:vAlign w:val="center"/>
          </w:tcPr>
          <w:p>
            <w:pPr>
              <w:pStyle w:val="TableContents"/>
              <w:spacing w:before="0" w:after="0"/>
              <w:ind w:left="0" w:right="0" w:hanging="0"/>
              <w:rPr/>
            </w:pPr>
            <w:r>
              <w:rPr/>
              <w:t> </w:t>
            </w:r>
          </w:p>
        </w:tc>
        <w:tc>
          <w:tcPr>
            <w:tcW w:w="1061"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367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Net underwriting expense ratio</w:t>
            </w:r>
          </w:p>
        </w:tc>
        <w:tc>
          <w:tcPr>
            <w:tcW w:w="90" w:type="dxa"/>
            <w:tcBorders/>
            <w:shd w:fill="CCEEFF" w:val="clear"/>
            <w:vAlign w:val="center"/>
          </w:tcPr>
          <w:p>
            <w:pPr>
              <w:pStyle w:val="TableContents"/>
              <w:spacing w:before="0" w:after="0"/>
              <w:ind w:left="0" w:right="0" w:hanging="0"/>
              <w:rPr/>
            </w:pPr>
            <w:r>
              <w:rPr/>
              <w:t> </w:t>
            </w:r>
          </w:p>
        </w:tc>
        <w:tc>
          <w:tcPr>
            <w:tcW w:w="140"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851" w:type="dxa"/>
            <w:tcBorders>
              <w:bottom w:val="double" w:sz="6" w:space="0" w:color="000000"/>
            </w:tcBorders>
            <w:shd w:fill="CCEEFF" w:val="clear"/>
            <w:tcMar>
              <w:bottom w:w="28" w:type="dxa"/>
            </w:tcMar>
            <w:vAlign w:val="center"/>
          </w:tcPr>
          <w:p>
            <w:pPr>
              <w:pStyle w:val="TableContents"/>
              <w:spacing w:before="0" w:after="283"/>
              <w:jc w:val="right"/>
              <w:rPr/>
            </w:pPr>
            <w:r>
              <w:rPr/>
              <w:t>36.0</w:t>
            </w:r>
          </w:p>
        </w:tc>
        <w:tc>
          <w:tcPr>
            <w:tcW w:w="382" w:type="dxa"/>
            <w:tcBorders/>
            <w:shd w:fill="CCEEFF" w:val="clear"/>
            <w:vAlign w:val="center"/>
          </w:tcPr>
          <w:p>
            <w:pPr>
              <w:pStyle w:val="TableContents"/>
              <w:spacing w:before="0" w:after="283"/>
              <w:rPr/>
            </w:pPr>
            <w:r>
              <w:rPr/>
              <w:t>%</w:t>
            </w:r>
          </w:p>
        </w:tc>
        <w:tc>
          <w:tcPr>
            <w:tcW w:w="140" w:type="dxa"/>
            <w:tcBorders/>
            <w:shd w:fill="CCEEFF" w:val="clear"/>
            <w:vAlign w:val="center"/>
          </w:tcPr>
          <w:p>
            <w:pPr>
              <w:pStyle w:val="TableContents"/>
              <w:spacing w:before="0" w:after="0"/>
              <w:ind w:left="0" w:right="0" w:hanging="0"/>
              <w:rPr/>
            </w:pPr>
            <w:r>
              <w:rPr/>
              <w:t> </w:t>
            </w:r>
          </w:p>
        </w:tc>
        <w:tc>
          <w:tcPr>
            <w:tcW w:w="140"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734" w:type="dxa"/>
            <w:tcBorders>
              <w:bottom w:val="double" w:sz="6" w:space="0" w:color="000000"/>
            </w:tcBorders>
            <w:shd w:fill="CCEEFF" w:val="clear"/>
            <w:tcMar>
              <w:bottom w:w="28" w:type="dxa"/>
            </w:tcMar>
            <w:vAlign w:val="center"/>
          </w:tcPr>
          <w:p>
            <w:pPr>
              <w:pStyle w:val="TableContents"/>
              <w:spacing w:before="0" w:after="283"/>
              <w:jc w:val="right"/>
              <w:rPr/>
            </w:pPr>
            <w:r>
              <w:rPr/>
              <w:t>40.6</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3"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1061" w:type="dxa"/>
            <w:tcBorders>
              <w:bottom w:val="double" w:sz="6" w:space="0" w:color="000000"/>
            </w:tcBorders>
            <w:shd w:fill="CCEEFF" w:val="clear"/>
            <w:tcMar>
              <w:bottom w:w="28" w:type="dxa"/>
            </w:tcMar>
            <w:vAlign w:val="center"/>
          </w:tcPr>
          <w:p>
            <w:pPr>
              <w:pStyle w:val="TableContents"/>
              <w:spacing w:before="0" w:after="283"/>
              <w:jc w:val="right"/>
              <w:rPr/>
            </w:pPr>
            <w:r>
              <w:rPr/>
              <w:t>(4.6</w:t>
            </w:r>
          </w:p>
        </w:tc>
        <w:tc>
          <w:tcPr>
            <w:tcW w:w="170" w:type="dxa"/>
            <w:tcBorders/>
            <w:shd w:fill="CCEEFF" w:val="clear"/>
            <w:vAlign w:val="center"/>
          </w:tcPr>
          <w:p>
            <w:pPr>
              <w:pStyle w:val="TableContents"/>
              <w:spacing w:before="0" w:after="283"/>
              <w:rPr/>
            </w:pPr>
            <w:r>
              <w:rPr/>
              <w:t>)</w:t>
            </w:r>
          </w:p>
        </w:tc>
      </w:tr>
      <w:tr>
        <w:trPr/>
        <w:tc>
          <w:tcPr>
            <w:tcW w:w="367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0" w:type="dxa"/>
            <w:tcBorders/>
            <w:shd w:fill="FFFFFF" w:val="clear"/>
            <w:vAlign w:val="center"/>
          </w:tcPr>
          <w:p>
            <w:pPr>
              <w:pStyle w:val="TableContents"/>
              <w:spacing w:before="0" w:after="0"/>
              <w:ind w:left="0" w:right="0" w:hanging="0"/>
              <w:rPr/>
            </w:pPr>
            <w:r>
              <w:rPr/>
              <w:t> </w:t>
            </w:r>
          </w:p>
        </w:tc>
        <w:tc>
          <w:tcPr>
            <w:tcW w:w="851" w:type="dxa"/>
            <w:tcBorders/>
            <w:shd w:fill="FFFFFF" w:val="clear"/>
            <w:vAlign w:val="center"/>
          </w:tcPr>
          <w:p>
            <w:pPr>
              <w:pStyle w:val="TableContents"/>
              <w:spacing w:before="0" w:after="0"/>
              <w:ind w:left="0" w:right="0" w:hanging="0"/>
              <w:rPr/>
            </w:pPr>
            <w:r>
              <w:rPr/>
              <w:t> </w:t>
            </w:r>
          </w:p>
        </w:tc>
        <w:tc>
          <w:tcPr>
            <w:tcW w:w="382" w:type="dxa"/>
            <w:tcBorders/>
            <w:shd w:fill="FFFFFF" w:val="clear"/>
            <w:vAlign w:val="center"/>
          </w:tcPr>
          <w:p>
            <w:pPr>
              <w:pStyle w:val="TableContents"/>
              <w:spacing w:before="0" w:after="0"/>
              <w:ind w:left="0" w:right="0" w:hanging="0"/>
              <w:rPr/>
            </w:pPr>
            <w:r>
              <w:rPr/>
              <w:t> </w:t>
            </w:r>
          </w:p>
        </w:tc>
        <w:tc>
          <w:tcPr>
            <w:tcW w:w="140" w:type="dxa"/>
            <w:tcBorders/>
            <w:shd w:fill="FFFFFF" w:val="clear"/>
            <w:vAlign w:val="center"/>
          </w:tcPr>
          <w:p>
            <w:pPr>
              <w:pStyle w:val="TableContents"/>
              <w:spacing w:before="0" w:after="0"/>
              <w:ind w:left="0" w:right="0" w:hanging="0"/>
              <w:rPr/>
            </w:pPr>
            <w:r>
              <w:rPr/>
              <w:t> </w:t>
            </w:r>
          </w:p>
        </w:tc>
        <w:tc>
          <w:tcPr>
            <w:tcW w:w="140" w:type="dxa"/>
            <w:tcBorders/>
            <w:shd w:fill="FFFFFF" w:val="clear"/>
            <w:vAlign w:val="center"/>
          </w:tcPr>
          <w:p>
            <w:pPr>
              <w:pStyle w:val="TableContents"/>
              <w:spacing w:before="0" w:after="0"/>
              <w:ind w:left="0" w:right="0" w:hanging="0"/>
              <w:rPr/>
            </w:pPr>
            <w:r>
              <w:rPr/>
              <w:t> </w:t>
            </w:r>
          </w:p>
        </w:tc>
        <w:tc>
          <w:tcPr>
            <w:tcW w:w="734"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3" w:type="dxa"/>
            <w:tcBorders/>
            <w:shd w:fill="FFFFFF" w:val="clear"/>
            <w:vAlign w:val="center"/>
          </w:tcPr>
          <w:p>
            <w:pPr>
              <w:pStyle w:val="TableContents"/>
              <w:spacing w:before="0" w:after="0"/>
              <w:ind w:left="0" w:right="0" w:hanging="0"/>
              <w:rPr/>
            </w:pPr>
            <w:r>
              <w:rPr/>
              <w:t> </w:t>
            </w:r>
          </w:p>
        </w:tc>
        <w:tc>
          <w:tcPr>
            <w:tcW w:w="1061"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7891" w:type="dxa"/>
            <w:gridSpan w:val="13"/>
            <w:tcBorders/>
            <w:shd w:fill="FFFFFF" w:val="clear"/>
            <w:vAlign w:val="center"/>
          </w:tcPr>
          <w:p>
            <w:pPr>
              <w:pStyle w:val="TableContents"/>
              <w:spacing w:before="0" w:after="0"/>
              <w:ind w:left="0" w:right="0" w:hanging="0"/>
              <w:jc w:val="center"/>
              <w:rPr/>
            </w:pPr>
            <w:r>
              <w:rPr>
                <w:rStyle w:val="Emphasis"/>
                <w:rFonts w:ascii="times new roman" w:hAnsi="times new roman"/>
                <w:sz w:val="20"/>
              </w:rPr>
              <w:t>(Components may not sum to totals due to rounding)</w:t>
            </w:r>
          </w:p>
        </w:tc>
      </w:tr>
    </w:tbl>
    <w:p>
      <w:pPr>
        <w:pStyle w:val="TextBody"/>
        <w:spacing w:before="0" w:after="0"/>
        <w:ind w:left="0" w:right="0" w:hanging="0"/>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40</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The overall 16.8 percentage point increase in the benefit from ceding commissions in Year Ended 2022 was driven by the increase in provisional ceding commission revenue due to the inception of the 2021/2023 Treaty on December 31, 2021. The components of our net underwriting expense ratio related to other underwriting expenses and commissions increased due to a higher percentage of our direct earned premiums in Year Ended 2022 being ceded due to the inception of the 2021/2023 Treaty.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Other Operating Expenses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Other operating expenses, related to the expenses of our holding company and Cosi, were $3,113,000 for Year Ended 2022 compared to $4,183,000 for Year Ended 2021. The following table shows a breakdown of the significant components of other operating expenses for the periods indicated:</w:t>
      </w:r>
    </w:p>
    <w:p>
      <w:pPr>
        <w:pStyle w:val="TextBody"/>
        <w:spacing w:before="0" w:after="0"/>
        <w:ind w:left="0" w:right="0" w:firstLine="720"/>
        <w:jc w:val="both"/>
        <w:rPr/>
      </w:pPr>
      <w:r>
        <w:rPr/>
        <w:t> </w:t>
      </w:r>
    </w:p>
    <w:tbl>
      <w:tblPr>
        <w:tblW w:w="10205" w:type="dxa"/>
        <w:jc w:val="left"/>
        <w:tblInd w:w="0" w:type="dxa"/>
        <w:tblCellMar>
          <w:top w:w="0" w:type="dxa"/>
          <w:left w:w="0" w:type="dxa"/>
          <w:bottom w:w="0" w:type="dxa"/>
          <w:right w:w="0" w:type="dxa"/>
        </w:tblCellMar>
      </w:tblPr>
      <w:tblGrid>
        <w:gridCol w:w="6031"/>
        <w:gridCol w:w="90"/>
        <w:gridCol w:w="170"/>
        <w:gridCol w:w="590"/>
        <w:gridCol w:w="125"/>
        <w:gridCol w:w="90"/>
        <w:gridCol w:w="170"/>
        <w:gridCol w:w="590"/>
        <w:gridCol w:w="90"/>
        <w:gridCol w:w="90"/>
        <w:gridCol w:w="170"/>
        <w:gridCol w:w="665"/>
        <w:gridCol w:w="125"/>
        <w:gridCol w:w="90"/>
        <w:gridCol w:w="110"/>
        <w:gridCol w:w="671"/>
        <w:gridCol w:w="338"/>
      </w:tblGrid>
      <w:tr>
        <w:trPr/>
        <w:tc>
          <w:tcPr>
            <w:tcW w:w="6031"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735" w:type="dxa"/>
            <w:gridSpan w:val="6"/>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Years ended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35"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81" w:type="dxa"/>
            <w:gridSpan w:val="2"/>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0"/>
              <w:ind w:left="0" w:right="0" w:hanging="0"/>
              <w:rPr/>
            </w:pPr>
            <w:r>
              <w:rPr/>
              <w:t> </w:t>
            </w:r>
          </w:p>
        </w:tc>
      </w:tr>
      <w:tr>
        <w:trPr/>
        <w:tc>
          <w:tcPr>
            <w:tcW w:w="6031"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735"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December 31,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35"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81" w:type="dxa"/>
            <w:gridSpan w:val="2"/>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0"/>
              <w:ind w:left="0" w:right="0" w:hanging="0"/>
              <w:rPr/>
            </w:pPr>
            <w:r>
              <w:rPr/>
              <w:t> </w:t>
            </w:r>
          </w:p>
        </w:tc>
      </w:tr>
      <w:tr>
        <w:trPr/>
        <w:tc>
          <w:tcPr>
            <w:tcW w:w="6031"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Fonts w:ascii="times new roman" w:hAnsi="times new roman"/>
                <w:sz w:val="20"/>
              </w:rPr>
              <w:t>($ in thousands)</w:t>
            </w:r>
          </w:p>
        </w:tc>
        <w:tc>
          <w:tcPr>
            <w:tcW w:w="90" w:type="dxa"/>
            <w:tcBorders/>
            <w:shd w:fill="auto" w:val="clear"/>
            <w:vAlign w:val="center"/>
          </w:tcPr>
          <w:p>
            <w:pPr>
              <w:pStyle w:val="TableContents"/>
              <w:spacing w:before="0" w:after="0"/>
              <w:ind w:left="0" w:right="0" w:hanging="0"/>
              <w:rPr/>
            </w:pPr>
            <w:r>
              <w:rPr/>
              <w:t> </w:t>
            </w:r>
          </w:p>
        </w:tc>
        <w:tc>
          <w:tcPr>
            <w:tcW w:w="7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2022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2021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3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Change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8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Percent </w:t>
            </w:r>
          </w:p>
        </w:tc>
        <w:tc>
          <w:tcPr>
            <w:tcW w:w="338" w:type="dxa"/>
            <w:tcBorders/>
            <w:shd w:fill="auto" w:val="clear"/>
            <w:vAlign w:val="center"/>
          </w:tcPr>
          <w:p>
            <w:pPr>
              <w:pStyle w:val="TableContents"/>
              <w:spacing w:before="0" w:after="0"/>
              <w:ind w:left="0" w:right="0" w:hanging="0"/>
              <w:rPr/>
            </w:pPr>
            <w:r>
              <w:rPr/>
              <w:t> </w:t>
            </w:r>
          </w:p>
        </w:tc>
      </w:tr>
      <w:tr>
        <w:trPr/>
        <w:tc>
          <w:tcPr>
            <w:tcW w:w="6031"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60"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6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3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81" w:type="dxa"/>
            <w:gridSpan w:val="2"/>
            <w:tcBorders/>
            <w:shd w:fill="auto" w:val="clear"/>
            <w:vAlign w:val="center"/>
          </w:tcPr>
          <w:p>
            <w:pPr>
              <w:pStyle w:val="TableContents"/>
              <w:spacing w:before="0" w:after="0"/>
              <w:ind w:left="0" w:right="0" w:hanging="0"/>
              <w:rPr/>
            </w:pPr>
            <w:r>
              <w:rPr/>
              <w:t> </w:t>
            </w:r>
          </w:p>
        </w:tc>
        <w:tc>
          <w:tcPr>
            <w:tcW w:w="338" w:type="dxa"/>
            <w:tcBorders/>
            <w:shd w:fill="auto" w:val="clear"/>
            <w:vAlign w:val="center"/>
          </w:tcPr>
          <w:p>
            <w:pPr>
              <w:pStyle w:val="TableContents"/>
              <w:spacing w:before="0" w:after="0"/>
              <w:ind w:left="0" w:right="0" w:hanging="0"/>
              <w:rPr/>
            </w:pPr>
            <w:r>
              <w:rPr/>
              <w:t> </w:t>
            </w:r>
          </w:p>
        </w:tc>
      </w:tr>
      <w:tr>
        <w:trPr/>
        <w:tc>
          <w:tcPr>
            <w:tcW w:w="6031"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Other operating expenses</w:t>
            </w:r>
          </w:p>
        </w:tc>
        <w:tc>
          <w:tcPr>
            <w:tcW w:w="90" w:type="dxa"/>
            <w:tcBorders/>
            <w:shd w:fill="auto" w:val="clear"/>
            <w:vAlign w:val="center"/>
          </w:tcPr>
          <w:p>
            <w:pPr>
              <w:pStyle w:val="TableContents"/>
              <w:spacing w:before="0" w:after="0"/>
              <w:ind w:left="0" w:right="0" w:hanging="0"/>
              <w:rPr/>
            </w:pPr>
            <w:r>
              <w:rPr/>
              <w:t> </w:t>
            </w:r>
          </w:p>
        </w:tc>
        <w:tc>
          <w:tcPr>
            <w:tcW w:w="760"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6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3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81" w:type="dxa"/>
            <w:gridSpan w:val="2"/>
            <w:tcBorders/>
            <w:shd w:fill="auto" w:val="clear"/>
            <w:vAlign w:val="center"/>
          </w:tcPr>
          <w:p>
            <w:pPr>
              <w:pStyle w:val="TableContents"/>
              <w:spacing w:before="0" w:after="0"/>
              <w:ind w:left="0" w:right="0" w:hanging="0"/>
              <w:rPr/>
            </w:pPr>
            <w:r>
              <w:rPr/>
              <w:t> </w:t>
            </w:r>
          </w:p>
        </w:tc>
        <w:tc>
          <w:tcPr>
            <w:tcW w:w="338" w:type="dxa"/>
            <w:tcBorders/>
            <w:shd w:fill="auto" w:val="clear"/>
            <w:vAlign w:val="center"/>
          </w:tcPr>
          <w:p>
            <w:pPr>
              <w:pStyle w:val="TableContents"/>
              <w:spacing w:before="0" w:after="0"/>
              <w:ind w:left="0" w:right="0" w:hanging="0"/>
              <w:rPr/>
            </w:pPr>
            <w:r>
              <w:rPr/>
              <w:t> </w:t>
            </w:r>
          </w:p>
        </w:tc>
      </w:tr>
      <w:tr>
        <w:trPr/>
        <w:tc>
          <w:tcPr>
            <w:tcW w:w="6031" w:type="dxa"/>
            <w:tcBorders/>
            <w:shd w:fill="CCEEFF" w:val="clear"/>
            <w:vAlign w:val="center"/>
          </w:tcPr>
          <w:p>
            <w:pPr>
              <w:pStyle w:val="TableContents"/>
              <w:spacing w:before="0" w:after="0"/>
              <w:ind w:left="450" w:right="0" w:hanging="0"/>
              <w:rPr>
                <w:rFonts w:ascii="times new roman" w:hAnsi="times new roman"/>
                <w:sz w:val="20"/>
              </w:rPr>
            </w:pPr>
            <w:r>
              <w:rPr>
                <w:rFonts w:ascii="times new roman" w:hAnsi="times new roman"/>
                <w:sz w:val="20"/>
              </w:rPr>
              <w:t>Employment costs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590" w:type="dxa"/>
            <w:tcBorders/>
            <w:shd w:fill="CCEEFF" w:val="clear"/>
            <w:vAlign w:val="center"/>
          </w:tcPr>
          <w:p>
            <w:pPr>
              <w:pStyle w:val="TableContents"/>
              <w:spacing w:before="0" w:after="283"/>
              <w:jc w:val="right"/>
              <w:rPr/>
            </w:pPr>
            <w:r>
              <w:rPr/>
              <w:t>(24</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590" w:type="dxa"/>
            <w:tcBorders/>
            <w:shd w:fill="CCEEFF" w:val="clear"/>
            <w:vAlign w:val="center"/>
          </w:tcPr>
          <w:p>
            <w:pPr>
              <w:pStyle w:val="TableContents"/>
              <w:spacing w:before="0" w:after="283"/>
              <w:jc w:val="right"/>
              <w:rPr/>
            </w:pPr>
            <w:r>
              <w:rPr/>
              <w:t>795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665" w:type="dxa"/>
            <w:tcBorders/>
            <w:shd w:fill="CCEEFF" w:val="clear"/>
            <w:vAlign w:val="center"/>
          </w:tcPr>
          <w:p>
            <w:pPr>
              <w:pStyle w:val="TableContents"/>
              <w:spacing w:before="0" w:after="283"/>
              <w:jc w:val="right"/>
              <w:rPr/>
            </w:pPr>
            <w:r>
              <w:rPr/>
              <w:t>(819</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10" w:type="dxa"/>
            <w:tcBorders/>
            <w:shd w:fill="CCEEFF" w:val="clear"/>
            <w:vAlign w:val="center"/>
          </w:tcPr>
          <w:p>
            <w:pPr>
              <w:pStyle w:val="TableContents"/>
              <w:spacing w:before="0" w:after="283"/>
              <w:rPr>
                <w:sz w:val="4"/>
                <w:szCs w:val="4"/>
              </w:rPr>
            </w:pPr>
            <w:r>
              <w:rPr>
                <w:sz w:val="4"/>
                <w:szCs w:val="4"/>
              </w:rPr>
            </w:r>
          </w:p>
        </w:tc>
        <w:tc>
          <w:tcPr>
            <w:tcW w:w="671"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na</w:t>
            </w:r>
          </w:p>
        </w:tc>
        <w:tc>
          <w:tcPr>
            <w:tcW w:w="338"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r>
      <w:tr>
        <w:trPr/>
        <w:tc>
          <w:tcPr>
            <w:tcW w:w="6031" w:type="dxa"/>
            <w:tcBorders/>
            <w:shd w:fill="FFFFFF" w:val="clear"/>
            <w:vAlign w:val="center"/>
          </w:tcPr>
          <w:p>
            <w:pPr>
              <w:pStyle w:val="TableContents"/>
              <w:spacing w:before="0" w:after="0"/>
              <w:ind w:left="450" w:right="0" w:hanging="0"/>
              <w:rPr>
                <w:rFonts w:ascii="times new roman" w:hAnsi="times new roman"/>
                <w:sz w:val="20"/>
              </w:rPr>
            </w:pPr>
            <w:r>
              <w:rPr>
                <w:rFonts w:ascii="times new roman" w:hAnsi="times new roman"/>
                <w:sz w:val="20"/>
              </w:rPr>
              <w:t>Bonuses</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665"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781" w:type="dxa"/>
            <w:gridSpan w:val="2"/>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na</w:t>
            </w:r>
          </w:p>
        </w:tc>
        <w:tc>
          <w:tcPr>
            <w:tcW w:w="338" w:type="dxa"/>
            <w:tcBorders/>
            <w:shd w:fill="FFFFFF" w:val="clear"/>
            <w:vAlign w:val="center"/>
          </w:tcPr>
          <w:p>
            <w:pPr>
              <w:pStyle w:val="TableContents"/>
              <w:spacing w:before="0" w:after="0"/>
              <w:ind w:left="0" w:right="0" w:hanging="0"/>
              <w:rPr/>
            </w:pPr>
            <w:r>
              <w:rPr/>
              <w:t> </w:t>
            </w:r>
          </w:p>
        </w:tc>
      </w:tr>
      <w:tr>
        <w:trPr/>
        <w:tc>
          <w:tcPr>
            <w:tcW w:w="6031" w:type="dxa"/>
            <w:tcBorders/>
            <w:shd w:fill="CCEEFF" w:val="clear"/>
            <w:vAlign w:val="center"/>
          </w:tcPr>
          <w:p>
            <w:pPr>
              <w:pStyle w:val="TableContents"/>
              <w:spacing w:before="0" w:after="0"/>
              <w:ind w:left="450" w:right="0" w:hanging="0"/>
              <w:rPr>
                <w:rFonts w:ascii="times new roman" w:hAnsi="times new roman"/>
                <w:sz w:val="20"/>
              </w:rPr>
            </w:pPr>
            <w:r>
              <w:rPr>
                <w:rFonts w:ascii="times new roman" w:hAnsi="times new roman"/>
                <w:sz w:val="20"/>
              </w:rPr>
              <w:t>Equity compensation</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283"/>
              <w:jc w:val="right"/>
              <w:rPr/>
            </w:pPr>
            <w:r>
              <w:rPr/>
              <w:t>1,393</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283"/>
              <w:jc w:val="right"/>
              <w:rPr/>
            </w:pPr>
            <w:r>
              <w:rPr/>
              <w:t>1,905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665" w:type="dxa"/>
            <w:tcBorders/>
            <w:shd w:fill="CCEEFF" w:val="clear"/>
            <w:vAlign w:val="center"/>
          </w:tcPr>
          <w:p>
            <w:pPr>
              <w:pStyle w:val="TableContents"/>
              <w:spacing w:before="0" w:after="283"/>
              <w:jc w:val="right"/>
              <w:rPr/>
            </w:pPr>
            <w:r>
              <w:rPr/>
              <w:t>(512</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10" w:type="dxa"/>
            <w:tcBorders/>
            <w:shd w:fill="CCEEFF" w:val="clear"/>
            <w:vAlign w:val="center"/>
          </w:tcPr>
          <w:p>
            <w:pPr>
              <w:pStyle w:val="TableContents"/>
              <w:spacing w:before="0" w:after="0"/>
              <w:ind w:left="0" w:right="0" w:hanging="0"/>
              <w:rPr/>
            </w:pPr>
            <w:r>
              <w:rPr/>
              <w:t> </w:t>
            </w:r>
          </w:p>
        </w:tc>
        <w:tc>
          <w:tcPr>
            <w:tcW w:w="671" w:type="dxa"/>
            <w:tcBorders/>
            <w:shd w:fill="CCEEFF" w:val="clear"/>
            <w:vAlign w:val="center"/>
          </w:tcPr>
          <w:p>
            <w:pPr>
              <w:pStyle w:val="TableContents"/>
              <w:spacing w:before="0" w:after="283"/>
              <w:jc w:val="right"/>
              <w:rPr/>
            </w:pPr>
            <w:r>
              <w:rPr/>
              <w:t>(26.9</w:t>
            </w:r>
          </w:p>
        </w:tc>
        <w:tc>
          <w:tcPr>
            <w:tcW w:w="338" w:type="dxa"/>
            <w:tcBorders/>
            <w:shd w:fill="CCEEFF" w:val="clear"/>
            <w:vAlign w:val="center"/>
          </w:tcPr>
          <w:p>
            <w:pPr>
              <w:pStyle w:val="TableContents"/>
              <w:spacing w:before="0" w:after="283"/>
              <w:rPr/>
            </w:pPr>
            <w:r>
              <w:rPr/>
              <w:t>)</w:t>
            </w:r>
          </w:p>
        </w:tc>
      </w:tr>
      <w:tr>
        <w:trPr/>
        <w:tc>
          <w:tcPr>
            <w:tcW w:w="6031" w:type="dxa"/>
            <w:tcBorders/>
            <w:shd w:fill="FFFFFF" w:val="clear"/>
            <w:vAlign w:val="center"/>
          </w:tcPr>
          <w:p>
            <w:pPr>
              <w:pStyle w:val="TableContents"/>
              <w:spacing w:before="0" w:after="0"/>
              <w:ind w:left="450" w:right="0" w:hanging="0"/>
              <w:rPr>
                <w:rFonts w:ascii="times new roman" w:hAnsi="times new roman"/>
                <w:sz w:val="20"/>
              </w:rPr>
            </w:pPr>
            <w:r>
              <w:rPr>
                <w:rFonts w:ascii="times new roman" w:hAnsi="times new roman"/>
                <w:sz w:val="20"/>
              </w:rPr>
              <w:t>Professional</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283"/>
              <w:jc w:val="right"/>
              <w:rPr/>
            </w:pPr>
            <w:r>
              <w:rPr/>
              <w:t>411</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283"/>
              <w:jc w:val="right"/>
              <w:rPr/>
            </w:pPr>
            <w:r>
              <w:rPr/>
              <w:t>348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665" w:type="dxa"/>
            <w:tcBorders/>
            <w:shd w:fill="FFFFFF" w:val="clear"/>
            <w:vAlign w:val="center"/>
          </w:tcPr>
          <w:p>
            <w:pPr>
              <w:pStyle w:val="TableContents"/>
              <w:spacing w:before="0" w:after="283"/>
              <w:jc w:val="right"/>
              <w:rPr/>
            </w:pPr>
            <w:r>
              <w:rPr/>
              <w:t>63</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10" w:type="dxa"/>
            <w:tcBorders/>
            <w:shd w:fill="FFFFFF" w:val="clear"/>
            <w:vAlign w:val="center"/>
          </w:tcPr>
          <w:p>
            <w:pPr>
              <w:pStyle w:val="TableContents"/>
              <w:spacing w:before="0" w:after="0"/>
              <w:ind w:left="0" w:right="0" w:hanging="0"/>
              <w:rPr/>
            </w:pPr>
            <w:r>
              <w:rPr/>
              <w:t> </w:t>
            </w:r>
          </w:p>
        </w:tc>
        <w:tc>
          <w:tcPr>
            <w:tcW w:w="671" w:type="dxa"/>
            <w:tcBorders/>
            <w:shd w:fill="FFFFFF" w:val="clear"/>
            <w:vAlign w:val="center"/>
          </w:tcPr>
          <w:p>
            <w:pPr>
              <w:pStyle w:val="TableContents"/>
              <w:spacing w:before="0" w:after="283"/>
              <w:jc w:val="right"/>
              <w:rPr/>
            </w:pPr>
            <w:r>
              <w:rPr/>
              <w:t>18.1</w:t>
            </w:r>
          </w:p>
        </w:tc>
        <w:tc>
          <w:tcPr>
            <w:tcW w:w="338" w:type="dxa"/>
            <w:tcBorders/>
            <w:shd w:fill="FFFFFF" w:val="clear"/>
            <w:vAlign w:val="center"/>
          </w:tcPr>
          <w:p>
            <w:pPr>
              <w:pStyle w:val="TableContents"/>
              <w:spacing w:before="0" w:after="0"/>
              <w:ind w:left="0" w:right="0" w:hanging="0"/>
              <w:rPr/>
            </w:pPr>
            <w:r>
              <w:rPr/>
              <w:t> </w:t>
            </w:r>
          </w:p>
        </w:tc>
      </w:tr>
      <w:tr>
        <w:trPr/>
        <w:tc>
          <w:tcPr>
            <w:tcW w:w="6031" w:type="dxa"/>
            <w:tcBorders/>
            <w:shd w:fill="CCEEFF" w:val="clear"/>
            <w:vAlign w:val="center"/>
          </w:tcPr>
          <w:p>
            <w:pPr>
              <w:pStyle w:val="TableContents"/>
              <w:spacing w:before="0" w:after="0"/>
              <w:ind w:left="675" w:right="0" w:hanging="225"/>
              <w:rPr>
                <w:rFonts w:ascii="times new roman" w:hAnsi="times new roman"/>
                <w:sz w:val="20"/>
              </w:rPr>
            </w:pPr>
            <w:r>
              <w:rPr>
                <w:rFonts w:ascii="times new roman" w:hAnsi="times new roman"/>
                <w:sz w:val="20"/>
              </w:rPr>
              <w:t>Professional fees related to a previously contemplated acquisition of all of the outstanding equity of Kingstone</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283"/>
              <w:jc w:val="right"/>
              <w:rPr/>
            </w:pPr>
            <w:r>
              <w:rPr/>
              <w:t>354</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665" w:type="dxa"/>
            <w:tcBorders/>
            <w:shd w:fill="CCEEFF" w:val="clear"/>
            <w:vAlign w:val="center"/>
          </w:tcPr>
          <w:p>
            <w:pPr>
              <w:pStyle w:val="TableContents"/>
              <w:spacing w:before="0" w:after="283"/>
              <w:jc w:val="right"/>
              <w:rPr/>
            </w:pPr>
            <w:r>
              <w:rPr/>
              <w:t>354</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781" w:type="dxa"/>
            <w:gridSpan w:val="2"/>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na</w:t>
            </w:r>
          </w:p>
        </w:tc>
        <w:tc>
          <w:tcPr>
            <w:tcW w:w="338" w:type="dxa"/>
            <w:tcBorders/>
            <w:shd w:fill="CCEEFF" w:val="clear"/>
            <w:vAlign w:val="center"/>
          </w:tcPr>
          <w:p>
            <w:pPr>
              <w:pStyle w:val="TableContents"/>
              <w:spacing w:before="0" w:after="0"/>
              <w:ind w:left="0" w:right="0" w:hanging="0"/>
              <w:rPr/>
            </w:pPr>
            <w:r>
              <w:rPr/>
              <w:t> </w:t>
            </w:r>
          </w:p>
        </w:tc>
      </w:tr>
      <w:tr>
        <w:trPr/>
        <w:tc>
          <w:tcPr>
            <w:tcW w:w="6031" w:type="dxa"/>
            <w:tcBorders/>
            <w:shd w:fill="FFFFFF" w:val="clear"/>
            <w:vAlign w:val="center"/>
          </w:tcPr>
          <w:p>
            <w:pPr>
              <w:pStyle w:val="TableContents"/>
              <w:spacing w:before="0" w:after="0"/>
              <w:ind w:left="450" w:right="0" w:hanging="0"/>
              <w:rPr>
                <w:rFonts w:ascii="times new roman" w:hAnsi="times new roman"/>
                <w:sz w:val="20"/>
              </w:rPr>
            </w:pPr>
            <w:r>
              <w:rPr>
                <w:rFonts w:ascii="times new roman" w:hAnsi="times new roman"/>
                <w:sz w:val="20"/>
              </w:rPr>
              <w:t>Directors fees</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283"/>
              <w:jc w:val="right"/>
              <w:rPr/>
            </w:pPr>
            <w:r>
              <w:rPr/>
              <w:t>327</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283"/>
              <w:jc w:val="right"/>
              <w:rPr/>
            </w:pPr>
            <w:r>
              <w:rPr/>
              <w:t>327</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665"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10" w:type="dxa"/>
            <w:tcBorders/>
            <w:shd w:fill="FFFFFF" w:val="clear"/>
            <w:vAlign w:val="center"/>
          </w:tcPr>
          <w:p>
            <w:pPr>
              <w:pStyle w:val="TableContents"/>
              <w:spacing w:before="0" w:after="0"/>
              <w:ind w:left="0" w:right="0" w:hanging="0"/>
              <w:rPr/>
            </w:pPr>
            <w:r>
              <w:rPr/>
              <w:t> </w:t>
            </w:r>
          </w:p>
        </w:tc>
        <w:tc>
          <w:tcPr>
            <w:tcW w:w="671" w:type="dxa"/>
            <w:tcBorders/>
            <w:shd w:fill="FFFFFF" w:val="clear"/>
            <w:vAlign w:val="center"/>
          </w:tcPr>
          <w:p>
            <w:pPr>
              <w:pStyle w:val="TableContents"/>
              <w:spacing w:before="0" w:after="283"/>
              <w:jc w:val="right"/>
              <w:rPr/>
            </w:pPr>
            <w:r>
              <w:rPr/>
              <w:t>-</w:t>
            </w:r>
          </w:p>
        </w:tc>
        <w:tc>
          <w:tcPr>
            <w:tcW w:w="338" w:type="dxa"/>
            <w:tcBorders/>
            <w:shd w:fill="FFFFFF" w:val="clear"/>
            <w:vAlign w:val="center"/>
          </w:tcPr>
          <w:p>
            <w:pPr>
              <w:pStyle w:val="TableContents"/>
              <w:spacing w:before="0" w:after="0"/>
              <w:ind w:left="0" w:right="0" w:hanging="0"/>
              <w:rPr/>
            </w:pPr>
            <w:r>
              <w:rPr/>
              <w:t> </w:t>
            </w:r>
          </w:p>
        </w:tc>
      </w:tr>
      <w:tr>
        <w:trPr/>
        <w:tc>
          <w:tcPr>
            <w:tcW w:w="6031" w:type="dxa"/>
            <w:tcBorders/>
            <w:shd w:fill="CCEEFF" w:val="clear"/>
            <w:vAlign w:val="center"/>
          </w:tcPr>
          <w:p>
            <w:pPr>
              <w:pStyle w:val="TableContents"/>
              <w:spacing w:before="0" w:after="0"/>
              <w:ind w:left="450" w:right="0" w:hanging="0"/>
              <w:rPr>
                <w:rFonts w:ascii="times new roman" w:hAnsi="times new roman"/>
                <w:sz w:val="20"/>
              </w:rPr>
            </w:pPr>
            <w:r>
              <w:rPr>
                <w:rFonts w:ascii="times new roman" w:hAnsi="times new roman"/>
                <w:sz w:val="20"/>
              </w:rPr>
              <w:t>Insurance</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283"/>
              <w:jc w:val="right"/>
              <w:rPr/>
            </w:pPr>
            <w:r>
              <w:rPr/>
              <w:t>154</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283"/>
              <w:jc w:val="right"/>
              <w:rPr/>
            </w:pPr>
            <w:r>
              <w:rPr/>
              <w:t>212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665" w:type="dxa"/>
            <w:tcBorders/>
            <w:shd w:fill="CCEEFF" w:val="clear"/>
            <w:vAlign w:val="center"/>
          </w:tcPr>
          <w:p>
            <w:pPr>
              <w:pStyle w:val="TableContents"/>
              <w:spacing w:before="0" w:after="283"/>
              <w:jc w:val="right"/>
              <w:rPr/>
            </w:pPr>
            <w:r>
              <w:rPr/>
              <w:t>(58</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10" w:type="dxa"/>
            <w:tcBorders/>
            <w:shd w:fill="CCEEFF" w:val="clear"/>
            <w:vAlign w:val="center"/>
          </w:tcPr>
          <w:p>
            <w:pPr>
              <w:pStyle w:val="TableContents"/>
              <w:spacing w:before="0" w:after="0"/>
              <w:ind w:left="0" w:right="0" w:hanging="0"/>
              <w:rPr/>
            </w:pPr>
            <w:r>
              <w:rPr/>
              <w:t> </w:t>
            </w:r>
          </w:p>
        </w:tc>
        <w:tc>
          <w:tcPr>
            <w:tcW w:w="671" w:type="dxa"/>
            <w:tcBorders/>
            <w:shd w:fill="CCEEFF" w:val="clear"/>
            <w:vAlign w:val="center"/>
          </w:tcPr>
          <w:p>
            <w:pPr>
              <w:pStyle w:val="TableContents"/>
              <w:spacing w:before="0" w:after="283"/>
              <w:jc w:val="right"/>
              <w:rPr/>
            </w:pPr>
            <w:r>
              <w:rPr/>
              <w:t>(27.4</w:t>
            </w:r>
          </w:p>
        </w:tc>
        <w:tc>
          <w:tcPr>
            <w:tcW w:w="338" w:type="dxa"/>
            <w:tcBorders/>
            <w:shd w:fill="CCEEFF" w:val="clear"/>
            <w:vAlign w:val="center"/>
          </w:tcPr>
          <w:p>
            <w:pPr>
              <w:pStyle w:val="TableContents"/>
              <w:spacing w:before="0" w:after="283"/>
              <w:rPr/>
            </w:pPr>
            <w:r>
              <w:rPr/>
              <w:t>)</w:t>
            </w:r>
          </w:p>
        </w:tc>
      </w:tr>
      <w:tr>
        <w:trPr/>
        <w:tc>
          <w:tcPr>
            <w:tcW w:w="6031" w:type="dxa"/>
            <w:tcBorders/>
            <w:shd w:fill="FFFFFF" w:val="clear"/>
            <w:vAlign w:val="center"/>
          </w:tcPr>
          <w:p>
            <w:pPr>
              <w:pStyle w:val="TableContents"/>
              <w:spacing w:before="0" w:after="0"/>
              <w:ind w:left="450" w:right="0" w:hanging="0"/>
              <w:rPr>
                <w:rFonts w:ascii="times new roman" w:hAnsi="times new roman"/>
                <w:sz w:val="20"/>
              </w:rPr>
            </w:pPr>
            <w:r>
              <w:rPr>
                <w:rFonts w:ascii="times new roman" w:hAnsi="times new roman"/>
                <w:sz w:val="20"/>
              </w:rPr>
              <w:t>Other expenses</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jc w:val="right"/>
              <w:rPr/>
            </w:pPr>
            <w:r>
              <w:rPr/>
              <w:t>499</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jc w:val="right"/>
              <w:rPr/>
            </w:pPr>
            <w:r>
              <w:rPr/>
              <w:t>597</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665" w:type="dxa"/>
            <w:tcBorders>
              <w:bottom w:val="single" w:sz="2" w:space="0" w:color="000000"/>
            </w:tcBorders>
            <w:shd w:fill="FFFFFF" w:val="clear"/>
            <w:tcMar>
              <w:bottom w:w="28" w:type="dxa"/>
            </w:tcMar>
            <w:vAlign w:val="center"/>
          </w:tcPr>
          <w:p>
            <w:pPr>
              <w:pStyle w:val="TableContents"/>
              <w:spacing w:before="0" w:after="283"/>
              <w:jc w:val="right"/>
              <w:rPr/>
            </w:pPr>
            <w:r>
              <w:rPr/>
              <w:t>(98</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1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671" w:type="dxa"/>
            <w:tcBorders>
              <w:bottom w:val="single" w:sz="2" w:space="0" w:color="000000"/>
            </w:tcBorders>
            <w:shd w:fill="FFFFFF" w:val="clear"/>
            <w:tcMar>
              <w:bottom w:w="28" w:type="dxa"/>
            </w:tcMar>
            <w:vAlign w:val="center"/>
          </w:tcPr>
          <w:p>
            <w:pPr>
              <w:pStyle w:val="TableContents"/>
              <w:spacing w:before="0" w:after="283"/>
              <w:jc w:val="right"/>
              <w:rPr/>
            </w:pPr>
            <w:r>
              <w:rPr/>
              <w:t>(16.4</w:t>
            </w:r>
          </w:p>
        </w:tc>
        <w:tc>
          <w:tcPr>
            <w:tcW w:w="338" w:type="dxa"/>
            <w:tcBorders/>
            <w:shd w:fill="FFFFFF" w:val="clear"/>
            <w:vAlign w:val="center"/>
          </w:tcPr>
          <w:p>
            <w:pPr>
              <w:pStyle w:val="TableContents"/>
              <w:spacing w:before="0" w:after="283"/>
              <w:rPr/>
            </w:pPr>
            <w:r>
              <w:rPr/>
              <w:t>)</w:t>
            </w:r>
          </w:p>
        </w:tc>
      </w:tr>
      <w:tr>
        <w:trPr/>
        <w:tc>
          <w:tcPr>
            <w:tcW w:w="6031" w:type="dxa"/>
            <w:tcBorders/>
            <w:shd w:fill="CCEEFF" w:val="clear"/>
            <w:vAlign w:val="center"/>
          </w:tcPr>
          <w:p>
            <w:pPr>
              <w:pStyle w:val="TableContents"/>
              <w:spacing w:before="0" w:after="0"/>
              <w:ind w:left="0" w:right="0" w:firstLine="200"/>
              <w:rPr/>
            </w:pPr>
            <w:r>
              <w:rPr/>
              <w:t> </w:t>
            </w:r>
            <w:r>
              <w:rPr>
                <w:rFonts w:ascii="times new roman" w:hAnsi="times new roman"/>
                <w:sz w:val="20"/>
              </w:rPr>
              <w:t xml:space="preserve">Total other operating expenses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590" w:type="dxa"/>
            <w:tcBorders>
              <w:bottom w:val="double" w:sz="6" w:space="0" w:color="000000"/>
            </w:tcBorders>
            <w:shd w:fill="CCEEFF" w:val="clear"/>
            <w:tcMar>
              <w:bottom w:w="28" w:type="dxa"/>
            </w:tcMar>
            <w:vAlign w:val="center"/>
          </w:tcPr>
          <w:p>
            <w:pPr>
              <w:pStyle w:val="TableContents"/>
              <w:spacing w:before="0" w:after="283"/>
              <w:jc w:val="right"/>
              <w:rPr/>
            </w:pPr>
            <w:r>
              <w:rPr/>
              <w:t>3,114</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590" w:type="dxa"/>
            <w:tcBorders>
              <w:bottom w:val="double" w:sz="6" w:space="0" w:color="000000"/>
            </w:tcBorders>
            <w:shd w:fill="CCEEFF" w:val="clear"/>
            <w:tcMar>
              <w:bottom w:w="28" w:type="dxa"/>
            </w:tcMar>
            <w:vAlign w:val="center"/>
          </w:tcPr>
          <w:p>
            <w:pPr>
              <w:pStyle w:val="TableContents"/>
              <w:spacing w:before="0" w:after="283"/>
              <w:jc w:val="right"/>
              <w:rPr/>
            </w:pPr>
            <w:r>
              <w:rPr/>
              <w:t>4,183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665" w:type="dxa"/>
            <w:tcBorders>
              <w:bottom w:val="double" w:sz="6" w:space="0" w:color="000000"/>
            </w:tcBorders>
            <w:shd w:fill="CCEEFF" w:val="clear"/>
            <w:tcMar>
              <w:bottom w:w="28" w:type="dxa"/>
            </w:tcMar>
            <w:vAlign w:val="center"/>
          </w:tcPr>
          <w:p>
            <w:pPr>
              <w:pStyle w:val="TableContents"/>
              <w:spacing w:before="0" w:after="283"/>
              <w:jc w:val="right"/>
              <w:rPr/>
            </w:pPr>
            <w:r>
              <w:rPr/>
              <w:t>(1,069</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671" w:type="dxa"/>
            <w:tcBorders>
              <w:bottom w:val="double" w:sz="6" w:space="0" w:color="000000"/>
            </w:tcBorders>
            <w:shd w:fill="CCEEFF" w:val="clear"/>
            <w:tcMar>
              <w:bottom w:w="28" w:type="dxa"/>
            </w:tcMar>
            <w:vAlign w:val="center"/>
          </w:tcPr>
          <w:p>
            <w:pPr>
              <w:pStyle w:val="TableContents"/>
              <w:spacing w:before="0" w:after="283"/>
              <w:jc w:val="right"/>
              <w:rPr/>
            </w:pPr>
            <w:r>
              <w:rPr/>
              <w:t>(25.6</w:t>
            </w:r>
          </w:p>
        </w:tc>
        <w:tc>
          <w:tcPr>
            <w:tcW w:w="338" w:type="dxa"/>
            <w:tcBorders/>
            <w:shd w:fill="CCEEFF" w:val="clear"/>
            <w:vAlign w:val="center"/>
          </w:tcPr>
          <w:p>
            <w:pPr>
              <w:pStyle w:val="TableContents"/>
              <w:spacing w:before="0" w:after="283"/>
              <w:rPr/>
            </w:pPr>
            <w:r>
              <w:rPr/>
              <w:t>)%</w:t>
            </w:r>
          </w:p>
        </w:tc>
      </w:tr>
    </w:tbl>
    <w:p>
      <w:pPr>
        <w:pStyle w:val="TextBody"/>
        <w:spacing w:before="0" w:after="0"/>
        <w:ind w:left="0" w:right="0" w:hanging="0"/>
        <w:rPr/>
      </w:pPr>
      <w:r>
        <w:rPr/>
        <w:t xml:space="preserve">  </w:t>
      </w:r>
    </w:p>
    <w:p>
      <w:pPr>
        <w:pStyle w:val="TextBody"/>
        <w:spacing w:before="0" w:after="0"/>
        <w:ind w:left="0" w:right="0" w:hanging="0"/>
        <w:jc w:val="center"/>
        <w:rPr/>
      </w:pPr>
      <w:r>
        <w:rPr>
          <w:rStyle w:val="Emphasis"/>
          <w:rFonts w:ascii="times new roman" w:hAnsi="times new roman"/>
          <w:sz w:val="20"/>
        </w:rPr>
        <w:t>(Components may not sum to totals due to rounding)</w:t>
      </w:r>
    </w:p>
    <w:p>
      <w:pPr>
        <w:pStyle w:val="TextBody"/>
        <w:spacing w:before="0" w:after="0"/>
        <w:ind w:left="0" w:right="0" w:hanging="0"/>
        <w:jc w:val="center"/>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41</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decrease in Year Ended 2022 of $1,069,000, or 25.6%, as compared to Year Ended 2021 was primarily due to a decrease in employment costs. The decrease in employment costs was due to staff reductions and fluctuations in deferred compensation liability related to changes in the underlying invested portfolio. The decrease in employment costs was partially offset by an increase in professional fees attributable to a non-binding indication of interest from a third party related to a then contemplated acquisition of all of the outstanding equity of our company.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Depreciation and Amortization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Depreciation and amortization was $3,300,000 in Year Ended 2022 compared to $3,290,000 in Year Ended 2021. The increase of $10,000, or 0.3%, in depreciation and amortization was primarily due to assets previously put into service that are currently being utilized and being fully depreciated. The increase was partially offset by the completion of customized policy management software, now allowing us to consolidate multiple legacy systems into one efficient system. In the last quarter of 2021, due to the extended useful life of assets related to our system platforms, Management determined that such systems, currently put into service, should be depreciated over five years reflecting their expected useful lives as compared to the previous three years.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Interest Expense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Interest expense in Year Ended 2022 was $2,019,000 compared to $1,826,000 in Year Ended 2021, an increase of $193,000 or 10.6%. In Years Ended 2022 and 2021 we incurred interest expense in connection with the 2017 Notes, our $30.0 million issuance of long-term debt in December 2017. In Year Ended 2022, as disclosed in Note 9 to the consolidated financial statements, we also incurred debt in the fourth quarter of 2022 with respect to the 2022 Notes and an equipment financing.</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Income Tax Benefit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Income tax benefit in Year Ended 2022 was $5,418,000, which resulted in an effective tax benefit rate of 19.4%. Income tax benefit in Year Ended 2021 was $2,031,000, which resulted in an effective tax rate of 21.6%. Loss before taxes was $27,942,000 in Year Ended 2022 compared to $9,409,000 in Year Ended 2021. The difference in effective tax rate is due to the effect of permanent differences in Year Ended 2022 compared to Year Ended 2021.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42</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Net Loss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Net loss was $22,525,000 in Year Ended 2022 compared to $7,378,000 in Year Ended 2021. The increase in net loss of $15,147,000 was due to the circumstances described above. </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Additional Financial Information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operate our business as one segment, property and casualty insurance. Within this segment, we offer an array of property and casualty policies to our producers. The following table summarizes gross and net premiums written, net premiums earned, and loss and loss adjustment expenses by major product type, which were determined based primarily on similar economic characteristics and risks of loss.</w:t>
      </w:r>
    </w:p>
    <w:p>
      <w:pPr>
        <w:pStyle w:val="TextBody"/>
        <w:spacing w:before="0" w:after="0"/>
        <w:ind w:left="0" w:right="0" w:firstLine="720"/>
        <w:jc w:val="both"/>
        <w:rPr/>
      </w:pPr>
      <w:r>
        <w:rPr/>
        <w:t> </w:t>
      </w:r>
    </w:p>
    <w:tbl>
      <w:tblPr>
        <w:tblW w:w="7805" w:type="dxa"/>
        <w:jc w:val="left"/>
        <w:tblInd w:w="0" w:type="dxa"/>
        <w:tblCellMar>
          <w:top w:w="0" w:type="dxa"/>
          <w:left w:w="0" w:type="dxa"/>
          <w:bottom w:w="0" w:type="dxa"/>
          <w:right w:w="0" w:type="dxa"/>
        </w:tblCellMar>
      </w:tblPr>
      <w:tblGrid>
        <w:gridCol w:w="4250"/>
        <w:gridCol w:w="90"/>
        <w:gridCol w:w="170"/>
        <w:gridCol w:w="1250"/>
        <w:gridCol w:w="245"/>
        <w:gridCol w:w="90"/>
        <w:gridCol w:w="170"/>
        <w:gridCol w:w="1250"/>
        <w:gridCol w:w="290"/>
      </w:tblGrid>
      <w:tr>
        <w:trPr/>
        <w:tc>
          <w:tcPr>
            <w:tcW w:w="425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175" w:type="dxa"/>
            <w:gridSpan w:val="6"/>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Years Ended </w:t>
            </w:r>
          </w:p>
        </w:tc>
        <w:tc>
          <w:tcPr>
            <w:tcW w:w="290" w:type="dxa"/>
            <w:tcBorders/>
            <w:shd w:fill="auto" w:val="clear"/>
            <w:vAlign w:val="center"/>
          </w:tcPr>
          <w:p>
            <w:pPr>
              <w:pStyle w:val="TableContents"/>
              <w:spacing w:before="0" w:after="0"/>
              <w:ind w:left="0" w:right="0" w:hanging="0"/>
              <w:rPr/>
            </w:pPr>
            <w:r>
              <w:rPr/>
              <w:t> </w:t>
            </w:r>
          </w:p>
        </w:tc>
      </w:tr>
      <w:tr>
        <w:trPr/>
        <w:tc>
          <w:tcPr>
            <w:tcW w:w="425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175"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December 31, </w:t>
            </w:r>
          </w:p>
        </w:tc>
        <w:tc>
          <w:tcPr>
            <w:tcW w:w="290" w:type="dxa"/>
            <w:tcBorders/>
            <w:shd w:fill="auto" w:val="clear"/>
            <w:vAlign w:val="center"/>
          </w:tcPr>
          <w:p>
            <w:pPr>
              <w:pStyle w:val="TableContents"/>
              <w:spacing w:before="0" w:after="0"/>
              <w:ind w:left="0" w:right="0" w:hanging="0"/>
              <w:rPr/>
            </w:pPr>
            <w:r>
              <w:rPr/>
              <w:t> </w:t>
            </w:r>
          </w:p>
        </w:tc>
      </w:tr>
      <w:tr>
        <w:trPr/>
        <w:tc>
          <w:tcPr>
            <w:tcW w:w="425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2022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2021 </w:t>
            </w:r>
          </w:p>
        </w:tc>
        <w:tc>
          <w:tcPr>
            <w:tcW w:w="290" w:type="dxa"/>
            <w:tcBorders/>
            <w:shd w:fill="auto" w:val="clear"/>
            <w:vAlign w:val="center"/>
          </w:tcPr>
          <w:p>
            <w:pPr>
              <w:pStyle w:val="TableContents"/>
              <w:spacing w:before="0" w:after="0"/>
              <w:ind w:left="0" w:right="0" w:hanging="0"/>
              <w:rPr/>
            </w:pPr>
            <w:r>
              <w:rPr/>
              <w:t> </w:t>
            </w:r>
          </w:p>
        </w:tc>
      </w:tr>
      <w:tr>
        <w:trPr/>
        <w:tc>
          <w:tcPr>
            <w:tcW w:w="4250" w:type="dxa"/>
            <w:tcBorders/>
            <w:shd w:fill="auto" w:val="clear"/>
            <w:vAlign w:val="center"/>
          </w:tcPr>
          <w:p>
            <w:pPr>
              <w:pStyle w:val="TableContents"/>
              <w:spacing w:before="0" w:after="0"/>
              <w:ind w:left="0" w:right="0" w:hanging="0"/>
              <w:rPr/>
            </w:pPr>
            <w:r>
              <w:rPr>
                <w:rStyle w:val="StrongEmphasis"/>
                <w:rFonts w:ascii="times new roman" w:hAnsi="times new roman"/>
                <w:sz w:val="20"/>
              </w:rPr>
              <w:t xml:space="preserve">Gross premiums written: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290" w:type="dxa"/>
            <w:tcBorders/>
            <w:shd w:fill="auto" w:val="clear"/>
            <w:vAlign w:val="center"/>
          </w:tcPr>
          <w:p>
            <w:pPr>
              <w:pStyle w:val="TableContents"/>
              <w:spacing w:before="0" w:after="0"/>
              <w:ind w:left="0" w:right="0" w:hanging="0"/>
              <w:rPr/>
            </w:pPr>
            <w:r>
              <w:rPr/>
              <w:t> </w:t>
            </w:r>
          </w:p>
        </w:tc>
      </w:tr>
      <w:tr>
        <w:trPr/>
        <w:tc>
          <w:tcPr>
            <w:tcW w:w="425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Personal lines(3)</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188,104,883</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171,719,993</w:t>
            </w:r>
          </w:p>
        </w:tc>
        <w:tc>
          <w:tcPr>
            <w:tcW w:w="290" w:type="dxa"/>
            <w:tcBorders/>
            <w:shd w:fill="CCEEFF" w:val="clear"/>
            <w:vAlign w:val="center"/>
          </w:tcPr>
          <w:p>
            <w:pPr>
              <w:pStyle w:val="TableContents"/>
              <w:spacing w:before="0" w:after="0"/>
              <w:ind w:left="0" w:right="0" w:hanging="0"/>
              <w:rPr/>
            </w:pPr>
            <w:r>
              <w:rPr/>
              <w:t> </w:t>
            </w:r>
          </w:p>
        </w:tc>
      </w:tr>
      <w:tr>
        <w:trPr/>
        <w:tc>
          <w:tcPr>
            <w:tcW w:w="425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Livery physical damage</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12,992,905</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9,716,658</w:t>
            </w:r>
          </w:p>
        </w:tc>
        <w:tc>
          <w:tcPr>
            <w:tcW w:w="290" w:type="dxa"/>
            <w:tcBorders/>
            <w:shd w:fill="FFFFFF" w:val="clear"/>
            <w:vAlign w:val="center"/>
          </w:tcPr>
          <w:p>
            <w:pPr>
              <w:pStyle w:val="TableContents"/>
              <w:spacing w:before="0" w:after="0"/>
              <w:ind w:left="0" w:right="0" w:hanging="0"/>
              <w:rPr/>
            </w:pPr>
            <w:r>
              <w:rPr/>
              <w:t> </w:t>
            </w:r>
          </w:p>
        </w:tc>
      </w:tr>
      <w:tr>
        <w:trPr/>
        <w:tc>
          <w:tcPr>
            <w:tcW w:w="425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Other(1)</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157,049</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229,383</w:t>
            </w:r>
          </w:p>
        </w:tc>
        <w:tc>
          <w:tcPr>
            <w:tcW w:w="290" w:type="dxa"/>
            <w:tcBorders/>
            <w:shd w:fill="CCEEFF" w:val="clear"/>
            <w:vAlign w:val="center"/>
          </w:tcPr>
          <w:p>
            <w:pPr>
              <w:pStyle w:val="TableContents"/>
              <w:spacing w:before="0" w:after="0"/>
              <w:ind w:left="0" w:right="0" w:hanging="0"/>
              <w:rPr/>
            </w:pPr>
            <w:r>
              <w:rPr/>
              <w:t> </w:t>
            </w:r>
          </w:p>
        </w:tc>
      </w:tr>
      <w:tr>
        <w:trPr/>
        <w:tc>
          <w:tcPr>
            <w:tcW w:w="4250" w:type="dxa"/>
            <w:tcBorders/>
            <w:shd w:fill="FFFF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Total without commercial lines</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201,254,837</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181,666,034</w:t>
            </w:r>
          </w:p>
        </w:tc>
        <w:tc>
          <w:tcPr>
            <w:tcW w:w="290" w:type="dxa"/>
            <w:tcBorders/>
            <w:shd w:fill="FFFFFF" w:val="clear"/>
            <w:vAlign w:val="center"/>
          </w:tcPr>
          <w:p>
            <w:pPr>
              <w:pStyle w:val="TableContents"/>
              <w:spacing w:before="0" w:after="0"/>
              <w:ind w:left="0" w:right="0" w:hanging="0"/>
              <w:rPr/>
            </w:pPr>
            <w:r>
              <w:rPr/>
              <w:t> </w:t>
            </w:r>
          </w:p>
        </w:tc>
      </w:tr>
      <w:tr>
        <w:trPr/>
        <w:tc>
          <w:tcPr>
            <w:tcW w:w="425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Commercial lines (in run-off effective July 2019)(2)</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(856</w:t>
            </w:r>
          </w:p>
        </w:tc>
        <w:tc>
          <w:tcPr>
            <w:tcW w:w="290" w:type="dxa"/>
            <w:tcBorders/>
            <w:shd w:fill="CCEEFF" w:val="clear"/>
            <w:vAlign w:val="center"/>
          </w:tcPr>
          <w:p>
            <w:pPr>
              <w:pStyle w:val="TableContents"/>
              <w:spacing w:before="0" w:after="283"/>
              <w:rPr/>
            </w:pPr>
            <w:r>
              <w:rPr/>
              <w:t>)</w:t>
            </w:r>
          </w:p>
        </w:tc>
      </w:tr>
      <w:tr>
        <w:trPr/>
        <w:tc>
          <w:tcPr>
            <w:tcW w:w="4250" w:type="dxa"/>
            <w:tcBorders/>
            <w:shd w:fill="FFFF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Total gross premiums written</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201,254,837</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181,665,178</w:t>
            </w:r>
          </w:p>
        </w:tc>
        <w:tc>
          <w:tcPr>
            <w:tcW w:w="290" w:type="dxa"/>
            <w:tcBorders/>
            <w:shd w:fill="FFFFFF" w:val="clear"/>
            <w:vAlign w:val="center"/>
          </w:tcPr>
          <w:p>
            <w:pPr>
              <w:pStyle w:val="TableContents"/>
              <w:spacing w:before="0" w:after="0"/>
              <w:ind w:left="0" w:right="0" w:hanging="0"/>
              <w:rPr/>
            </w:pPr>
            <w:r>
              <w:rPr/>
              <w:t> </w:t>
            </w:r>
          </w:p>
        </w:tc>
      </w:tr>
      <w:tr>
        <w:trPr/>
        <w:tc>
          <w:tcPr>
            <w:tcW w:w="42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90" w:type="dxa"/>
            <w:tcBorders/>
            <w:shd w:fill="CCEEFF" w:val="clear"/>
            <w:vAlign w:val="center"/>
          </w:tcPr>
          <w:p>
            <w:pPr>
              <w:pStyle w:val="TableContents"/>
              <w:spacing w:before="0" w:after="0"/>
              <w:ind w:left="0" w:right="0" w:hanging="0"/>
              <w:rPr/>
            </w:pPr>
            <w:r>
              <w:rPr/>
              <w:t> </w:t>
            </w:r>
          </w:p>
        </w:tc>
      </w:tr>
      <w:tr>
        <w:trPr/>
        <w:tc>
          <w:tcPr>
            <w:tcW w:w="4250" w:type="dxa"/>
            <w:tcBorders/>
            <w:shd w:fill="FFFFFF" w:val="clear"/>
            <w:vAlign w:val="center"/>
          </w:tcPr>
          <w:p>
            <w:pPr>
              <w:pStyle w:val="TableContents"/>
              <w:spacing w:before="0" w:after="0"/>
              <w:ind w:left="0" w:right="0" w:hanging="0"/>
              <w:rPr/>
            </w:pPr>
            <w:r>
              <w:rPr>
                <w:rStyle w:val="StrongEmphasis"/>
                <w:rFonts w:ascii="times new roman" w:hAnsi="times new roman"/>
                <w:sz w:val="20"/>
              </w:rPr>
              <w:t xml:space="preserve">Net premiums written: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90" w:type="dxa"/>
            <w:tcBorders/>
            <w:shd w:fill="FFFFFF" w:val="clear"/>
            <w:vAlign w:val="center"/>
          </w:tcPr>
          <w:p>
            <w:pPr>
              <w:pStyle w:val="TableContents"/>
              <w:spacing w:before="0" w:after="0"/>
              <w:ind w:left="0" w:right="0" w:hanging="0"/>
              <w:rPr/>
            </w:pPr>
            <w:r>
              <w:rPr/>
              <w:t> </w:t>
            </w:r>
          </w:p>
        </w:tc>
      </w:tr>
      <w:tr>
        <w:trPr/>
        <w:tc>
          <w:tcPr>
            <w:tcW w:w="425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Personal lines(3)</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108,953,413</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118,842,870</w:t>
            </w:r>
          </w:p>
        </w:tc>
        <w:tc>
          <w:tcPr>
            <w:tcW w:w="290" w:type="dxa"/>
            <w:tcBorders/>
            <w:shd w:fill="CCEEFF" w:val="clear"/>
            <w:vAlign w:val="center"/>
          </w:tcPr>
          <w:p>
            <w:pPr>
              <w:pStyle w:val="TableContents"/>
              <w:spacing w:before="0" w:after="0"/>
              <w:ind w:left="0" w:right="0" w:hanging="0"/>
              <w:rPr/>
            </w:pPr>
            <w:r>
              <w:rPr/>
              <w:t> </w:t>
            </w:r>
          </w:p>
        </w:tc>
      </w:tr>
      <w:tr>
        <w:trPr/>
        <w:tc>
          <w:tcPr>
            <w:tcW w:w="425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Livery physical damage</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12,992,905</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9,716,658</w:t>
            </w:r>
          </w:p>
        </w:tc>
        <w:tc>
          <w:tcPr>
            <w:tcW w:w="290" w:type="dxa"/>
            <w:tcBorders/>
            <w:shd w:fill="FFFFFF" w:val="clear"/>
            <w:vAlign w:val="center"/>
          </w:tcPr>
          <w:p>
            <w:pPr>
              <w:pStyle w:val="TableContents"/>
              <w:spacing w:before="0" w:after="0"/>
              <w:ind w:left="0" w:right="0" w:hanging="0"/>
              <w:rPr/>
            </w:pPr>
            <w:r>
              <w:rPr/>
              <w:t> </w:t>
            </w:r>
          </w:p>
        </w:tc>
      </w:tr>
      <w:tr>
        <w:trPr/>
        <w:tc>
          <w:tcPr>
            <w:tcW w:w="425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Other(1)</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113,503</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196,812</w:t>
            </w:r>
          </w:p>
        </w:tc>
        <w:tc>
          <w:tcPr>
            <w:tcW w:w="290" w:type="dxa"/>
            <w:tcBorders/>
            <w:shd w:fill="CCEEFF" w:val="clear"/>
            <w:vAlign w:val="center"/>
          </w:tcPr>
          <w:p>
            <w:pPr>
              <w:pStyle w:val="TableContents"/>
              <w:spacing w:before="0" w:after="0"/>
              <w:ind w:left="0" w:right="0" w:hanging="0"/>
              <w:rPr/>
            </w:pPr>
            <w:r>
              <w:rPr/>
              <w:t> </w:t>
            </w:r>
          </w:p>
        </w:tc>
      </w:tr>
      <w:tr>
        <w:trPr/>
        <w:tc>
          <w:tcPr>
            <w:tcW w:w="4250" w:type="dxa"/>
            <w:tcBorders/>
            <w:shd w:fill="FFFF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Total without commercial lines</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122,059,821</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128,756,340</w:t>
            </w:r>
          </w:p>
        </w:tc>
        <w:tc>
          <w:tcPr>
            <w:tcW w:w="290" w:type="dxa"/>
            <w:tcBorders/>
            <w:shd w:fill="FFFFFF" w:val="clear"/>
            <w:vAlign w:val="center"/>
          </w:tcPr>
          <w:p>
            <w:pPr>
              <w:pStyle w:val="TableContents"/>
              <w:spacing w:before="0" w:after="0"/>
              <w:ind w:left="0" w:right="0" w:hanging="0"/>
              <w:rPr/>
            </w:pPr>
            <w:r>
              <w:rPr/>
              <w:t> </w:t>
            </w:r>
          </w:p>
        </w:tc>
      </w:tr>
      <w:tr>
        <w:trPr/>
        <w:tc>
          <w:tcPr>
            <w:tcW w:w="425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Commercial lines (in run-off effective July 2019)(2)</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(856</w:t>
            </w:r>
          </w:p>
        </w:tc>
        <w:tc>
          <w:tcPr>
            <w:tcW w:w="290" w:type="dxa"/>
            <w:tcBorders/>
            <w:shd w:fill="CCEEFF" w:val="clear"/>
            <w:vAlign w:val="center"/>
          </w:tcPr>
          <w:p>
            <w:pPr>
              <w:pStyle w:val="TableContents"/>
              <w:spacing w:before="0" w:after="283"/>
              <w:rPr/>
            </w:pPr>
            <w:r>
              <w:rPr/>
              <w:t>)</w:t>
            </w:r>
          </w:p>
        </w:tc>
      </w:tr>
      <w:tr>
        <w:trPr/>
        <w:tc>
          <w:tcPr>
            <w:tcW w:w="4250" w:type="dxa"/>
            <w:tcBorders/>
            <w:shd w:fill="FFFF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Total net premiums written</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122,059,821</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128,755,484</w:t>
            </w:r>
          </w:p>
        </w:tc>
        <w:tc>
          <w:tcPr>
            <w:tcW w:w="290" w:type="dxa"/>
            <w:tcBorders/>
            <w:shd w:fill="FFFFFF" w:val="clear"/>
            <w:vAlign w:val="center"/>
          </w:tcPr>
          <w:p>
            <w:pPr>
              <w:pStyle w:val="TableContents"/>
              <w:spacing w:before="0" w:after="0"/>
              <w:ind w:left="0" w:right="0" w:hanging="0"/>
              <w:rPr/>
            </w:pPr>
            <w:r>
              <w:rPr/>
              <w:t> </w:t>
            </w:r>
          </w:p>
        </w:tc>
      </w:tr>
      <w:tr>
        <w:trPr/>
        <w:tc>
          <w:tcPr>
            <w:tcW w:w="42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90" w:type="dxa"/>
            <w:tcBorders/>
            <w:shd w:fill="CCEEFF" w:val="clear"/>
            <w:vAlign w:val="center"/>
          </w:tcPr>
          <w:p>
            <w:pPr>
              <w:pStyle w:val="TableContents"/>
              <w:spacing w:before="0" w:after="0"/>
              <w:ind w:left="0" w:right="0" w:hanging="0"/>
              <w:rPr/>
            </w:pPr>
            <w:r>
              <w:rPr/>
              <w:t> </w:t>
            </w:r>
          </w:p>
        </w:tc>
      </w:tr>
      <w:tr>
        <w:trPr/>
        <w:tc>
          <w:tcPr>
            <w:tcW w:w="4250" w:type="dxa"/>
            <w:tcBorders/>
            <w:shd w:fill="FFFFFF" w:val="clear"/>
            <w:vAlign w:val="center"/>
          </w:tcPr>
          <w:p>
            <w:pPr>
              <w:pStyle w:val="TableContents"/>
              <w:spacing w:before="0" w:after="0"/>
              <w:ind w:left="0" w:right="0" w:hanging="0"/>
              <w:rPr/>
            </w:pPr>
            <w:r>
              <w:rPr>
                <w:rStyle w:val="StrongEmphasis"/>
                <w:rFonts w:ascii="times new roman" w:hAnsi="times new roman"/>
                <w:sz w:val="20"/>
              </w:rPr>
              <w:t xml:space="preserve">Net premiums earned: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90" w:type="dxa"/>
            <w:tcBorders/>
            <w:shd w:fill="FFFFFF" w:val="clear"/>
            <w:vAlign w:val="center"/>
          </w:tcPr>
          <w:p>
            <w:pPr>
              <w:pStyle w:val="TableContents"/>
              <w:spacing w:before="0" w:after="0"/>
              <w:ind w:left="0" w:right="0" w:hanging="0"/>
              <w:rPr/>
            </w:pPr>
            <w:r>
              <w:rPr/>
              <w:t> </w:t>
            </w:r>
          </w:p>
        </w:tc>
      </w:tr>
      <w:tr>
        <w:trPr/>
        <w:tc>
          <w:tcPr>
            <w:tcW w:w="425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Personal lines(3)</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103,019,573</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135,738,484</w:t>
            </w:r>
          </w:p>
        </w:tc>
        <w:tc>
          <w:tcPr>
            <w:tcW w:w="290" w:type="dxa"/>
            <w:tcBorders/>
            <w:shd w:fill="CCEEFF" w:val="clear"/>
            <w:vAlign w:val="center"/>
          </w:tcPr>
          <w:p>
            <w:pPr>
              <w:pStyle w:val="TableContents"/>
              <w:spacing w:before="0" w:after="0"/>
              <w:ind w:left="0" w:right="0" w:hanging="0"/>
              <w:rPr/>
            </w:pPr>
            <w:r>
              <w:rPr/>
              <w:t> </w:t>
            </w:r>
          </w:p>
        </w:tc>
      </w:tr>
      <w:tr>
        <w:trPr/>
        <w:tc>
          <w:tcPr>
            <w:tcW w:w="425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Livery physical damage</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11,226,975</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7,909,791</w:t>
            </w:r>
          </w:p>
        </w:tc>
        <w:tc>
          <w:tcPr>
            <w:tcW w:w="290" w:type="dxa"/>
            <w:tcBorders/>
            <w:shd w:fill="FFFFFF" w:val="clear"/>
            <w:vAlign w:val="center"/>
          </w:tcPr>
          <w:p>
            <w:pPr>
              <w:pStyle w:val="TableContents"/>
              <w:spacing w:before="0" w:after="0"/>
              <w:ind w:left="0" w:right="0" w:hanging="0"/>
              <w:rPr/>
            </w:pPr>
            <w:r>
              <w:rPr/>
              <w:t> </w:t>
            </w:r>
          </w:p>
        </w:tc>
      </w:tr>
      <w:tr>
        <w:trPr/>
        <w:tc>
          <w:tcPr>
            <w:tcW w:w="425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Other(1)</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137,983</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234,300</w:t>
            </w:r>
          </w:p>
        </w:tc>
        <w:tc>
          <w:tcPr>
            <w:tcW w:w="290" w:type="dxa"/>
            <w:tcBorders/>
            <w:shd w:fill="CCEEFF" w:val="clear"/>
            <w:vAlign w:val="center"/>
          </w:tcPr>
          <w:p>
            <w:pPr>
              <w:pStyle w:val="TableContents"/>
              <w:spacing w:before="0" w:after="0"/>
              <w:ind w:left="0" w:right="0" w:hanging="0"/>
              <w:rPr/>
            </w:pPr>
            <w:r>
              <w:rPr/>
              <w:t> </w:t>
            </w:r>
          </w:p>
        </w:tc>
      </w:tr>
      <w:tr>
        <w:trPr/>
        <w:tc>
          <w:tcPr>
            <w:tcW w:w="4250" w:type="dxa"/>
            <w:tcBorders/>
            <w:shd w:fill="FFFF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Total without commercial lines</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114,384,531</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143,882,575</w:t>
            </w:r>
          </w:p>
        </w:tc>
        <w:tc>
          <w:tcPr>
            <w:tcW w:w="290" w:type="dxa"/>
            <w:tcBorders/>
            <w:shd w:fill="FFFFFF" w:val="clear"/>
            <w:vAlign w:val="center"/>
          </w:tcPr>
          <w:p>
            <w:pPr>
              <w:pStyle w:val="TableContents"/>
              <w:spacing w:before="0" w:after="0"/>
              <w:ind w:left="0" w:right="0" w:hanging="0"/>
              <w:rPr/>
            </w:pPr>
            <w:r>
              <w:rPr/>
              <w:t> </w:t>
            </w:r>
          </w:p>
        </w:tc>
      </w:tr>
      <w:tr>
        <w:trPr/>
        <w:tc>
          <w:tcPr>
            <w:tcW w:w="425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Commercial lines (in run-off effective July 2019)(2)</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(856</w:t>
            </w:r>
          </w:p>
        </w:tc>
        <w:tc>
          <w:tcPr>
            <w:tcW w:w="290" w:type="dxa"/>
            <w:tcBorders/>
            <w:shd w:fill="CCEEFF" w:val="clear"/>
            <w:vAlign w:val="center"/>
          </w:tcPr>
          <w:p>
            <w:pPr>
              <w:pStyle w:val="TableContents"/>
              <w:spacing w:before="0" w:after="283"/>
              <w:rPr/>
            </w:pPr>
            <w:r>
              <w:rPr/>
              <w:t>)</w:t>
            </w:r>
          </w:p>
        </w:tc>
      </w:tr>
      <w:tr>
        <w:trPr/>
        <w:tc>
          <w:tcPr>
            <w:tcW w:w="4250" w:type="dxa"/>
            <w:tcBorders/>
            <w:shd w:fill="FFFF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Total net premiums earned</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114,384,531</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143,881,719</w:t>
            </w:r>
          </w:p>
        </w:tc>
        <w:tc>
          <w:tcPr>
            <w:tcW w:w="290" w:type="dxa"/>
            <w:tcBorders/>
            <w:shd w:fill="FFFFFF" w:val="clear"/>
            <w:vAlign w:val="center"/>
          </w:tcPr>
          <w:p>
            <w:pPr>
              <w:pStyle w:val="TableContents"/>
              <w:spacing w:before="0" w:after="0"/>
              <w:ind w:left="0" w:right="0" w:hanging="0"/>
              <w:rPr/>
            </w:pPr>
            <w:r>
              <w:rPr/>
              <w:t> </w:t>
            </w:r>
          </w:p>
        </w:tc>
      </w:tr>
      <w:tr>
        <w:trPr/>
        <w:tc>
          <w:tcPr>
            <w:tcW w:w="42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90" w:type="dxa"/>
            <w:tcBorders/>
            <w:shd w:fill="CCEEFF" w:val="clear"/>
            <w:vAlign w:val="center"/>
          </w:tcPr>
          <w:p>
            <w:pPr>
              <w:pStyle w:val="TableContents"/>
              <w:spacing w:before="0" w:after="0"/>
              <w:ind w:left="0" w:right="0" w:hanging="0"/>
              <w:rPr/>
            </w:pPr>
            <w:r>
              <w:rPr/>
              <w:t> </w:t>
            </w:r>
          </w:p>
        </w:tc>
      </w:tr>
      <w:tr>
        <w:trPr/>
        <w:tc>
          <w:tcPr>
            <w:tcW w:w="4250" w:type="dxa"/>
            <w:tcBorders/>
            <w:shd w:fill="FFFFFF" w:val="clear"/>
            <w:vAlign w:val="center"/>
          </w:tcPr>
          <w:p>
            <w:pPr>
              <w:pStyle w:val="TableContents"/>
              <w:spacing w:before="0" w:after="0"/>
              <w:ind w:left="0" w:right="0" w:hanging="0"/>
              <w:rPr/>
            </w:pPr>
            <w:r>
              <w:rPr>
                <w:rStyle w:val="StrongEmphasis"/>
                <w:rFonts w:ascii="times new roman" w:hAnsi="times new roman"/>
                <w:sz w:val="20"/>
              </w:rPr>
              <w:t xml:space="preserve">Net loss and loss adjustment expenses(4):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90" w:type="dxa"/>
            <w:tcBorders/>
            <w:shd w:fill="FFFFFF" w:val="clear"/>
            <w:vAlign w:val="center"/>
          </w:tcPr>
          <w:p>
            <w:pPr>
              <w:pStyle w:val="TableContents"/>
              <w:spacing w:before="0" w:after="0"/>
              <w:ind w:left="0" w:right="0" w:hanging="0"/>
              <w:rPr/>
            </w:pPr>
            <w:r>
              <w:rPr/>
              <w:t> </w:t>
            </w:r>
          </w:p>
        </w:tc>
      </w:tr>
      <w:tr>
        <w:trPr/>
        <w:tc>
          <w:tcPr>
            <w:tcW w:w="425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Personal lines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76,906,768</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93,849,714</w:t>
            </w:r>
          </w:p>
        </w:tc>
        <w:tc>
          <w:tcPr>
            <w:tcW w:w="290" w:type="dxa"/>
            <w:tcBorders/>
            <w:shd w:fill="CCEEFF" w:val="clear"/>
            <w:vAlign w:val="center"/>
          </w:tcPr>
          <w:p>
            <w:pPr>
              <w:pStyle w:val="TableContents"/>
              <w:spacing w:before="0" w:after="0"/>
              <w:ind w:left="0" w:right="0" w:hanging="0"/>
              <w:rPr/>
            </w:pPr>
            <w:r>
              <w:rPr/>
              <w:t> </w:t>
            </w:r>
          </w:p>
        </w:tc>
      </w:tr>
      <w:tr>
        <w:trPr/>
        <w:tc>
          <w:tcPr>
            <w:tcW w:w="425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Livery physical damage</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5,056,461</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4,235,255</w:t>
            </w:r>
          </w:p>
        </w:tc>
        <w:tc>
          <w:tcPr>
            <w:tcW w:w="290" w:type="dxa"/>
            <w:tcBorders/>
            <w:shd w:fill="FFFFFF" w:val="clear"/>
            <w:vAlign w:val="center"/>
          </w:tcPr>
          <w:p>
            <w:pPr>
              <w:pStyle w:val="TableContents"/>
              <w:spacing w:before="0" w:after="0"/>
              <w:ind w:left="0" w:right="0" w:hanging="0"/>
              <w:rPr/>
            </w:pPr>
            <w:r>
              <w:rPr/>
              <w:t> </w:t>
            </w:r>
          </w:p>
        </w:tc>
      </w:tr>
      <w:tr>
        <w:trPr/>
        <w:tc>
          <w:tcPr>
            <w:tcW w:w="425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Other(1)</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18,083</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(5,521</w:t>
            </w:r>
          </w:p>
        </w:tc>
        <w:tc>
          <w:tcPr>
            <w:tcW w:w="290" w:type="dxa"/>
            <w:tcBorders/>
            <w:shd w:fill="CCEEFF" w:val="clear"/>
            <w:vAlign w:val="center"/>
          </w:tcPr>
          <w:p>
            <w:pPr>
              <w:pStyle w:val="TableContents"/>
              <w:spacing w:before="0" w:after="283"/>
              <w:rPr/>
            </w:pPr>
            <w:r>
              <w:rPr/>
              <w:t>)</w:t>
            </w:r>
          </w:p>
        </w:tc>
      </w:tr>
      <w:tr>
        <w:trPr/>
        <w:tc>
          <w:tcPr>
            <w:tcW w:w="425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Unallocated loss adjustment expenses</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3,701,131</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3,696,380</w:t>
            </w:r>
          </w:p>
        </w:tc>
        <w:tc>
          <w:tcPr>
            <w:tcW w:w="290" w:type="dxa"/>
            <w:tcBorders/>
            <w:shd w:fill="FFFFFF" w:val="clear"/>
            <w:vAlign w:val="center"/>
          </w:tcPr>
          <w:p>
            <w:pPr>
              <w:pStyle w:val="TableContents"/>
              <w:spacing w:before="0" w:after="0"/>
              <w:ind w:left="0" w:right="0" w:hanging="0"/>
              <w:rPr/>
            </w:pPr>
            <w:r>
              <w:rPr/>
              <w:t> </w:t>
            </w:r>
          </w:p>
        </w:tc>
      </w:tr>
      <w:tr>
        <w:trPr/>
        <w:tc>
          <w:tcPr>
            <w:tcW w:w="4250" w:type="dxa"/>
            <w:tcBorders/>
            <w:shd w:fill="CCEE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Total without commercial lines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85,682,443</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101,775,828</w:t>
            </w:r>
          </w:p>
        </w:tc>
        <w:tc>
          <w:tcPr>
            <w:tcW w:w="290" w:type="dxa"/>
            <w:tcBorders/>
            <w:shd w:fill="CCEEFF" w:val="clear"/>
            <w:vAlign w:val="center"/>
          </w:tcPr>
          <w:p>
            <w:pPr>
              <w:pStyle w:val="TableContents"/>
              <w:spacing w:before="0" w:after="0"/>
              <w:ind w:left="0" w:right="0" w:hanging="0"/>
              <w:rPr/>
            </w:pPr>
            <w:r>
              <w:rPr/>
              <w:t> </w:t>
            </w:r>
          </w:p>
        </w:tc>
      </w:tr>
      <w:tr>
        <w:trPr/>
        <w:tc>
          <w:tcPr>
            <w:tcW w:w="425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Commercial lines (in run-off effective July 2019)(2)</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2,707,599</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196,768</w:t>
            </w:r>
          </w:p>
        </w:tc>
        <w:tc>
          <w:tcPr>
            <w:tcW w:w="290" w:type="dxa"/>
            <w:tcBorders/>
            <w:shd w:fill="FFFFFF" w:val="clear"/>
            <w:vAlign w:val="center"/>
          </w:tcPr>
          <w:p>
            <w:pPr>
              <w:pStyle w:val="TableContents"/>
              <w:spacing w:before="0" w:after="0"/>
              <w:ind w:left="0" w:right="0" w:hanging="0"/>
              <w:rPr/>
            </w:pPr>
            <w:r>
              <w:rPr/>
              <w:t> </w:t>
            </w:r>
          </w:p>
        </w:tc>
      </w:tr>
      <w:tr>
        <w:trPr/>
        <w:tc>
          <w:tcPr>
            <w:tcW w:w="4250" w:type="dxa"/>
            <w:tcBorders/>
            <w:shd w:fill="CCEE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Total net loss and loss adjustment expenses</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88,390,042</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101,972,596</w:t>
            </w:r>
          </w:p>
        </w:tc>
        <w:tc>
          <w:tcPr>
            <w:tcW w:w="290" w:type="dxa"/>
            <w:tcBorders/>
            <w:shd w:fill="CCEEFF" w:val="clear"/>
            <w:vAlign w:val="center"/>
          </w:tcPr>
          <w:p>
            <w:pPr>
              <w:pStyle w:val="TableContents"/>
              <w:spacing w:before="0" w:after="0"/>
              <w:ind w:left="0" w:right="0" w:hanging="0"/>
              <w:rPr/>
            </w:pPr>
            <w:r>
              <w:rPr/>
              <w:t> </w:t>
            </w:r>
          </w:p>
        </w:tc>
      </w:tr>
      <w:tr>
        <w:trPr/>
        <w:tc>
          <w:tcPr>
            <w:tcW w:w="4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90" w:type="dxa"/>
            <w:tcBorders/>
            <w:shd w:fill="FFFFFF" w:val="clear"/>
            <w:vAlign w:val="center"/>
          </w:tcPr>
          <w:p>
            <w:pPr>
              <w:pStyle w:val="TableContents"/>
              <w:spacing w:before="0" w:after="0"/>
              <w:ind w:left="0" w:right="0" w:hanging="0"/>
              <w:rPr/>
            </w:pPr>
            <w:r>
              <w:rPr/>
              <w:t> </w:t>
            </w:r>
          </w:p>
        </w:tc>
      </w:tr>
      <w:tr>
        <w:trPr/>
        <w:tc>
          <w:tcPr>
            <w:tcW w:w="4250" w:type="dxa"/>
            <w:tcBorders/>
            <w:shd w:fill="CCEEFF" w:val="clear"/>
            <w:vAlign w:val="center"/>
          </w:tcPr>
          <w:p>
            <w:pPr>
              <w:pStyle w:val="TableContents"/>
              <w:spacing w:before="0" w:after="0"/>
              <w:ind w:left="0" w:right="0" w:hanging="0"/>
              <w:rPr/>
            </w:pPr>
            <w:r>
              <w:rPr>
                <w:rStyle w:val="StrongEmphasis"/>
                <w:rFonts w:ascii="times new roman" w:hAnsi="times new roman"/>
                <w:sz w:val="20"/>
              </w:rPr>
              <w:t>Net loss ratio(4):</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90" w:type="dxa"/>
            <w:tcBorders/>
            <w:shd w:fill="CCEEFF" w:val="clear"/>
            <w:vAlign w:val="center"/>
          </w:tcPr>
          <w:p>
            <w:pPr>
              <w:pStyle w:val="TableContents"/>
              <w:spacing w:before="0" w:after="0"/>
              <w:ind w:left="0" w:right="0" w:hanging="0"/>
              <w:rPr/>
            </w:pPr>
            <w:r>
              <w:rPr/>
              <w:t> </w:t>
            </w:r>
          </w:p>
        </w:tc>
      </w:tr>
      <w:tr>
        <w:trPr/>
        <w:tc>
          <w:tcPr>
            <w:tcW w:w="425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Personal lines</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74.7</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69.1</w:t>
            </w:r>
          </w:p>
        </w:tc>
        <w:tc>
          <w:tcPr>
            <w:tcW w:w="290" w:type="dxa"/>
            <w:tcBorders/>
            <w:shd w:fill="FFFFFF" w:val="clear"/>
            <w:vAlign w:val="center"/>
          </w:tcPr>
          <w:p>
            <w:pPr>
              <w:pStyle w:val="TableContents"/>
              <w:spacing w:before="0" w:after="283"/>
              <w:rPr/>
            </w:pPr>
            <w:r>
              <w:rPr/>
              <w:t>%</w:t>
            </w:r>
          </w:p>
        </w:tc>
      </w:tr>
      <w:tr>
        <w:trPr/>
        <w:tc>
          <w:tcPr>
            <w:tcW w:w="425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Livery physical damage</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45.0</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53.5</w:t>
            </w:r>
          </w:p>
        </w:tc>
        <w:tc>
          <w:tcPr>
            <w:tcW w:w="290" w:type="dxa"/>
            <w:tcBorders/>
            <w:shd w:fill="CCEEFF" w:val="clear"/>
            <w:vAlign w:val="center"/>
          </w:tcPr>
          <w:p>
            <w:pPr>
              <w:pStyle w:val="TableContents"/>
              <w:spacing w:before="0" w:after="283"/>
              <w:rPr/>
            </w:pPr>
            <w:r>
              <w:rPr/>
              <w:t>%</w:t>
            </w:r>
          </w:p>
        </w:tc>
      </w:tr>
      <w:tr>
        <w:trPr/>
        <w:tc>
          <w:tcPr>
            <w:tcW w:w="425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Other(1)</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13.1</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-2.4</w:t>
            </w:r>
          </w:p>
        </w:tc>
        <w:tc>
          <w:tcPr>
            <w:tcW w:w="290" w:type="dxa"/>
            <w:tcBorders/>
            <w:shd w:fill="FFFFFF" w:val="clear"/>
            <w:vAlign w:val="center"/>
          </w:tcPr>
          <w:p>
            <w:pPr>
              <w:pStyle w:val="TableContents"/>
              <w:spacing w:before="0" w:after="283"/>
              <w:rPr/>
            </w:pPr>
            <w:r>
              <w:rPr/>
              <w:t>%</w:t>
            </w:r>
          </w:p>
        </w:tc>
      </w:tr>
      <w:tr>
        <w:trPr/>
        <w:tc>
          <w:tcPr>
            <w:tcW w:w="4250" w:type="dxa"/>
            <w:tcBorders/>
            <w:shd w:fill="CCEE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Total without commercial lines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74.9</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70.7</w:t>
            </w:r>
          </w:p>
        </w:tc>
        <w:tc>
          <w:tcPr>
            <w:tcW w:w="290" w:type="dxa"/>
            <w:tcBorders/>
            <w:shd w:fill="CCEEFF" w:val="clear"/>
            <w:vAlign w:val="center"/>
          </w:tcPr>
          <w:p>
            <w:pPr>
              <w:pStyle w:val="TableContents"/>
              <w:spacing w:before="0" w:after="283"/>
              <w:rPr/>
            </w:pPr>
            <w:r>
              <w:rPr/>
              <w:t>%</w:t>
            </w:r>
          </w:p>
        </w:tc>
      </w:tr>
      <w:tr>
        <w:trPr/>
        <w:tc>
          <w:tcPr>
            <w:tcW w:w="425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Commercial lines (in run-off effective July 2019)(2)</w:t>
            </w:r>
          </w:p>
        </w:tc>
        <w:tc>
          <w:tcPr>
            <w:tcW w:w="90" w:type="dxa"/>
            <w:tcBorders/>
            <w:shd w:fill="FFFFFF" w:val="clear"/>
            <w:vAlign w:val="center"/>
          </w:tcPr>
          <w:p>
            <w:pPr>
              <w:pStyle w:val="TableContents"/>
              <w:spacing w:before="0" w:after="0"/>
              <w:ind w:left="0" w:right="0" w:hanging="0"/>
              <w:rPr/>
            </w:pPr>
            <w:r>
              <w:rPr/>
              <w:t> </w:t>
            </w:r>
          </w:p>
        </w:tc>
        <w:tc>
          <w:tcPr>
            <w:tcW w:w="1420" w:type="dxa"/>
            <w:gridSpan w:val="2"/>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na</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20" w:type="dxa"/>
            <w:gridSpan w:val="2"/>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na</w:t>
            </w:r>
          </w:p>
        </w:tc>
        <w:tc>
          <w:tcPr>
            <w:tcW w:w="290" w:type="dxa"/>
            <w:tcBorders/>
            <w:shd w:fill="FFFFFF" w:val="clear"/>
            <w:vAlign w:val="center"/>
          </w:tcPr>
          <w:p>
            <w:pPr>
              <w:pStyle w:val="TableContents"/>
              <w:spacing w:before="0" w:after="0"/>
              <w:ind w:left="0" w:right="0" w:hanging="0"/>
              <w:rPr/>
            </w:pPr>
            <w:r>
              <w:rPr/>
              <w:t> </w:t>
            </w:r>
          </w:p>
        </w:tc>
      </w:tr>
      <w:tr>
        <w:trPr/>
        <w:tc>
          <w:tcPr>
            <w:tcW w:w="4250" w:type="dxa"/>
            <w:tcBorders/>
            <w:shd w:fill="CCEE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Total</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77.3</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70.9</w:t>
            </w:r>
          </w:p>
        </w:tc>
        <w:tc>
          <w:tcPr>
            <w:tcW w:w="290" w:type="dxa"/>
            <w:tcBorders/>
            <w:shd w:fill="CCEEFF" w:val="clear"/>
            <w:vAlign w:val="center"/>
          </w:tcPr>
          <w:p>
            <w:pPr>
              <w:pStyle w:val="TableContents"/>
              <w:spacing w:before="0" w:after="283"/>
              <w:rPr/>
            </w:pPr>
            <w:r>
              <w:rPr/>
              <w:t>%</w:t>
            </w:r>
          </w:p>
        </w:tc>
      </w:tr>
    </w:tbl>
    <w:p>
      <w:pPr>
        <w:pStyle w:val="TextBody"/>
        <w:spacing w:before="0" w:after="0"/>
        <w:ind w:left="0" w:right="0" w:hanging="0"/>
        <w:jc w:val="center"/>
        <w:rPr/>
      </w:pPr>
      <w:r>
        <w:rPr/>
        <w:t> </w:t>
      </w:r>
    </w:p>
    <w:tbl>
      <w:tblPr>
        <w:tblW w:w="10205" w:type="dxa"/>
        <w:jc w:val="left"/>
        <w:tblInd w:w="0" w:type="dxa"/>
        <w:tblCellMar>
          <w:top w:w="0" w:type="dxa"/>
          <w:left w:w="0" w:type="dxa"/>
          <w:bottom w:w="0" w:type="dxa"/>
          <w:right w:w="0" w:type="dxa"/>
        </w:tblCellMar>
      </w:tblPr>
      <w:tblGrid>
        <w:gridCol w:w="105"/>
        <w:gridCol w:w="245"/>
        <w:gridCol w:w="9855"/>
      </w:tblGrid>
      <w:tr>
        <w:trPr/>
        <w:tc>
          <w:tcPr>
            <w:tcW w:w="105" w:type="dxa"/>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855" w:type="dxa"/>
            <w:tcBorders/>
            <w:shd w:fill="auto" w:val="clear"/>
            <w:vAlign w:val="center"/>
          </w:tcPr>
          <w:p>
            <w:pPr>
              <w:pStyle w:val="TableContents"/>
              <w:spacing w:before="0" w:after="0"/>
              <w:ind w:left="0" w:right="0" w:hanging="0"/>
              <w:rPr/>
            </w:pPr>
            <w:r>
              <w:rPr/>
              <w:t>“</w:t>
            </w:r>
            <w:r>
              <w:rPr>
                <w:rFonts w:ascii="times new roman" w:hAnsi="times new roman"/>
                <w:sz w:val="20"/>
              </w:rPr>
              <w:t>Other” includes, among other things, premiums and loss and loss adjustment expenses from our participation in a mandatory state joint underwriting association and loss and loss adjustment expenses from commercial auto.</w:t>
            </w:r>
          </w:p>
        </w:tc>
      </w:tr>
      <w:tr>
        <w:trPr/>
        <w:tc>
          <w:tcPr>
            <w:tcW w:w="105" w:type="dxa"/>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85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In July 2019, we decided that we will no longer underwrite Commercial Liability risks. See discussions above regarding the discontinuation of this line of business.</w:t>
            </w:r>
          </w:p>
        </w:tc>
      </w:tr>
      <w:tr>
        <w:trPr/>
        <w:tc>
          <w:tcPr>
            <w:tcW w:w="105" w:type="dxa"/>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985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See discussions above with regard to “Net Written Premiums and Net Premiums Earned”, as to change in quota share ceding rate effective December 31, 2021.</w:t>
            </w:r>
          </w:p>
        </w:tc>
      </w:tr>
      <w:tr>
        <w:trPr/>
        <w:tc>
          <w:tcPr>
            <w:tcW w:w="105" w:type="dxa"/>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985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See discussions above with regard to “Net Loss and LAE”, as to catastrophe losses in the years ended December 31, 2022 and 2021.</w:t>
            </w:r>
          </w:p>
        </w:tc>
      </w:tr>
    </w:tbl>
    <w:p>
      <w:pPr>
        <w:pStyle w:val="TextBody"/>
        <w:spacing w:before="0" w:after="0"/>
        <w:ind w:left="0" w:right="0" w:hanging="0"/>
        <w:rPr/>
      </w:pPr>
      <w:r>
        <w:rPr/>
        <w:t xml:space="preserve">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43</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360" w:right="0" w:hanging="0"/>
        <w:jc w:val="both"/>
        <w:rPr/>
      </w:pPr>
      <w:r>
        <w:rPr>
          <w:rStyle w:val="StrongEmphasis"/>
          <w:rFonts w:ascii="times new roman" w:hAnsi="times new roman"/>
          <w:sz w:val="20"/>
        </w:rPr>
        <w:t>Insurance Underwriting Business on a Standalone Basis</w:t>
      </w:r>
    </w:p>
    <w:p>
      <w:pPr>
        <w:pStyle w:val="TextBody"/>
        <w:spacing w:before="0" w:after="0"/>
        <w:ind w:left="0" w:right="0" w:hanging="0"/>
        <w:jc w:val="both"/>
        <w:rPr/>
      </w:pPr>
      <w:r>
        <w:rPr/>
        <w:t> </w:t>
      </w:r>
    </w:p>
    <w:p>
      <w:pPr>
        <w:pStyle w:val="TextBody"/>
        <w:spacing w:before="0" w:after="0"/>
        <w:ind w:left="0" w:right="0" w:firstLine="720"/>
        <w:jc w:val="both"/>
        <w:rPr/>
      </w:pPr>
      <w:r>
        <w:rPr>
          <w:rFonts w:ascii="times new roman" w:hAnsi="times new roman"/>
          <w:sz w:val="20"/>
        </w:rPr>
        <w:t>Our insurance underwriting business reported on a standalone basis for the years ended December 31, 2022 and 2021 follows:</w:t>
      </w:r>
      <w:r>
        <w:rPr>
          <w:rStyle w:val="StrongEmphasis"/>
          <w:rFonts w:ascii="times new roman" w:hAnsi="times new roman"/>
          <w:sz w:val="20"/>
        </w:rPr>
        <w:t xml:space="preserve"> </w:t>
      </w:r>
    </w:p>
    <w:p>
      <w:pPr>
        <w:pStyle w:val="TextBody"/>
        <w:spacing w:before="0" w:after="0"/>
        <w:ind w:left="0" w:right="0" w:firstLine="720"/>
        <w:jc w:val="both"/>
        <w:rPr/>
      </w:pPr>
      <w:r>
        <w:rPr/>
        <w:t> </w:t>
      </w:r>
    </w:p>
    <w:tbl>
      <w:tblPr>
        <w:tblW w:w="7915" w:type="dxa"/>
        <w:jc w:val="left"/>
        <w:tblInd w:w="0" w:type="dxa"/>
        <w:tblCellMar>
          <w:top w:w="0" w:type="dxa"/>
          <w:left w:w="0" w:type="dxa"/>
          <w:bottom w:w="0" w:type="dxa"/>
          <w:right w:w="0" w:type="dxa"/>
        </w:tblCellMar>
      </w:tblPr>
      <w:tblGrid>
        <w:gridCol w:w="4360"/>
        <w:gridCol w:w="90"/>
        <w:gridCol w:w="170"/>
        <w:gridCol w:w="1250"/>
        <w:gridCol w:w="245"/>
        <w:gridCol w:w="90"/>
        <w:gridCol w:w="170"/>
        <w:gridCol w:w="1250"/>
        <w:gridCol w:w="290"/>
      </w:tblGrid>
      <w:tr>
        <w:trPr/>
        <w:tc>
          <w:tcPr>
            <w:tcW w:w="436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175" w:type="dxa"/>
            <w:gridSpan w:val="6"/>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Years ended </w:t>
            </w:r>
          </w:p>
        </w:tc>
        <w:tc>
          <w:tcPr>
            <w:tcW w:w="290" w:type="dxa"/>
            <w:tcBorders/>
            <w:shd w:fill="auto" w:val="clear"/>
            <w:vAlign w:val="center"/>
          </w:tcPr>
          <w:p>
            <w:pPr>
              <w:pStyle w:val="TableContents"/>
              <w:spacing w:before="0" w:after="0"/>
              <w:ind w:left="0" w:right="0" w:hanging="0"/>
              <w:rPr/>
            </w:pPr>
            <w:r>
              <w:rPr/>
              <w:t> </w:t>
            </w:r>
          </w:p>
        </w:tc>
      </w:tr>
      <w:tr>
        <w:trPr/>
        <w:tc>
          <w:tcPr>
            <w:tcW w:w="436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175"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December 31, </w:t>
            </w:r>
          </w:p>
        </w:tc>
        <w:tc>
          <w:tcPr>
            <w:tcW w:w="290" w:type="dxa"/>
            <w:tcBorders/>
            <w:shd w:fill="auto" w:val="clear"/>
            <w:vAlign w:val="center"/>
          </w:tcPr>
          <w:p>
            <w:pPr>
              <w:pStyle w:val="TableContents"/>
              <w:spacing w:before="0" w:after="0"/>
              <w:ind w:left="0" w:right="0" w:hanging="0"/>
              <w:rPr/>
            </w:pPr>
            <w:r>
              <w:rPr/>
              <w:t> </w:t>
            </w:r>
          </w:p>
        </w:tc>
      </w:tr>
      <w:tr>
        <w:trPr/>
        <w:tc>
          <w:tcPr>
            <w:tcW w:w="436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2022</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2021</w:t>
            </w:r>
          </w:p>
        </w:tc>
        <w:tc>
          <w:tcPr>
            <w:tcW w:w="290" w:type="dxa"/>
            <w:tcBorders/>
            <w:shd w:fill="auto" w:val="clear"/>
            <w:vAlign w:val="center"/>
          </w:tcPr>
          <w:p>
            <w:pPr>
              <w:pStyle w:val="TableContents"/>
              <w:spacing w:before="0" w:after="0"/>
              <w:ind w:left="0" w:right="0" w:hanging="0"/>
              <w:rPr/>
            </w:pPr>
            <w:r>
              <w:rPr/>
              <w:t> </w:t>
            </w:r>
          </w:p>
        </w:tc>
      </w:tr>
      <w:tr>
        <w:trPr/>
        <w:tc>
          <w:tcPr>
            <w:tcW w:w="436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290" w:type="dxa"/>
            <w:tcBorders/>
            <w:shd w:fill="auto" w:val="clear"/>
            <w:vAlign w:val="center"/>
          </w:tcPr>
          <w:p>
            <w:pPr>
              <w:pStyle w:val="TableContents"/>
              <w:spacing w:before="0" w:after="0"/>
              <w:ind w:left="0" w:right="0" w:hanging="0"/>
              <w:rPr/>
            </w:pPr>
            <w:r>
              <w:rPr/>
              <w:t> </w:t>
            </w:r>
          </w:p>
        </w:tc>
      </w:tr>
      <w:tr>
        <w:trPr/>
        <w:tc>
          <w:tcPr>
            <w:tcW w:w="4360" w:type="dxa"/>
            <w:tcBorders/>
            <w:shd w:fill="auto" w:val="clear"/>
            <w:vAlign w:val="center"/>
          </w:tcPr>
          <w:p>
            <w:pPr>
              <w:pStyle w:val="TableContents"/>
              <w:spacing w:before="0" w:after="0"/>
              <w:ind w:left="0" w:right="0" w:hanging="0"/>
              <w:rPr/>
            </w:pPr>
            <w:r>
              <w:rPr>
                <w:rStyle w:val="StrongEmphasis"/>
                <w:rFonts w:ascii="times new roman" w:hAnsi="times new roman"/>
                <w:sz w:val="20"/>
              </w:rPr>
              <w:t xml:space="preserve">Revenues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290" w:type="dxa"/>
            <w:tcBorders/>
            <w:shd w:fill="auto" w:val="clear"/>
            <w:vAlign w:val="center"/>
          </w:tcPr>
          <w:p>
            <w:pPr>
              <w:pStyle w:val="TableContents"/>
              <w:spacing w:before="0" w:after="0"/>
              <w:ind w:left="0" w:right="0" w:hanging="0"/>
              <w:rPr/>
            </w:pPr>
            <w:r>
              <w:rPr/>
              <w:t> </w:t>
            </w:r>
          </w:p>
        </w:tc>
      </w:tr>
      <w:tr>
        <w:trPr/>
        <w:tc>
          <w:tcPr>
            <w:tcW w:w="4360" w:type="dxa"/>
            <w:tcBorders/>
            <w:shd w:fill="CCEE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Net premiums earned</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114,384,531</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143,881,719</w:t>
            </w:r>
          </w:p>
        </w:tc>
        <w:tc>
          <w:tcPr>
            <w:tcW w:w="290" w:type="dxa"/>
            <w:tcBorders/>
            <w:shd w:fill="CCEEFF" w:val="clear"/>
            <w:vAlign w:val="center"/>
          </w:tcPr>
          <w:p>
            <w:pPr>
              <w:pStyle w:val="TableContents"/>
              <w:spacing w:before="0" w:after="0"/>
              <w:ind w:left="0" w:right="0" w:hanging="0"/>
              <w:rPr/>
            </w:pPr>
            <w:r>
              <w:rPr/>
              <w:t> </w:t>
            </w:r>
          </w:p>
        </w:tc>
      </w:tr>
      <w:tr>
        <w:trPr/>
        <w:tc>
          <w:tcPr>
            <w:tcW w:w="4360" w:type="dxa"/>
            <w:tcBorders/>
            <w:shd w:fill="FFFF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Ceding commission revenue</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19,319,391</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89,681</w:t>
            </w:r>
          </w:p>
        </w:tc>
        <w:tc>
          <w:tcPr>
            <w:tcW w:w="290" w:type="dxa"/>
            <w:tcBorders/>
            <w:shd w:fill="FFFFFF" w:val="clear"/>
            <w:vAlign w:val="center"/>
          </w:tcPr>
          <w:p>
            <w:pPr>
              <w:pStyle w:val="TableContents"/>
              <w:spacing w:before="0" w:after="0"/>
              <w:ind w:left="0" w:right="0" w:hanging="0"/>
              <w:rPr/>
            </w:pPr>
            <w:r>
              <w:rPr/>
              <w:t> </w:t>
            </w:r>
          </w:p>
        </w:tc>
      </w:tr>
      <w:tr>
        <w:trPr/>
        <w:tc>
          <w:tcPr>
            <w:tcW w:w="4360" w:type="dxa"/>
            <w:tcBorders/>
            <w:shd w:fill="CCEE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Net investment income</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4,936,778</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6,621,392</w:t>
            </w:r>
          </w:p>
        </w:tc>
        <w:tc>
          <w:tcPr>
            <w:tcW w:w="290" w:type="dxa"/>
            <w:tcBorders/>
            <w:shd w:fill="CCEEFF" w:val="clear"/>
            <w:vAlign w:val="center"/>
          </w:tcPr>
          <w:p>
            <w:pPr>
              <w:pStyle w:val="TableContents"/>
              <w:spacing w:before="0" w:after="0"/>
              <w:ind w:left="0" w:right="0" w:hanging="0"/>
              <w:rPr/>
            </w:pPr>
            <w:r>
              <w:rPr/>
              <w:t> </w:t>
            </w:r>
          </w:p>
        </w:tc>
      </w:tr>
      <w:tr>
        <w:trPr/>
        <w:tc>
          <w:tcPr>
            <w:tcW w:w="4360" w:type="dxa"/>
            <w:tcBorders/>
            <w:shd w:fill="FFFF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Net (losses) gains on investments</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(9,231,170</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9,627,948</w:t>
            </w:r>
          </w:p>
        </w:tc>
        <w:tc>
          <w:tcPr>
            <w:tcW w:w="290" w:type="dxa"/>
            <w:tcBorders/>
            <w:shd w:fill="FFFFFF" w:val="clear"/>
            <w:vAlign w:val="center"/>
          </w:tcPr>
          <w:p>
            <w:pPr>
              <w:pStyle w:val="TableContents"/>
              <w:spacing w:before="0" w:after="0"/>
              <w:ind w:left="0" w:right="0" w:hanging="0"/>
              <w:rPr/>
            </w:pPr>
            <w:r>
              <w:rPr/>
              <w:t> </w:t>
            </w:r>
          </w:p>
        </w:tc>
      </w:tr>
      <w:tr>
        <w:trPr/>
        <w:tc>
          <w:tcPr>
            <w:tcW w:w="4360" w:type="dxa"/>
            <w:tcBorders/>
            <w:shd w:fill="CCEE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Other income</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815,952</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849,155</w:t>
            </w:r>
          </w:p>
        </w:tc>
        <w:tc>
          <w:tcPr>
            <w:tcW w:w="290" w:type="dxa"/>
            <w:tcBorders/>
            <w:shd w:fill="CCEEFF" w:val="clear"/>
            <w:vAlign w:val="center"/>
          </w:tcPr>
          <w:p>
            <w:pPr>
              <w:pStyle w:val="TableContents"/>
              <w:spacing w:before="0" w:after="0"/>
              <w:ind w:left="0" w:right="0" w:hanging="0"/>
              <w:rPr/>
            </w:pPr>
            <w:r>
              <w:rPr/>
              <w:t> </w:t>
            </w:r>
          </w:p>
        </w:tc>
      </w:tr>
      <w:tr>
        <w:trPr/>
        <w:tc>
          <w:tcPr>
            <w:tcW w:w="4360" w:type="dxa"/>
            <w:tcBorders/>
            <w:shd w:fill="FFFFFF" w:val="clear"/>
            <w:vAlign w:val="center"/>
          </w:tcPr>
          <w:p>
            <w:pPr>
              <w:pStyle w:val="TableContents"/>
              <w:spacing w:before="0" w:after="0"/>
              <w:ind w:left="0" w:right="0" w:firstLine="400"/>
              <w:rPr>
                <w:rFonts w:ascii="times new roman" w:hAnsi="times new roman"/>
                <w:sz w:val="20"/>
              </w:rPr>
            </w:pPr>
            <w:r>
              <w:rPr>
                <w:rFonts w:ascii="times new roman" w:hAnsi="times new roman"/>
                <w:sz w:val="20"/>
              </w:rPr>
              <w:t>Total revenues</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130,225,482</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161,069,895</w:t>
            </w:r>
          </w:p>
        </w:tc>
        <w:tc>
          <w:tcPr>
            <w:tcW w:w="290" w:type="dxa"/>
            <w:tcBorders/>
            <w:shd w:fill="FFFFFF" w:val="clear"/>
            <w:vAlign w:val="center"/>
          </w:tcPr>
          <w:p>
            <w:pPr>
              <w:pStyle w:val="TableContents"/>
              <w:spacing w:before="0" w:after="0"/>
              <w:ind w:left="0" w:right="0" w:hanging="0"/>
              <w:rPr/>
            </w:pPr>
            <w:r>
              <w:rPr/>
              <w:t> </w:t>
            </w:r>
          </w:p>
        </w:tc>
      </w:tr>
      <w:tr>
        <w:trPr/>
        <w:tc>
          <w:tcPr>
            <w:tcW w:w="436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90" w:type="dxa"/>
            <w:tcBorders/>
            <w:shd w:fill="CCEEFF" w:val="clear"/>
            <w:vAlign w:val="center"/>
          </w:tcPr>
          <w:p>
            <w:pPr>
              <w:pStyle w:val="TableContents"/>
              <w:spacing w:before="0" w:after="0"/>
              <w:ind w:left="0" w:right="0" w:hanging="0"/>
              <w:rPr/>
            </w:pPr>
            <w:r>
              <w:rPr/>
              <w:t> </w:t>
            </w:r>
          </w:p>
        </w:tc>
      </w:tr>
      <w:tr>
        <w:trPr/>
        <w:tc>
          <w:tcPr>
            <w:tcW w:w="4360" w:type="dxa"/>
            <w:tcBorders/>
            <w:shd w:fill="FFFFFF" w:val="clear"/>
            <w:vAlign w:val="center"/>
          </w:tcPr>
          <w:p>
            <w:pPr>
              <w:pStyle w:val="TableContents"/>
              <w:spacing w:before="0" w:after="0"/>
              <w:ind w:left="0" w:right="0" w:hanging="0"/>
              <w:rPr/>
            </w:pPr>
            <w:r>
              <w:rPr>
                <w:rStyle w:val="StrongEmphasis"/>
                <w:rFonts w:ascii="times new roman" w:hAnsi="times new roman"/>
                <w:sz w:val="20"/>
              </w:rPr>
              <w:t xml:space="preserve">Expenses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90" w:type="dxa"/>
            <w:tcBorders/>
            <w:shd w:fill="FFFFFF" w:val="clear"/>
            <w:vAlign w:val="center"/>
          </w:tcPr>
          <w:p>
            <w:pPr>
              <w:pStyle w:val="TableContents"/>
              <w:spacing w:before="0" w:after="0"/>
              <w:ind w:left="0" w:right="0" w:hanging="0"/>
              <w:rPr/>
            </w:pPr>
            <w:r>
              <w:rPr/>
              <w:t> </w:t>
            </w:r>
          </w:p>
        </w:tc>
      </w:tr>
      <w:tr>
        <w:trPr/>
        <w:tc>
          <w:tcPr>
            <w:tcW w:w="4360" w:type="dxa"/>
            <w:tcBorders/>
            <w:shd w:fill="CCEE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Loss and loss adjustment expenses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88,390,042</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101,972,596</w:t>
            </w:r>
          </w:p>
        </w:tc>
        <w:tc>
          <w:tcPr>
            <w:tcW w:w="290" w:type="dxa"/>
            <w:tcBorders/>
            <w:shd w:fill="CCEEFF" w:val="clear"/>
            <w:vAlign w:val="center"/>
          </w:tcPr>
          <w:p>
            <w:pPr>
              <w:pStyle w:val="TableContents"/>
              <w:spacing w:before="0" w:after="0"/>
              <w:ind w:left="0" w:right="0" w:hanging="0"/>
              <w:rPr/>
            </w:pPr>
            <w:r>
              <w:rPr/>
              <w:t> </w:t>
            </w:r>
          </w:p>
        </w:tc>
      </w:tr>
      <w:tr>
        <w:trPr/>
        <w:tc>
          <w:tcPr>
            <w:tcW w:w="4360" w:type="dxa"/>
            <w:tcBorders/>
            <w:shd w:fill="FFFF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Commission expense</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34,581,617</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33,114,103</w:t>
            </w:r>
          </w:p>
        </w:tc>
        <w:tc>
          <w:tcPr>
            <w:tcW w:w="290" w:type="dxa"/>
            <w:tcBorders/>
            <w:shd w:fill="FFFFFF" w:val="clear"/>
            <w:vAlign w:val="center"/>
          </w:tcPr>
          <w:p>
            <w:pPr>
              <w:pStyle w:val="TableContents"/>
              <w:spacing w:before="0" w:after="0"/>
              <w:ind w:left="0" w:right="0" w:hanging="0"/>
              <w:rPr/>
            </w:pPr>
            <w:r>
              <w:rPr/>
              <w:t> </w:t>
            </w:r>
          </w:p>
        </w:tc>
      </w:tr>
      <w:tr>
        <w:trPr/>
        <w:tc>
          <w:tcPr>
            <w:tcW w:w="4360" w:type="dxa"/>
            <w:tcBorders/>
            <w:shd w:fill="CCEE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Other underwriting expenses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26,697,006</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26,254,143</w:t>
            </w:r>
          </w:p>
        </w:tc>
        <w:tc>
          <w:tcPr>
            <w:tcW w:w="290" w:type="dxa"/>
            <w:tcBorders/>
            <w:shd w:fill="CCEEFF" w:val="clear"/>
            <w:vAlign w:val="center"/>
          </w:tcPr>
          <w:p>
            <w:pPr>
              <w:pStyle w:val="TableContents"/>
              <w:spacing w:before="0" w:after="0"/>
              <w:ind w:left="0" w:right="0" w:hanging="0"/>
              <w:rPr/>
            </w:pPr>
            <w:r>
              <w:rPr/>
              <w:t> </w:t>
            </w:r>
          </w:p>
        </w:tc>
      </w:tr>
      <w:tr>
        <w:trPr/>
        <w:tc>
          <w:tcPr>
            <w:tcW w:w="4360" w:type="dxa"/>
            <w:tcBorders/>
            <w:shd w:fill="FFFF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Depreciation and amortization</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3,252,134</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3,150,489</w:t>
            </w:r>
          </w:p>
        </w:tc>
        <w:tc>
          <w:tcPr>
            <w:tcW w:w="290" w:type="dxa"/>
            <w:tcBorders/>
            <w:shd w:fill="FFFFFF" w:val="clear"/>
            <w:vAlign w:val="center"/>
          </w:tcPr>
          <w:p>
            <w:pPr>
              <w:pStyle w:val="TableContents"/>
              <w:spacing w:before="0" w:after="0"/>
              <w:ind w:left="0" w:right="0" w:hanging="0"/>
              <w:rPr/>
            </w:pPr>
            <w:r>
              <w:rPr/>
              <w:t> </w:t>
            </w:r>
          </w:p>
        </w:tc>
      </w:tr>
      <w:tr>
        <w:trPr/>
        <w:tc>
          <w:tcPr>
            <w:tcW w:w="4360" w:type="dxa"/>
            <w:tcBorders/>
            <w:shd w:fill="CCEEFF" w:val="clear"/>
            <w:vAlign w:val="center"/>
          </w:tcPr>
          <w:p>
            <w:pPr>
              <w:pStyle w:val="TableContents"/>
              <w:spacing w:before="0" w:after="0"/>
              <w:ind w:left="0" w:right="0" w:firstLine="400"/>
              <w:rPr>
                <w:rFonts w:ascii="times new roman" w:hAnsi="times new roman"/>
                <w:sz w:val="20"/>
              </w:rPr>
            </w:pPr>
            <w:r>
              <w:rPr>
                <w:rFonts w:ascii="times new roman" w:hAnsi="times new roman"/>
                <w:sz w:val="20"/>
              </w:rPr>
              <w:t>Total expenses</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152,920,799</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164,491,331</w:t>
            </w:r>
          </w:p>
        </w:tc>
        <w:tc>
          <w:tcPr>
            <w:tcW w:w="290" w:type="dxa"/>
            <w:tcBorders/>
            <w:shd w:fill="CCEEFF" w:val="clear"/>
            <w:vAlign w:val="center"/>
          </w:tcPr>
          <w:p>
            <w:pPr>
              <w:pStyle w:val="TableContents"/>
              <w:spacing w:before="0" w:after="0"/>
              <w:ind w:left="0" w:right="0" w:hanging="0"/>
              <w:rPr/>
            </w:pPr>
            <w:r>
              <w:rPr/>
              <w:t> </w:t>
            </w:r>
          </w:p>
        </w:tc>
      </w:tr>
      <w:tr>
        <w:trPr/>
        <w:tc>
          <w:tcPr>
            <w:tcW w:w="436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90" w:type="dxa"/>
            <w:tcBorders/>
            <w:shd w:fill="FFFFFF" w:val="clear"/>
            <w:vAlign w:val="center"/>
          </w:tcPr>
          <w:p>
            <w:pPr>
              <w:pStyle w:val="TableContents"/>
              <w:spacing w:before="0" w:after="0"/>
              <w:ind w:left="0" w:right="0" w:hanging="0"/>
              <w:rPr/>
            </w:pPr>
            <w:r>
              <w:rPr/>
              <w:t> </w:t>
            </w:r>
          </w:p>
        </w:tc>
      </w:tr>
      <w:tr>
        <w:trPr/>
        <w:tc>
          <w:tcPr>
            <w:tcW w:w="4360" w:type="dxa"/>
            <w:tcBorders/>
            <w:shd w:fill="CCEE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Loss from operations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(22,695,317</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(3,421,436</w:t>
            </w:r>
          </w:p>
        </w:tc>
        <w:tc>
          <w:tcPr>
            <w:tcW w:w="290" w:type="dxa"/>
            <w:tcBorders/>
            <w:shd w:fill="CCEEFF" w:val="clear"/>
            <w:vAlign w:val="center"/>
          </w:tcPr>
          <w:p>
            <w:pPr>
              <w:pStyle w:val="TableContents"/>
              <w:spacing w:before="0" w:after="283"/>
              <w:rPr/>
            </w:pPr>
            <w:r>
              <w:rPr/>
              <w:t>)</w:t>
            </w:r>
          </w:p>
        </w:tc>
      </w:tr>
      <w:tr>
        <w:trPr/>
        <w:tc>
          <w:tcPr>
            <w:tcW w:w="4360" w:type="dxa"/>
            <w:tcBorders/>
            <w:shd w:fill="FFFF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Income tax benefit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(4,588,283</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(877,002</w:t>
            </w:r>
          </w:p>
        </w:tc>
        <w:tc>
          <w:tcPr>
            <w:tcW w:w="290" w:type="dxa"/>
            <w:tcBorders/>
            <w:shd w:fill="FFFFFF" w:val="clear"/>
            <w:vAlign w:val="center"/>
          </w:tcPr>
          <w:p>
            <w:pPr>
              <w:pStyle w:val="TableContents"/>
              <w:spacing w:before="0" w:after="283"/>
              <w:rPr/>
            </w:pPr>
            <w:r>
              <w:rPr/>
              <w:t>)</w:t>
            </w:r>
          </w:p>
        </w:tc>
      </w:tr>
      <w:tr>
        <w:trPr/>
        <w:tc>
          <w:tcPr>
            <w:tcW w:w="4360" w:type="dxa"/>
            <w:tcBorders/>
            <w:shd w:fill="CCEEFF" w:val="clear"/>
            <w:vAlign w:val="center"/>
          </w:tcPr>
          <w:p>
            <w:pPr>
              <w:pStyle w:val="TableContents"/>
              <w:spacing w:before="0" w:after="0"/>
              <w:ind w:left="0" w:right="0" w:hanging="0"/>
              <w:rPr/>
            </w:pPr>
            <w:r>
              <w:rPr>
                <w:rStyle w:val="StrongEmphasis"/>
                <w:rFonts w:ascii="times new roman" w:hAnsi="times new roman"/>
                <w:sz w:val="20"/>
              </w:rPr>
              <w:t xml:space="preserve">Net loss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(18,107,034</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(2,544,434</w:t>
            </w:r>
          </w:p>
        </w:tc>
        <w:tc>
          <w:tcPr>
            <w:tcW w:w="290" w:type="dxa"/>
            <w:tcBorders/>
            <w:shd w:fill="CCEEFF" w:val="clear"/>
            <w:vAlign w:val="center"/>
          </w:tcPr>
          <w:p>
            <w:pPr>
              <w:pStyle w:val="TableContents"/>
              <w:spacing w:before="0" w:after="283"/>
              <w:rPr/>
            </w:pPr>
            <w:r>
              <w:rPr/>
              <w:t>)</w:t>
            </w:r>
          </w:p>
        </w:tc>
      </w:tr>
      <w:tr>
        <w:trPr/>
        <w:tc>
          <w:tcPr>
            <w:tcW w:w="436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90" w:type="dxa"/>
            <w:tcBorders/>
            <w:shd w:fill="FFFFFF" w:val="clear"/>
            <w:vAlign w:val="center"/>
          </w:tcPr>
          <w:p>
            <w:pPr>
              <w:pStyle w:val="TableContents"/>
              <w:spacing w:before="0" w:after="0"/>
              <w:ind w:left="0" w:right="0" w:hanging="0"/>
              <w:rPr/>
            </w:pPr>
            <w:r>
              <w:rPr/>
              <w:t> </w:t>
            </w:r>
          </w:p>
        </w:tc>
      </w:tr>
      <w:tr>
        <w:trPr/>
        <w:tc>
          <w:tcPr>
            <w:tcW w:w="4360" w:type="dxa"/>
            <w:tcBorders/>
            <w:shd w:fill="CCEEFF" w:val="clear"/>
            <w:vAlign w:val="center"/>
          </w:tcPr>
          <w:p>
            <w:pPr>
              <w:pStyle w:val="TableContents"/>
              <w:spacing w:before="0" w:after="0"/>
              <w:ind w:left="0" w:right="0" w:hanging="0"/>
              <w:rPr/>
            </w:pPr>
            <w:r>
              <w:rPr>
                <w:rStyle w:val="StrongEmphasis"/>
                <w:rFonts w:ascii="times new roman" w:hAnsi="times new roman"/>
                <w:sz w:val="20"/>
              </w:rPr>
              <w:t xml:space="preserve">Key Measures: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90" w:type="dxa"/>
            <w:tcBorders/>
            <w:shd w:fill="CCEEFF" w:val="clear"/>
            <w:vAlign w:val="center"/>
          </w:tcPr>
          <w:p>
            <w:pPr>
              <w:pStyle w:val="TableContents"/>
              <w:spacing w:before="0" w:after="0"/>
              <w:ind w:left="0" w:right="0" w:hanging="0"/>
              <w:rPr/>
            </w:pPr>
            <w:r>
              <w:rPr/>
              <w:t> </w:t>
            </w:r>
          </w:p>
        </w:tc>
      </w:tr>
      <w:tr>
        <w:trPr/>
        <w:tc>
          <w:tcPr>
            <w:tcW w:w="4360" w:type="dxa"/>
            <w:tcBorders/>
            <w:shd w:fill="FFFF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Net loss ratio</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77.3</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70.9</w:t>
            </w:r>
          </w:p>
        </w:tc>
        <w:tc>
          <w:tcPr>
            <w:tcW w:w="290" w:type="dxa"/>
            <w:tcBorders/>
            <w:shd w:fill="FFFFFF" w:val="clear"/>
            <w:vAlign w:val="center"/>
          </w:tcPr>
          <w:p>
            <w:pPr>
              <w:pStyle w:val="TableContents"/>
              <w:spacing w:before="0" w:after="283"/>
              <w:rPr/>
            </w:pPr>
            <w:r>
              <w:rPr/>
              <w:t>%</w:t>
            </w:r>
          </w:p>
        </w:tc>
      </w:tr>
      <w:tr>
        <w:trPr/>
        <w:tc>
          <w:tcPr>
            <w:tcW w:w="4360" w:type="dxa"/>
            <w:tcBorders/>
            <w:shd w:fill="CCEE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Net underwriting expense ratio</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36.0</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40.6</w:t>
            </w:r>
          </w:p>
        </w:tc>
        <w:tc>
          <w:tcPr>
            <w:tcW w:w="290" w:type="dxa"/>
            <w:tcBorders/>
            <w:shd w:fill="CCEEFF" w:val="clear"/>
            <w:vAlign w:val="center"/>
          </w:tcPr>
          <w:p>
            <w:pPr>
              <w:pStyle w:val="TableContents"/>
              <w:spacing w:before="0" w:after="283"/>
              <w:rPr/>
            </w:pPr>
            <w:r>
              <w:rPr/>
              <w:t>%</w:t>
            </w:r>
          </w:p>
        </w:tc>
      </w:tr>
      <w:tr>
        <w:trPr/>
        <w:tc>
          <w:tcPr>
            <w:tcW w:w="4360" w:type="dxa"/>
            <w:tcBorders/>
            <w:shd w:fill="FFFF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Net combined ratio</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113.3</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111.5</w:t>
            </w:r>
          </w:p>
        </w:tc>
        <w:tc>
          <w:tcPr>
            <w:tcW w:w="290" w:type="dxa"/>
            <w:tcBorders/>
            <w:shd w:fill="FFFFFF" w:val="clear"/>
            <w:vAlign w:val="center"/>
          </w:tcPr>
          <w:p>
            <w:pPr>
              <w:pStyle w:val="TableContents"/>
              <w:spacing w:before="0" w:after="283"/>
              <w:rPr/>
            </w:pPr>
            <w:r>
              <w:rPr/>
              <w:t>%</w:t>
            </w:r>
          </w:p>
        </w:tc>
      </w:tr>
      <w:tr>
        <w:trPr/>
        <w:tc>
          <w:tcPr>
            <w:tcW w:w="436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90" w:type="dxa"/>
            <w:tcBorders/>
            <w:shd w:fill="CCEEFF" w:val="clear"/>
            <w:vAlign w:val="center"/>
          </w:tcPr>
          <w:p>
            <w:pPr>
              <w:pStyle w:val="TableContents"/>
              <w:spacing w:before="0" w:after="0"/>
              <w:ind w:left="0" w:right="0" w:hanging="0"/>
              <w:rPr/>
            </w:pPr>
            <w:r>
              <w:rPr/>
              <w:t> </w:t>
            </w:r>
          </w:p>
        </w:tc>
      </w:tr>
      <w:tr>
        <w:trPr/>
        <w:tc>
          <w:tcPr>
            <w:tcW w:w="4360" w:type="dxa"/>
            <w:tcBorders/>
            <w:shd w:fill="FFFF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Reconciliation of net underwriting expense ratio:</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90" w:type="dxa"/>
            <w:tcBorders/>
            <w:shd w:fill="FFFFFF" w:val="clear"/>
            <w:vAlign w:val="center"/>
          </w:tcPr>
          <w:p>
            <w:pPr>
              <w:pStyle w:val="TableContents"/>
              <w:spacing w:before="0" w:after="0"/>
              <w:ind w:left="0" w:right="0" w:hanging="0"/>
              <w:rPr/>
            </w:pPr>
            <w:r>
              <w:rPr/>
              <w:t> </w:t>
            </w:r>
          </w:p>
        </w:tc>
      </w:tr>
      <w:tr>
        <w:trPr/>
        <w:tc>
          <w:tcPr>
            <w:tcW w:w="4360" w:type="dxa"/>
            <w:tcBorders/>
            <w:shd w:fill="CCEE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Acquisition costs and other underwriting expenses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61,278,623</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59,368,246</w:t>
            </w:r>
          </w:p>
        </w:tc>
        <w:tc>
          <w:tcPr>
            <w:tcW w:w="290" w:type="dxa"/>
            <w:tcBorders/>
            <w:shd w:fill="CCEEFF" w:val="clear"/>
            <w:vAlign w:val="center"/>
          </w:tcPr>
          <w:p>
            <w:pPr>
              <w:pStyle w:val="TableContents"/>
              <w:spacing w:before="0" w:after="0"/>
              <w:ind w:left="0" w:right="0" w:hanging="0"/>
              <w:rPr/>
            </w:pPr>
            <w:r>
              <w:rPr/>
              <w:t> </w:t>
            </w:r>
          </w:p>
        </w:tc>
      </w:tr>
      <w:tr>
        <w:trPr/>
        <w:tc>
          <w:tcPr>
            <w:tcW w:w="4360" w:type="dxa"/>
            <w:tcBorders/>
            <w:shd w:fill="FFFF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Less: Ceding commission revenue</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(19,319,391</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(89,681</w:t>
            </w:r>
          </w:p>
        </w:tc>
        <w:tc>
          <w:tcPr>
            <w:tcW w:w="290" w:type="dxa"/>
            <w:tcBorders/>
            <w:shd w:fill="FFFFFF" w:val="clear"/>
            <w:vAlign w:val="center"/>
          </w:tcPr>
          <w:p>
            <w:pPr>
              <w:pStyle w:val="TableContents"/>
              <w:spacing w:before="0" w:after="283"/>
              <w:rPr/>
            </w:pPr>
            <w:r>
              <w:rPr/>
              <w:t>)</w:t>
            </w:r>
          </w:p>
        </w:tc>
      </w:tr>
      <w:tr>
        <w:trPr/>
        <w:tc>
          <w:tcPr>
            <w:tcW w:w="4360" w:type="dxa"/>
            <w:tcBorders/>
            <w:shd w:fill="CCEE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Less: Other income</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(815,952</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(849,155</w:t>
            </w:r>
          </w:p>
        </w:tc>
        <w:tc>
          <w:tcPr>
            <w:tcW w:w="290" w:type="dxa"/>
            <w:tcBorders/>
            <w:shd w:fill="CCEEFF" w:val="clear"/>
            <w:vAlign w:val="center"/>
          </w:tcPr>
          <w:p>
            <w:pPr>
              <w:pStyle w:val="TableContents"/>
              <w:spacing w:before="0" w:after="283"/>
              <w:rPr/>
            </w:pPr>
            <w:r>
              <w:rPr/>
              <w:t>)</w:t>
            </w:r>
          </w:p>
        </w:tc>
      </w:tr>
      <w:tr>
        <w:trPr/>
        <w:tc>
          <w:tcPr>
            <w:tcW w:w="4360" w:type="dxa"/>
            <w:tcBorders/>
            <w:shd w:fill="FFFF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Net underwriting expenses</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41,143,280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58,429,410</w:t>
            </w:r>
          </w:p>
        </w:tc>
        <w:tc>
          <w:tcPr>
            <w:tcW w:w="290" w:type="dxa"/>
            <w:tcBorders/>
            <w:shd w:fill="FFFFFF" w:val="clear"/>
            <w:vAlign w:val="center"/>
          </w:tcPr>
          <w:p>
            <w:pPr>
              <w:pStyle w:val="TableContents"/>
              <w:spacing w:before="0" w:after="0"/>
              <w:ind w:left="0" w:right="0" w:hanging="0"/>
              <w:rPr/>
            </w:pPr>
            <w:r>
              <w:rPr/>
              <w:t> </w:t>
            </w:r>
          </w:p>
        </w:tc>
      </w:tr>
      <w:tr>
        <w:trPr/>
        <w:tc>
          <w:tcPr>
            <w:tcW w:w="436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90" w:type="dxa"/>
            <w:tcBorders/>
            <w:shd w:fill="CCEEFF" w:val="clear"/>
            <w:vAlign w:val="center"/>
          </w:tcPr>
          <w:p>
            <w:pPr>
              <w:pStyle w:val="TableContents"/>
              <w:spacing w:before="0" w:after="0"/>
              <w:ind w:left="0" w:right="0" w:hanging="0"/>
              <w:rPr/>
            </w:pPr>
            <w:r>
              <w:rPr/>
              <w:t> </w:t>
            </w:r>
          </w:p>
        </w:tc>
      </w:tr>
      <w:tr>
        <w:trPr/>
        <w:tc>
          <w:tcPr>
            <w:tcW w:w="4360" w:type="dxa"/>
            <w:tcBorders/>
            <w:shd w:fill="FFFF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Net premiums earned</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114,384,531</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143,881,719</w:t>
            </w:r>
          </w:p>
        </w:tc>
        <w:tc>
          <w:tcPr>
            <w:tcW w:w="290" w:type="dxa"/>
            <w:tcBorders/>
            <w:shd w:fill="FFFFFF" w:val="clear"/>
            <w:vAlign w:val="center"/>
          </w:tcPr>
          <w:p>
            <w:pPr>
              <w:pStyle w:val="TableContents"/>
              <w:spacing w:before="0" w:after="0"/>
              <w:ind w:left="0" w:right="0" w:hanging="0"/>
              <w:rPr/>
            </w:pPr>
            <w:r>
              <w:rPr/>
              <w:t> </w:t>
            </w:r>
          </w:p>
        </w:tc>
      </w:tr>
      <w:tr>
        <w:trPr/>
        <w:tc>
          <w:tcPr>
            <w:tcW w:w="436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90" w:type="dxa"/>
            <w:tcBorders/>
            <w:shd w:fill="CCEEFF" w:val="clear"/>
            <w:vAlign w:val="center"/>
          </w:tcPr>
          <w:p>
            <w:pPr>
              <w:pStyle w:val="TableContents"/>
              <w:spacing w:before="0" w:after="0"/>
              <w:ind w:left="0" w:right="0" w:hanging="0"/>
              <w:rPr/>
            </w:pPr>
            <w:r>
              <w:rPr/>
              <w:t> </w:t>
            </w:r>
          </w:p>
        </w:tc>
      </w:tr>
      <w:tr>
        <w:trPr/>
        <w:tc>
          <w:tcPr>
            <w:tcW w:w="4360" w:type="dxa"/>
            <w:tcBorders/>
            <w:shd w:fill="FFFF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Net Underwriting Expense Ratio</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36.0</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40.6</w:t>
            </w:r>
          </w:p>
        </w:tc>
        <w:tc>
          <w:tcPr>
            <w:tcW w:w="290" w:type="dxa"/>
            <w:tcBorders/>
            <w:shd w:fill="FFFFFF" w:val="clear"/>
            <w:vAlign w:val="center"/>
          </w:tcPr>
          <w:p>
            <w:pPr>
              <w:pStyle w:val="TableContents"/>
              <w:spacing w:before="0" w:after="283"/>
              <w:rPr/>
            </w:pPr>
            <w:r>
              <w:rPr/>
              <w:t>%</w:t>
            </w:r>
          </w:p>
        </w:tc>
      </w:tr>
    </w:tbl>
    <w:p>
      <w:pPr>
        <w:pStyle w:val="TextBody"/>
        <w:spacing w:before="0" w:after="0"/>
        <w:ind w:left="0" w:right="0" w:hanging="0"/>
        <w:jc w:val="center"/>
        <w:rPr/>
      </w:pPr>
      <w:r>
        <w:rPr>
          <w:rStyle w:val="StrongEmphasis"/>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44</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both"/>
        <w:rPr/>
      </w:pPr>
      <w:r>
        <w:rPr/>
        <w:t xml:space="preserve">                </w:t>
      </w:r>
      <w:r>
        <w:rPr>
          <w:rFonts w:ascii="times new roman" w:hAnsi="times new roman"/>
          <w:sz w:val="20"/>
        </w:rPr>
        <w:t>An analysis of our direct, assumed and ceded earned premiums, loss and loss adjustment expenses, and loss ratios is shown below:</w:t>
      </w:r>
    </w:p>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3721"/>
        <w:gridCol w:w="90"/>
        <w:gridCol w:w="170"/>
        <w:gridCol w:w="1250"/>
        <w:gridCol w:w="245"/>
        <w:gridCol w:w="90"/>
        <w:gridCol w:w="288"/>
        <w:gridCol w:w="594"/>
        <w:gridCol w:w="245"/>
        <w:gridCol w:w="90"/>
        <w:gridCol w:w="170"/>
        <w:gridCol w:w="1205"/>
        <w:gridCol w:w="245"/>
        <w:gridCol w:w="90"/>
        <w:gridCol w:w="170"/>
        <w:gridCol w:w="1250"/>
        <w:gridCol w:w="292"/>
      </w:tblGrid>
      <w:tr>
        <w:trPr/>
        <w:tc>
          <w:tcPr>
            <w:tcW w:w="3721"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Direct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Assumed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Ceded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Net </w:t>
            </w:r>
          </w:p>
        </w:tc>
        <w:tc>
          <w:tcPr>
            <w:tcW w:w="292" w:type="dxa"/>
            <w:tcBorders/>
            <w:shd w:fill="auto" w:val="clear"/>
            <w:vAlign w:val="center"/>
          </w:tcPr>
          <w:p>
            <w:pPr>
              <w:pStyle w:val="TableContents"/>
              <w:spacing w:before="0" w:after="0"/>
              <w:ind w:left="0" w:right="0" w:hanging="0"/>
              <w:rPr/>
            </w:pPr>
            <w:r>
              <w:rPr/>
              <w:t> </w:t>
            </w:r>
          </w:p>
        </w:tc>
      </w:tr>
      <w:tr>
        <w:trPr/>
        <w:tc>
          <w:tcPr>
            <w:tcW w:w="3721" w:type="dxa"/>
            <w:tcBorders/>
            <w:shd w:fill="auto" w:val="clear"/>
            <w:vAlign w:val="center"/>
          </w:tcPr>
          <w:p>
            <w:pPr>
              <w:pStyle w:val="TableContents"/>
              <w:spacing w:before="0" w:after="0"/>
              <w:ind w:left="0" w:right="0" w:hanging="0"/>
              <w:rPr/>
            </w:pPr>
            <w:r>
              <w:rPr>
                <w:rStyle w:val="StrongEmphasis"/>
                <w:rFonts w:ascii="times new roman" w:hAnsi="times new roman"/>
                <w:sz w:val="20"/>
              </w:rPr>
              <w:t xml:space="preserve">Year ended ended December 31, 2022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2"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292" w:type="dxa"/>
            <w:tcBorders/>
            <w:shd w:fill="auto" w:val="clear"/>
            <w:vAlign w:val="center"/>
          </w:tcPr>
          <w:p>
            <w:pPr>
              <w:pStyle w:val="TableContents"/>
              <w:spacing w:before="0" w:after="0"/>
              <w:ind w:left="0" w:right="0" w:hanging="0"/>
              <w:rPr/>
            </w:pPr>
            <w:r>
              <w:rPr/>
              <w:t> </w:t>
            </w:r>
          </w:p>
        </w:tc>
      </w:tr>
      <w:tr>
        <w:trPr/>
        <w:tc>
          <w:tcPr>
            <w:tcW w:w="3721" w:type="dxa"/>
            <w:tcBorders/>
            <w:shd w:fill="CCEE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Written premiums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201,254,837</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88" w:type="dxa"/>
            <w:tcBorders/>
            <w:shd w:fill="CCEEFF" w:val="clear"/>
            <w:vAlign w:val="center"/>
          </w:tcPr>
          <w:p>
            <w:pPr>
              <w:pStyle w:val="TableContents"/>
              <w:spacing w:before="0" w:after="283"/>
              <w:rPr/>
            </w:pPr>
            <w:r>
              <w:rPr/>
              <w:t>$</w:t>
            </w:r>
          </w:p>
        </w:tc>
        <w:tc>
          <w:tcPr>
            <w:tcW w:w="594" w:type="dxa"/>
            <w:tcBorders/>
            <w:shd w:fill="CCEEFF" w:val="clear"/>
            <w:vAlign w:val="center"/>
          </w:tcPr>
          <w:p>
            <w:pPr>
              <w:pStyle w:val="TableContents"/>
              <w:spacing w:before="0" w:after="283"/>
              <w:jc w:val="right"/>
              <w:rPr/>
            </w:pPr>
            <w:r>
              <w:rPr/>
              <w:t>-</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05" w:type="dxa"/>
            <w:tcBorders/>
            <w:shd w:fill="CCEEFF" w:val="clear"/>
            <w:vAlign w:val="center"/>
          </w:tcPr>
          <w:p>
            <w:pPr>
              <w:pStyle w:val="TableContents"/>
              <w:spacing w:before="0" w:after="283"/>
              <w:jc w:val="right"/>
              <w:rPr/>
            </w:pPr>
            <w:r>
              <w:rPr/>
              <w:t>(79,195,016</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122,059,821</w:t>
            </w:r>
          </w:p>
        </w:tc>
        <w:tc>
          <w:tcPr>
            <w:tcW w:w="292" w:type="dxa"/>
            <w:tcBorders/>
            <w:shd w:fill="CCEEFF" w:val="clear"/>
            <w:vAlign w:val="center"/>
          </w:tcPr>
          <w:p>
            <w:pPr>
              <w:pStyle w:val="TableContents"/>
              <w:spacing w:before="0" w:after="0"/>
              <w:ind w:left="0" w:right="0" w:hanging="0"/>
              <w:rPr/>
            </w:pPr>
            <w:r>
              <w:rPr/>
              <w:t> </w:t>
            </w:r>
          </w:p>
        </w:tc>
      </w:tr>
      <w:tr>
        <w:trPr/>
        <w:tc>
          <w:tcPr>
            <w:tcW w:w="3721"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Change in unearned premiums</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(9,733,170</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288"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594"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2,057,880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(7,675,290</w:t>
            </w:r>
          </w:p>
        </w:tc>
        <w:tc>
          <w:tcPr>
            <w:tcW w:w="292" w:type="dxa"/>
            <w:tcBorders/>
            <w:shd w:fill="FFFFFF" w:val="clear"/>
            <w:vAlign w:val="center"/>
          </w:tcPr>
          <w:p>
            <w:pPr>
              <w:pStyle w:val="TableContents"/>
              <w:spacing w:before="0" w:after="283"/>
              <w:rPr/>
            </w:pPr>
            <w:r>
              <w:rPr/>
              <w:t>)</w:t>
            </w:r>
          </w:p>
        </w:tc>
      </w:tr>
      <w:tr>
        <w:trPr/>
        <w:tc>
          <w:tcPr>
            <w:tcW w:w="3721" w:type="dxa"/>
            <w:tcBorders/>
            <w:shd w:fill="CCEE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Earned premiums</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191,521,667</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88" w:type="dxa"/>
            <w:tcBorders>
              <w:bottom w:val="double" w:sz="6" w:space="0" w:color="000000"/>
            </w:tcBorders>
            <w:shd w:fill="CCEEFF" w:val="clear"/>
            <w:tcMar>
              <w:bottom w:w="28" w:type="dxa"/>
            </w:tcMar>
            <w:vAlign w:val="center"/>
          </w:tcPr>
          <w:p>
            <w:pPr>
              <w:pStyle w:val="TableContents"/>
              <w:spacing w:before="0" w:after="283"/>
              <w:rPr/>
            </w:pPr>
            <w:r>
              <w:rPr/>
              <w:t>$</w:t>
            </w:r>
          </w:p>
        </w:tc>
        <w:tc>
          <w:tcPr>
            <w:tcW w:w="594" w:type="dxa"/>
            <w:tcBorders>
              <w:bottom w:val="double" w:sz="6" w:space="0" w:color="000000"/>
            </w:tcBorders>
            <w:shd w:fill="CCEEFF" w:val="clear"/>
            <w:tcMar>
              <w:bottom w:w="28" w:type="dxa"/>
            </w:tcMar>
            <w:vAlign w:val="center"/>
          </w:tcPr>
          <w:p>
            <w:pPr>
              <w:pStyle w:val="TableContents"/>
              <w:spacing w:before="0" w:after="283"/>
              <w:jc w:val="right"/>
              <w:rPr/>
            </w:pPr>
            <w:r>
              <w:rPr/>
              <w:t>-</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05" w:type="dxa"/>
            <w:tcBorders>
              <w:bottom w:val="double" w:sz="6" w:space="0" w:color="000000"/>
            </w:tcBorders>
            <w:shd w:fill="CCEEFF" w:val="clear"/>
            <w:tcMar>
              <w:bottom w:w="28" w:type="dxa"/>
            </w:tcMar>
            <w:vAlign w:val="center"/>
          </w:tcPr>
          <w:p>
            <w:pPr>
              <w:pStyle w:val="TableContents"/>
              <w:spacing w:before="0" w:after="283"/>
              <w:jc w:val="right"/>
              <w:rPr/>
            </w:pPr>
            <w:r>
              <w:rPr/>
              <w:t>(77,137,136</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114,384,531</w:t>
            </w:r>
          </w:p>
        </w:tc>
        <w:tc>
          <w:tcPr>
            <w:tcW w:w="292" w:type="dxa"/>
            <w:tcBorders/>
            <w:shd w:fill="CCEEFF" w:val="clear"/>
            <w:vAlign w:val="center"/>
          </w:tcPr>
          <w:p>
            <w:pPr>
              <w:pStyle w:val="TableContents"/>
              <w:spacing w:before="0" w:after="0"/>
              <w:ind w:left="0" w:right="0" w:hanging="0"/>
              <w:rPr/>
            </w:pPr>
            <w:r>
              <w:rPr/>
              <w:t> </w:t>
            </w:r>
          </w:p>
        </w:tc>
      </w:tr>
      <w:tr>
        <w:trPr/>
        <w:tc>
          <w:tcPr>
            <w:tcW w:w="3721"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88" w:type="dxa"/>
            <w:tcBorders/>
            <w:shd w:fill="FFFFFF" w:val="clear"/>
            <w:vAlign w:val="center"/>
          </w:tcPr>
          <w:p>
            <w:pPr>
              <w:pStyle w:val="TableContents"/>
              <w:spacing w:before="0" w:after="0"/>
              <w:ind w:left="0" w:right="0" w:hanging="0"/>
              <w:rPr/>
            </w:pPr>
            <w:r>
              <w:rPr/>
              <w:t> </w:t>
            </w:r>
          </w:p>
        </w:tc>
        <w:tc>
          <w:tcPr>
            <w:tcW w:w="594"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92" w:type="dxa"/>
            <w:tcBorders/>
            <w:shd w:fill="FFFFFF" w:val="clear"/>
            <w:vAlign w:val="center"/>
          </w:tcPr>
          <w:p>
            <w:pPr>
              <w:pStyle w:val="TableContents"/>
              <w:spacing w:before="0" w:after="0"/>
              <w:ind w:left="0" w:right="0" w:hanging="0"/>
              <w:rPr/>
            </w:pPr>
            <w:r>
              <w:rPr/>
              <w:t> </w:t>
            </w:r>
          </w:p>
        </w:tc>
      </w:tr>
      <w:tr>
        <w:trPr/>
        <w:tc>
          <w:tcPr>
            <w:tcW w:w="3721" w:type="dxa"/>
            <w:tcBorders/>
            <w:shd w:fill="CCEE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Loss and loss adjustment expenses excluding the effect of catastrophes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114,942,807</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88" w:type="dxa"/>
            <w:tcBorders/>
            <w:shd w:fill="CCEEFF" w:val="clear"/>
            <w:vAlign w:val="center"/>
          </w:tcPr>
          <w:p>
            <w:pPr>
              <w:pStyle w:val="TableContents"/>
              <w:spacing w:before="0" w:after="283"/>
              <w:rPr/>
            </w:pPr>
            <w:r>
              <w:rPr/>
              <w:t>$</w:t>
            </w:r>
          </w:p>
        </w:tc>
        <w:tc>
          <w:tcPr>
            <w:tcW w:w="594" w:type="dxa"/>
            <w:tcBorders/>
            <w:shd w:fill="CCEEFF" w:val="clear"/>
            <w:vAlign w:val="center"/>
          </w:tcPr>
          <w:p>
            <w:pPr>
              <w:pStyle w:val="TableContents"/>
              <w:spacing w:before="0" w:after="283"/>
              <w:jc w:val="right"/>
              <w:rPr/>
            </w:pPr>
            <w:r>
              <w:rPr/>
              <w:t>-</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05" w:type="dxa"/>
            <w:tcBorders/>
            <w:shd w:fill="CCEEFF" w:val="clear"/>
            <w:vAlign w:val="center"/>
          </w:tcPr>
          <w:p>
            <w:pPr>
              <w:pStyle w:val="TableContents"/>
              <w:spacing w:before="0" w:after="283"/>
              <w:jc w:val="right"/>
              <w:rPr/>
            </w:pPr>
            <w:r>
              <w:rPr/>
              <w:t>(34,184,616</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80,758,191</w:t>
            </w:r>
          </w:p>
        </w:tc>
        <w:tc>
          <w:tcPr>
            <w:tcW w:w="292" w:type="dxa"/>
            <w:tcBorders/>
            <w:shd w:fill="CCEEFF" w:val="clear"/>
            <w:vAlign w:val="center"/>
          </w:tcPr>
          <w:p>
            <w:pPr>
              <w:pStyle w:val="TableContents"/>
              <w:spacing w:before="0" w:after="0"/>
              <w:ind w:left="0" w:right="0" w:hanging="0"/>
              <w:rPr/>
            </w:pPr>
            <w:r>
              <w:rPr/>
              <w:t> </w:t>
            </w:r>
          </w:p>
        </w:tc>
      </w:tr>
      <w:tr>
        <w:trPr/>
        <w:tc>
          <w:tcPr>
            <w:tcW w:w="3721"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Catastrophe loss</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13,105,600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88"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594"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(5,473,749</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7,631,851</w:t>
            </w:r>
          </w:p>
        </w:tc>
        <w:tc>
          <w:tcPr>
            <w:tcW w:w="292" w:type="dxa"/>
            <w:tcBorders/>
            <w:shd w:fill="FFFFFF" w:val="clear"/>
            <w:vAlign w:val="center"/>
          </w:tcPr>
          <w:p>
            <w:pPr>
              <w:pStyle w:val="TableContents"/>
              <w:spacing w:before="0" w:after="0"/>
              <w:ind w:left="0" w:right="0" w:hanging="0"/>
              <w:rPr/>
            </w:pPr>
            <w:r>
              <w:rPr/>
              <w:t> </w:t>
            </w:r>
          </w:p>
        </w:tc>
      </w:tr>
      <w:tr>
        <w:trPr/>
        <w:tc>
          <w:tcPr>
            <w:tcW w:w="3721" w:type="dxa"/>
            <w:tcBorders/>
            <w:shd w:fill="CCEE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Loss and loss adjustment expenses</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128,048,407</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88" w:type="dxa"/>
            <w:tcBorders>
              <w:bottom w:val="double" w:sz="6" w:space="0" w:color="000000"/>
            </w:tcBorders>
            <w:shd w:fill="CCEEFF" w:val="clear"/>
            <w:tcMar>
              <w:bottom w:w="28" w:type="dxa"/>
            </w:tcMar>
            <w:vAlign w:val="center"/>
          </w:tcPr>
          <w:p>
            <w:pPr>
              <w:pStyle w:val="TableContents"/>
              <w:spacing w:before="0" w:after="283"/>
              <w:rPr/>
            </w:pPr>
            <w:r>
              <w:rPr/>
              <w:t>$</w:t>
            </w:r>
          </w:p>
        </w:tc>
        <w:tc>
          <w:tcPr>
            <w:tcW w:w="594" w:type="dxa"/>
            <w:tcBorders>
              <w:bottom w:val="double" w:sz="6" w:space="0" w:color="000000"/>
            </w:tcBorders>
            <w:shd w:fill="CCEEFF" w:val="clear"/>
            <w:tcMar>
              <w:bottom w:w="28" w:type="dxa"/>
            </w:tcMar>
            <w:vAlign w:val="center"/>
          </w:tcPr>
          <w:p>
            <w:pPr>
              <w:pStyle w:val="TableContents"/>
              <w:spacing w:before="0" w:after="283"/>
              <w:jc w:val="right"/>
              <w:rPr/>
            </w:pPr>
            <w:r>
              <w:rPr/>
              <w:t>-</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05" w:type="dxa"/>
            <w:tcBorders>
              <w:bottom w:val="double" w:sz="6" w:space="0" w:color="000000"/>
            </w:tcBorders>
            <w:shd w:fill="CCEEFF" w:val="clear"/>
            <w:tcMar>
              <w:bottom w:w="28" w:type="dxa"/>
            </w:tcMar>
            <w:vAlign w:val="center"/>
          </w:tcPr>
          <w:p>
            <w:pPr>
              <w:pStyle w:val="TableContents"/>
              <w:spacing w:before="0" w:after="283"/>
              <w:jc w:val="right"/>
              <w:rPr/>
            </w:pPr>
            <w:r>
              <w:rPr/>
              <w:t>(39,658,365</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88,390,042</w:t>
            </w:r>
          </w:p>
        </w:tc>
        <w:tc>
          <w:tcPr>
            <w:tcW w:w="292" w:type="dxa"/>
            <w:tcBorders/>
            <w:shd w:fill="CCEEFF" w:val="clear"/>
            <w:vAlign w:val="center"/>
          </w:tcPr>
          <w:p>
            <w:pPr>
              <w:pStyle w:val="TableContents"/>
              <w:spacing w:before="0" w:after="0"/>
              <w:ind w:left="0" w:right="0" w:hanging="0"/>
              <w:rPr/>
            </w:pPr>
            <w:r>
              <w:rPr/>
              <w:t> </w:t>
            </w:r>
          </w:p>
        </w:tc>
      </w:tr>
      <w:tr>
        <w:trPr/>
        <w:tc>
          <w:tcPr>
            <w:tcW w:w="3721"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88" w:type="dxa"/>
            <w:tcBorders/>
            <w:shd w:fill="FFFFFF" w:val="clear"/>
            <w:vAlign w:val="center"/>
          </w:tcPr>
          <w:p>
            <w:pPr>
              <w:pStyle w:val="TableContents"/>
              <w:spacing w:before="0" w:after="0"/>
              <w:ind w:left="0" w:right="0" w:hanging="0"/>
              <w:rPr/>
            </w:pPr>
            <w:r>
              <w:rPr/>
              <w:t> </w:t>
            </w:r>
          </w:p>
        </w:tc>
        <w:tc>
          <w:tcPr>
            <w:tcW w:w="594"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92" w:type="dxa"/>
            <w:tcBorders/>
            <w:shd w:fill="FFFFFF" w:val="clear"/>
            <w:vAlign w:val="center"/>
          </w:tcPr>
          <w:p>
            <w:pPr>
              <w:pStyle w:val="TableContents"/>
              <w:spacing w:before="0" w:after="0"/>
              <w:ind w:left="0" w:right="0" w:hanging="0"/>
              <w:rPr/>
            </w:pPr>
            <w:r>
              <w:rPr/>
              <w:t> </w:t>
            </w:r>
          </w:p>
        </w:tc>
      </w:tr>
      <w:tr>
        <w:trPr/>
        <w:tc>
          <w:tcPr>
            <w:tcW w:w="3721" w:type="dxa"/>
            <w:tcBorders/>
            <w:shd w:fill="CCEE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Loss ratio excluding the effect of catastrophes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60.0</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288" w:type="dxa"/>
            <w:tcBorders/>
            <w:shd w:fill="CCEEFF" w:val="clear"/>
            <w:vAlign w:val="center"/>
          </w:tcPr>
          <w:p>
            <w:pPr>
              <w:pStyle w:val="TableContents"/>
              <w:spacing w:before="0" w:after="0"/>
              <w:ind w:left="0" w:right="0" w:hanging="0"/>
              <w:rPr/>
            </w:pPr>
            <w:r>
              <w:rPr/>
              <w:t> </w:t>
            </w:r>
          </w:p>
        </w:tc>
        <w:tc>
          <w:tcPr>
            <w:tcW w:w="594" w:type="dxa"/>
            <w:tcBorders/>
            <w:shd w:fill="CCEEFF" w:val="clear"/>
            <w:vAlign w:val="center"/>
          </w:tcPr>
          <w:p>
            <w:pPr>
              <w:pStyle w:val="TableContents"/>
              <w:spacing w:before="0" w:after="283"/>
              <w:jc w:val="right"/>
              <w:rPr/>
            </w:pPr>
            <w:r>
              <w:rPr/>
              <w:t>0.0</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44.3</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70.6</w:t>
            </w:r>
          </w:p>
        </w:tc>
        <w:tc>
          <w:tcPr>
            <w:tcW w:w="292" w:type="dxa"/>
            <w:tcBorders/>
            <w:shd w:fill="CCEEFF" w:val="clear"/>
            <w:vAlign w:val="center"/>
          </w:tcPr>
          <w:p>
            <w:pPr>
              <w:pStyle w:val="TableContents"/>
              <w:spacing w:before="0" w:after="283"/>
              <w:rPr/>
            </w:pPr>
            <w:r>
              <w:rPr/>
              <w:t>%</w:t>
            </w:r>
          </w:p>
        </w:tc>
      </w:tr>
      <w:tr>
        <w:trPr/>
        <w:tc>
          <w:tcPr>
            <w:tcW w:w="3721"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Catastrophe loss</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6.8</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288"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594" w:type="dxa"/>
            <w:tcBorders>
              <w:bottom w:val="single" w:sz="2" w:space="0" w:color="000000"/>
            </w:tcBorders>
            <w:shd w:fill="FFFFFF" w:val="clear"/>
            <w:tcMar>
              <w:bottom w:w="28" w:type="dxa"/>
            </w:tcMar>
            <w:vAlign w:val="center"/>
          </w:tcPr>
          <w:p>
            <w:pPr>
              <w:pStyle w:val="TableContents"/>
              <w:spacing w:before="0" w:after="283"/>
              <w:jc w:val="right"/>
              <w:rPr/>
            </w:pPr>
            <w:r>
              <w:rPr/>
              <w:t>0.0</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7.1</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6.7</w:t>
            </w:r>
          </w:p>
        </w:tc>
        <w:tc>
          <w:tcPr>
            <w:tcW w:w="292" w:type="dxa"/>
            <w:tcBorders/>
            <w:shd w:fill="FFFFFF" w:val="clear"/>
            <w:vAlign w:val="center"/>
          </w:tcPr>
          <w:p>
            <w:pPr>
              <w:pStyle w:val="TableContents"/>
              <w:spacing w:before="0" w:after="283"/>
              <w:rPr/>
            </w:pPr>
            <w:r>
              <w:rPr/>
              <w:t>%</w:t>
            </w:r>
          </w:p>
        </w:tc>
      </w:tr>
      <w:tr>
        <w:trPr/>
        <w:tc>
          <w:tcPr>
            <w:tcW w:w="3721" w:type="dxa"/>
            <w:tcBorders/>
            <w:shd w:fill="CCEE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Loss ratio</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66.9</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288"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594" w:type="dxa"/>
            <w:tcBorders>
              <w:bottom w:val="double" w:sz="6" w:space="0" w:color="000000"/>
            </w:tcBorders>
            <w:shd w:fill="CCEEFF" w:val="clear"/>
            <w:tcMar>
              <w:bottom w:w="28" w:type="dxa"/>
            </w:tcMar>
            <w:vAlign w:val="center"/>
          </w:tcPr>
          <w:p>
            <w:pPr>
              <w:pStyle w:val="TableContents"/>
              <w:spacing w:before="0" w:after="283"/>
              <w:jc w:val="right"/>
              <w:rPr/>
            </w:pPr>
            <w:r>
              <w:rPr/>
              <w:t>0.0</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1205" w:type="dxa"/>
            <w:tcBorders>
              <w:bottom w:val="double" w:sz="6" w:space="0" w:color="000000"/>
            </w:tcBorders>
            <w:shd w:fill="CCEEFF" w:val="clear"/>
            <w:tcMar>
              <w:bottom w:w="28" w:type="dxa"/>
            </w:tcMar>
            <w:vAlign w:val="center"/>
          </w:tcPr>
          <w:p>
            <w:pPr>
              <w:pStyle w:val="TableContents"/>
              <w:spacing w:before="0" w:after="283"/>
              <w:jc w:val="right"/>
              <w:rPr/>
            </w:pPr>
            <w:r>
              <w:rPr/>
              <w:t>51.4</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77.3</w:t>
            </w:r>
          </w:p>
        </w:tc>
        <w:tc>
          <w:tcPr>
            <w:tcW w:w="292" w:type="dxa"/>
            <w:tcBorders/>
            <w:shd w:fill="CCEEFF" w:val="clear"/>
            <w:vAlign w:val="center"/>
          </w:tcPr>
          <w:p>
            <w:pPr>
              <w:pStyle w:val="TableContents"/>
              <w:spacing w:before="0" w:after="283"/>
              <w:rPr/>
            </w:pPr>
            <w:r>
              <w:rPr/>
              <w:t>%</w:t>
            </w:r>
          </w:p>
        </w:tc>
      </w:tr>
      <w:tr>
        <w:trPr/>
        <w:tc>
          <w:tcPr>
            <w:tcW w:w="3721"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88" w:type="dxa"/>
            <w:tcBorders/>
            <w:shd w:fill="FFFFFF" w:val="clear"/>
            <w:vAlign w:val="center"/>
          </w:tcPr>
          <w:p>
            <w:pPr>
              <w:pStyle w:val="TableContents"/>
              <w:spacing w:before="0" w:after="0"/>
              <w:ind w:left="0" w:right="0" w:hanging="0"/>
              <w:rPr/>
            </w:pPr>
            <w:r>
              <w:rPr/>
              <w:t> </w:t>
            </w:r>
          </w:p>
        </w:tc>
        <w:tc>
          <w:tcPr>
            <w:tcW w:w="594"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92" w:type="dxa"/>
            <w:tcBorders/>
            <w:shd w:fill="FFFFFF" w:val="clear"/>
            <w:vAlign w:val="center"/>
          </w:tcPr>
          <w:p>
            <w:pPr>
              <w:pStyle w:val="TableContents"/>
              <w:spacing w:before="0" w:after="0"/>
              <w:ind w:left="0" w:right="0" w:hanging="0"/>
              <w:rPr/>
            </w:pPr>
            <w:r>
              <w:rPr/>
              <w:t> </w:t>
            </w:r>
          </w:p>
        </w:tc>
      </w:tr>
      <w:tr>
        <w:trPr/>
        <w:tc>
          <w:tcPr>
            <w:tcW w:w="3721" w:type="dxa"/>
            <w:tcBorders/>
            <w:shd w:fill="CCEEFF" w:val="clear"/>
            <w:vAlign w:val="center"/>
          </w:tcPr>
          <w:p>
            <w:pPr>
              <w:pStyle w:val="TableContents"/>
              <w:spacing w:before="0" w:after="0"/>
              <w:ind w:left="0" w:right="0" w:hanging="0"/>
              <w:rPr/>
            </w:pPr>
            <w:r>
              <w:rPr>
                <w:rStyle w:val="StrongEmphasis"/>
                <w:rFonts w:ascii="times new roman" w:hAnsi="times new roman"/>
                <w:sz w:val="20"/>
              </w:rPr>
              <w:t xml:space="preserve">Year ended ended December 31, 2021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88" w:type="dxa"/>
            <w:tcBorders/>
            <w:shd w:fill="CCEEFF" w:val="clear"/>
            <w:vAlign w:val="center"/>
          </w:tcPr>
          <w:p>
            <w:pPr>
              <w:pStyle w:val="TableContents"/>
              <w:spacing w:before="0" w:after="0"/>
              <w:ind w:left="0" w:right="0" w:hanging="0"/>
              <w:rPr/>
            </w:pPr>
            <w:r>
              <w:rPr/>
              <w:t> </w:t>
            </w:r>
          </w:p>
        </w:tc>
        <w:tc>
          <w:tcPr>
            <w:tcW w:w="594"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92" w:type="dxa"/>
            <w:tcBorders/>
            <w:shd w:fill="CCEEFF" w:val="clear"/>
            <w:vAlign w:val="center"/>
          </w:tcPr>
          <w:p>
            <w:pPr>
              <w:pStyle w:val="TableContents"/>
              <w:spacing w:before="0" w:after="0"/>
              <w:ind w:left="0" w:right="0" w:hanging="0"/>
              <w:rPr/>
            </w:pPr>
            <w:r>
              <w:rPr/>
              <w:t> </w:t>
            </w:r>
          </w:p>
        </w:tc>
      </w:tr>
      <w:tr>
        <w:trPr/>
        <w:tc>
          <w:tcPr>
            <w:tcW w:w="3721"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Written premiums</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181,665,178</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88" w:type="dxa"/>
            <w:tcBorders/>
            <w:shd w:fill="FFFFFF" w:val="clear"/>
            <w:vAlign w:val="center"/>
          </w:tcPr>
          <w:p>
            <w:pPr>
              <w:pStyle w:val="TableContents"/>
              <w:spacing w:before="0" w:after="283"/>
              <w:rPr/>
            </w:pPr>
            <w:r>
              <w:rPr/>
              <w:t>$</w:t>
            </w:r>
          </w:p>
        </w:tc>
        <w:tc>
          <w:tcPr>
            <w:tcW w:w="594" w:type="dxa"/>
            <w:tcBorders/>
            <w:shd w:fill="FFFFFF" w:val="clear"/>
            <w:vAlign w:val="center"/>
          </w:tcPr>
          <w:p>
            <w:pPr>
              <w:pStyle w:val="TableContents"/>
              <w:spacing w:before="0" w:after="283"/>
              <w:jc w:val="right"/>
              <w:rPr/>
            </w:pPr>
            <w:r>
              <w:rPr/>
              <w:t>-</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05" w:type="dxa"/>
            <w:tcBorders/>
            <w:shd w:fill="FFFFFF" w:val="clear"/>
            <w:vAlign w:val="center"/>
          </w:tcPr>
          <w:p>
            <w:pPr>
              <w:pStyle w:val="TableContents"/>
              <w:spacing w:before="0" w:after="283"/>
              <w:jc w:val="right"/>
              <w:rPr/>
            </w:pPr>
            <w:r>
              <w:rPr/>
              <w:t>(52,909,694</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128,755,484</w:t>
            </w:r>
          </w:p>
        </w:tc>
        <w:tc>
          <w:tcPr>
            <w:tcW w:w="292" w:type="dxa"/>
            <w:tcBorders/>
            <w:shd w:fill="FFFFFF" w:val="clear"/>
            <w:vAlign w:val="center"/>
          </w:tcPr>
          <w:p>
            <w:pPr>
              <w:pStyle w:val="TableContents"/>
              <w:spacing w:before="0" w:after="0"/>
              <w:ind w:left="0" w:right="0" w:hanging="0"/>
              <w:rPr/>
            </w:pPr>
            <w:r>
              <w:rPr/>
              <w:t> </w:t>
            </w:r>
          </w:p>
        </w:tc>
      </w:tr>
      <w:tr>
        <w:trPr/>
        <w:tc>
          <w:tcPr>
            <w:tcW w:w="3721" w:type="dxa"/>
            <w:tcBorders/>
            <w:shd w:fill="CCEE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Change in unearned premiums</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(7,750,334</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28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94"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CCEEFF" w:val="clear"/>
            <w:tcMar>
              <w:bottom w:w="28" w:type="dxa"/>
            </w:tcMar>
            <w:vAlign w:val="center"/>
          </w:tcPr>
          <w:p>
            <w:pPr>
              <w:pStyle w:val="TableContents"/>
              <w:spacing w:before="0" w:after="283"/>
              <w:jc w:val="right"/>
              <w:rPr/>
            </w:pPr>
            <w:r>
              <w:rPr/>
              <w:t>22,876,569</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15,126,235</w:t>
            </w:r>
          </w:p>
        </w:tc>
        <w:tc>
          <w:tcPr>
            <w:tcW w:w="292" w:type="dxa"/>
            <w:tcBorders/>
            <w:shd w:fill="CCEEFF" w:val="clear"/>
            <w:vAlign w:val="center"/>
          </w:tcPr>
          <w:p>
            <w:pPr>
              <w:pStyle w:val="TableContents"/>
              <w:spacing w:before="0" w:after="0"/>
              <w:ind w:left="0" w:right="0" w:hanging="0"/>
              <w:rPr/>
            </w:pPr>
            <w:r>
              <w:rPr/>
              <w:t> </w:t>
            </w:r>
          </w:p>
        </w:tc>
      </w:tr>
      <w:tr>
        <w:trPr/>
        <w:tc>
          <w:tcPr>
            <w:tcW w:w="3721"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Earned premiums</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173,914,844</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88" w:type="dxa"/>
            <w:tcBorders>
              <w:bottom w:val="double" w:sz="6" w:space="0" w:color="000000"/>
            </w:tcBorders>
            <w:shd w:fill="FFFFFF" w:val="clear"/>
            <w:tcMar>
              <w:bottom w:w="28" w:type="dxa"/>
            </w:tcMar>
            <w:vAlign w:val="center"/>
          </w:tcPr>
          <w:p>
            <w:pPr>
              <w:pStyle w:val="TableContents"/>
              <w:spacing w:before="0" w:after="283"/>
              <w:rPr/>
            </w:pPr>
            <w:r>
              <w:rPr/>
              <w:t>$</w:t>
            </w:r>
          </w:p>
        </w:tc>
        <w:tc>
          <w:tcPr>
            <w:tcW w:w="594" w:type="dxa"/>
            <w:tcBorders>
              <w:bottom w:val="double" w:sz="6" w:space="0" w:color="000000"/>
            </w:tcBorders>
            <w:shd w:fill="FFFFFF" w:val="clear"/>
            <w:tcMar>
              <w:bottom w:w="28" w:type="dxa"/>
            </w:tcMar>
            <w:vAlign w:val="center"/>
          </w:tcPr>
          <w:p>
            <w:pPr>
              <w:pStyle w:val="TableContents"/>
              <w:spacing w:before="0" w:after="283"/>
              <w:jc w:val="right"/>
              <w:rPr/>
            </w:pPr>
            <w:r>
              <w:rPr/>
              <w:t>-</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05" w:type="dxa"/>
            <w:tcBorders>
              <w:bottom w:val="double" w:sz="6" w:space="0" w:color="000000"/>
            </w:tcBorders>
            <w:shd w:fill="FFFFFF" w:val="clear"/>
            <w:tcMar>
              <w:bottom w:w="28" w:type="dxa"/>
            </w:tcMar>
            <w:vAlign w:val="center"/>
          </w:tcPr>
          <w:p>
            <w:pPr>
              <w:pStyle w:val="TableContents"/>
              <w:spacing w:before="0" w:after="283"/>
              <w:jc w:val="right"/>
              <w:rPr/>
            </w:pPr>
            <w:r>
              <w:rPr/>
              <w:t>(30,033,125</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143,881,719</w:t>
            </w:r>
          </w:p>
        </w:tc>
        <w:tc>
          <w:tcPr>
            <w:tcW w:w="292" w:type="dxa"/>
            <w:tcBorders/>
            <w:shd w:fill="FFFFFF" w:val="clear"/>
            <w:vAlign w:val="center"/>
          </w:tcPr>
          <w:p>
            <w:pPr>
              <w:pStyle w:val="TableContents"/>
              <w:spacing w:before="0" w:after="0"/>
              <w:ind w:left="0" w:right="0" w:hanging="0"/>
              <w:rPr/>
            </w:pPr>
            <w:r>
              <w:rPr/>
              <w:t> </w:t>
            </w:r>
          </w:p>
        </w:tc>
      </w:tr>
      <w:tr>
        <w:trPr/>
        <w:tc>
          <w:tcPr>
            <w:tcW w:w="3721"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88" w:type="dxa"/>
            <w:tcBorders/>
            <w:shd w:fill="CCEEFF" w:val="clear"/>
            <w:vAlign w:val="center"/>
          </w:tcPr>
          <w:p>
            <w:pPr>
              <w:pStyle w:val="TableContents"/>
              <w:spacing w:before="0" w:after="0"/>
              <w:ind w:left="0" w:right="0" w:hanging="0"/>
              <w:rPr/>
            </w:pPr>
            <w:r>
              <w:rPr/>
              <w:t> </w:t>
            </w:r>
          </w:p>
        </w:tc>
        <w:tc>
          <w:tcPr>
            <w:tcW w:w="594"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92" w:type="dxa"/>
            <w:tcBorders/>
            <w:shd w:fill="CCEEFF" w:val="clear"/>
            <w:vAlign w:val="center"/>
          </w:tcPr>
          <w:p>
            <w:pPr>
              <w:pStyle w:val="TableContents"/>
              <w:spacing w:before="0" w:after="0"/>
              <w:ind w:left="0" w:right="0" w:hanging="0"/>
              <w:rPr/>
            </w:pPr>
            <w:r>
              <w:rPr/>
              <w:t> </w:t>
            </w:r>
          </w:p>
        </w:tc>
      </w:tr>
      <w:tr>
        <w:trPr/>
        <w:tc>
          <w:tcPr>
            <w:tcW w:w="3721"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Loss and loss adjustment expenses excluding the effect of catastrophes</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87,308,372</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88" w:type="dxa"/>
            <w:tcBorders/>
            <w:shd w:fill="FFFFFF" w:val="clear"/>
            <w:vAlign w:val="center"/>
          </w:tcPr>
          <w:p>
            <w:pPr>
              <w:pStyle w:val="TableContents"/>
              <w:spacing w:before="0" w:after="283"/>
              <w:rPr/>
            </w:pPr>
            <w:r>
              <w:rPr/>
              <w:t>$</w:t>
            </w:r>
          </w:p>
        </w:tc>
        <w:tc>
          <w:tcPr>
            <w:tcW w:w="594" w:type="dxa"/>
            <w:tcBorders/>
            <w:shd w:fill="FFFFFF" w:val="clear"/>
            <w:vAlign w:val="center"/>
          </w:tcPr>
          <w:p>
            <w:pPr>
              <w:pStyle w:val="TableContents"/>
              <w:spacing w:before="0" w:after="283"/>
              <w:jc w:val="right"/>
              <w:rPr/>
            </w:pPr>
            <w:r>
              <w:rPr/>
              <w:t>-</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05" w:type="dxa"/>
            <w:tcBorders/>
            <w:shd w:fill="FFFFFF" w:val="clear"/>
            <w:vAlign w:val="center"/>
          </w:tcPr>
          <w:p>
            <w:pPr>
              <w:pStyle w:val="TableContents"/>
              <w:spacing w:before="0" w:after="283"/>
              <w:jc w:val="right"/>
              <w:rPr/>
            </w:pPr>
            <w:r>
              <w:rPr/>
              <w:t>(155,322</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87,153,050</w:t>
            </w:r>
          </w:p>
        </w:tc>
        <w:tc>
          <w:tcPr>
            <w:tcW w:w="292" w:type="dxa"/>
            <w:tcBorders/>
            <w:shd w:fill="FFFFFF" w:val="clear"/>
            <w:vAlign w:val="center"/>
          </w:tcPr>
          <w:p>
            <w:pPr>
              <w:pStyle w:val="TableContents"/>
              <w:spacing w:before="0" w:after="0"/>
              <w:ind w:left="0" w:right="0" w:hanging="0"/>
              <w:rPr/>
            </w:pPr>
            <w:r>
              <w:rPr/>
              <w:t> </w:t>
            </w:r>
          </w:p>
        </w:tc>
      </w:tr>
      <w:tr>
        <w:trPr/>
        <w:tc>
          <w:tcPr>
            <w:tcW w:w="3721" w:type="dxa"/>
            <w:tcBorders/>
            <w:shd w:fill="CCEE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Catastrophe loss</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15,632,444</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8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94"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CCEEFF" w:val="clear"/>
            <w:tcMar>
              <w:bottom w:w="28" w:type="dxa"/>
            </w:tcMar>
            <w:vAlign w:val="center"/>
          </w:tcPr>
          <w:p>
            <w:pPr>
              <w:pStyle w:val="TableContents"/>
              <w:spacing w:before="0" w:after="283"/>
              <w:jc w:val="right"/>
              <w:rPr/>
            </w:pPr>
            <w:r>
              <w:rPr/>
              <w:t>(812,898</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14,819,546</w:t>
            </w:r>
          </w:p>
        </w:tc>
        <w:tc>
          <w:tcPr>
            <w:tcW w:w="292" w:type="dxa"/>
            <w:tcBorders/>
            <w:shd w:fill="CCEEFF" w:val="clear"/>
            <w:vAlign w:val="center"/>
          </w:tcPr>
          <w:p>
            <w:pPr>
              <w:pStyle w:val="TableContents"/>
              <w:spacing w:before="0" w:after="0"/>
              <w:ind w:left="0" w:right="0" w:hanging="0"/>
              <w:rPr/>
            </w:pPr>
            <w:r>
              <w:rPr/>
              <w:t> </w:t>
            </w:r>
          </w:p>
        </w:tc>
      </w:tr>
      <w:tr>
        <w:trPr/>
        <w:tc>
          <w:tcPr>
            <w:tcW w:w="3721"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Loss and loss adjustment expenses</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102,940,816</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88" w:type="dxa"/>
            <w:tcBorders>
              <w:bottom w:val="double" w:sz="6" w:space="0" w:color="000000"/>
            </w:tcBorders>
            <w:shd w:fill="FFFFFF" w:val="clear"/>
            <w:tcMar>
              <w:bottom w:w="28" w:type="dxa"/>
            </w:tcMar>
            <w:vAlign w:val="center"/>
          </w:tcPr>
          <w:p>
            <w:pPr>
              <w:pStyle w:val="TableContents"/>
              <w:spacing w:before="0" w:after="283"/>
              <w:rPr/>
            </w:pPr>
            <w:r>
              <w:rPr/>
              <w:t>$</w:t>
            </w:r>
          </w:p>
        </w:tc>
        <w:tc>
          <w:tcPr>
            <w:tcW w:w="594" w:type="dxa"/>
            <w:tcBorders>
              <w:bottom w:val="double" w:sz="6" w:space="0" w:color="000000"/>
            </w:tcBorders>
            <w:shd w:fill="FFFFFF" w:val="clear"/>
            <w:tcMar>
              <w:bottom w:w="28" w:type="dxa"/>
            </w:tcMar>
            <w:vAlign w:val="center"/>
          </w:tcPr>
          <w:p>
            <w:pPr>
              <w:pStyle w:val="TableContents"/>
              <w:spacing w:before="0" w:after="283"/>
              <w:jc w:val="right"/>
              <w:rPr/>
            </w:pPr>
            <w:r>
              <w:rPr/>
              <w:t>-</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05" w:type="dxa"/>
            <w:tcBorders>
              <w:bottom w:val="double" w:sz="6" w:space="0" w:color="000000"/>
            </w:tcBorders>
            <w:shd w:fill="FFFFFF" w:val="clear"/>
            <w:tcMar>
              <w:bottom w:w="28" w:type="dxa"/>
            </w:tcMar>
            <w:vAlign w:val="center"/>
          </w:tcPr>
          <w:p>
            <w:pPr>
              <w:pStyle w:val="TableContents"/>
              <w:spacing w:before="0" w:after="283"/>
              <w:jc w:val="right"/>
              <w:rPr/>
            </w:pPr>
            <w:r>
              <w:rPr/>
              <w:t>(968,220</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101,972,596</w:t>
            </w:r>
          </w:p>
        </w:tc>
        <w:tc>
          <w:tcPr>
            <w:tcW w:w="292" w:type="dxa"/>
            <w:tcBorders/>
            <w:shd w:fill="FFFFFF" w:val="clear"/>
            <w:vAlign w:val="center"/>
          </w:tcPr>
          <w:p>
            <w:pPr>
              <w:pStyle w:val="TableContents"/>
              <w:spacing w:before="0" w:after="0"/>
              <w:ind w:left="0" w:right="0" w:hanging="0"/>
              <w:rPr/>
            </w:pPr>
            <w:r>
              <w:rPr/>
              <w:t> </w:t>
            </w:r>
          </w:p>
        </w:tc>
      </w:tr>
      <w:tr>
        <w:trPr/>
        <w:tc>
          <w:tcPr>
            <w:tcW w:w="3721"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88" w:type="dxa"/>
            <w:tcBorders/>
            <w:shd w:fill="CCEEFF" w:val="clear"/>
            <w:vAlign w:val="center"/>
          </w:tcPr>
          <w:p>
            <w:pPr>
              <w:pStyle w:val="TableContents"/>
              <w:spacing w:before="0" w:after="0"/>
              <w:ind w:left="0" w:right="0" w:hanging="0"/>
              <w:rPr/>
            </w:pPr>
            <w:r>
              <w:rPr/>
              <w:t> </w:t>
            </w:r>
          </w:p>
        </w:tc>
        <w:tc>
          <w:tcPr>
            <w:tcW w:w="594"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92" w:type="dxa"/>
            <w:tcBorders/>
            <w:shd w:fill="CCEEFF" w:val="clear"/>
            <w:vAlign w:val="center"/>
          </w:tcPr>
          <w:p>
            <w:pPr>
              <w:pStyle w:val="TableContents"/>
              <w:spacing w:before="0" w:after="0"/>
              <w:ind w:left="0" w:right="0" w:hanging="0"/>
              <w:rPr/>
            </w:pPr>
            <w:r>
              <w:rPr/>
              <w:t> </w:t>
            </w:r>
          </w:p>
        </w:tc>
      </w:tr>
      <w:tr>
        <w:trPr/>
        <w:tc>
          <w:tcPr>
            <w:tcW w:w="3721"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Loss ratio excluding the effect of catastrophes</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50.2</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288" w:type="dxa"/>
            <w:tcBorders/>
            <w:shd w:fill="FFFFFF" w:val="clear"/>
            <w:vAlign w:val="center"/>
          </w:tcPr>
          <w:p>
            <w:pPr>
              <w:pStyle w:val="TableContents"/>
              <w:spacing w:before="0" w:after="0"/>
              <w:ind w:left="0" w:right="0" w:hanging="0"/>
              <w:rPr/>
            </w:pPr>
            <w:r>
              <w:rPr/>
              <w:t> </w:t>
            </w:r>
          </w:p>
        </w:tc>
        <w:tc>
          <w:tcPr>
            <w:tcW w:w="594" w:type="dxa"/>
            <w:tcBorders/>
            <w:shd w:fill="FFFFFF" w:val="clear"/>
            <w:vAlign w:val="center"/>
          </w:tcPr>
          <w:p>
            <w:pPr>
              <w:pStyle w:val="TableContents"/>
              <w:spacing w:before="0" w:after="283"/>
              <w:jc w:val="right"/>
              <w:rPr/>
            </w:pPr>
            <w:r>
              <w:rPr/>
              <w:t>0.0</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0.5</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60.6</w:t>
            </w:r>
          </w:p>
        </w:tc>
        <w:tc>
          <w:tcPr>
            <w:tcW w:w="292" w:type="dxa"/>
            <w:tcBorders/>
            <w:shd w:fill="FFFFFF" w:val="clear"/>
            <w:vAlign w:val="center"/>
          </w:tcPr>
          <w:p>
            <w:pPr>
              <w:pStyle w:val="TableContents"/>
              <w:spacing w:before="0" w:after="283"/>
              <w:rPr/>
            </w:pPr>
            <w:r>
              <w:rPr/>
              <w:t>%</w:t>
            </w:r>
          </w:p>
        </w:tc>
      </w:tr>
      <w:tr>
        <w:trPr/>
        <w:tc>
          <w:tcPr>
            <w:tcW w:w="3721" w:type="dxa"/>
            <w:tcBorders/>
            <w:shd w:fill="CCEE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Catastrophe loss</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9.0</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28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94" w:type="dxa"/>
            <w:tcBorders>
              <w:bottom w:val="single" w:sz="2" w:space="0" w:color="000000"/>
            </w:tcBorders>
            <w:shd w:fill="CCEEFF" w:val="clear"/>
            <w:tcMar>
              <w:bottom w:w="28" w:type="dxa"/>
            </w:tcMar>
            <w:vAlign w:val="center"/>
          </w:tcPr>
          <w:p>
            <w:pPr>
              <w:pStyle w:val="TableContents"/>
              <w:spacing w:before="0" w:after="283"/>
              <w:jc w:val="right"/>
              <w:rPr/>
            </w:pPr>
            <w:r>
              <w:rPr/>
              <w:t>0.0</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CCEEFF" w:val="clear"/>
            <w:tcMar>
              <w:bottom w:w="28" w:type="dxa"/>
            </w:tcMar>
            <w:vAlign w:val="center"/>
          </w:tcPr>
          <w:p>
            <w:pPr>
              <w:pStyle w:val="TableContents"/>
              <w:spacing w:before="0" w:after="283"/>
              <w:jc w:val="right"/>
              <w:rPr/>
            </w:pPr>
            <w:r>
              <w:rPr/>
              <w:t>2.7</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10.3</w:t>
            </w:r>
          </w:p>
        </w:tc>
        <w:tc>
          <w:tcPr>
            <w:tcW w:w="292" w:type="dxa"/>
            <w:tcBorders/>
            <w:shd w:fill="CCEEFF" w:val="clear"/>
            <w:vAlign w:val="center"/>
          </w:tcPr>
          <w:p>
            <w:pPr>
              <w:pStyle w:val="TableContents"/>
              <w:spacing w:before="0" w:after="283"/>
              <w:rPr/>
            </w:pPr>
            <w:r>
              <w:rPr/>
              <w:t>%</w:t>
            </w:r>
          </w:p>
        </w:tc>
      </w:tr>
      <w:tr>
        <w:trPr/>
        <w:tc>
          <w:tcPr>
            <w:tcW w:w="3721"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Loss ratio</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59.2</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288" w:type="dxa"/>
            <w:tcBorders>
              <w:bottom w:val="double" w:sz="6" w:space="0" w:color="000000"/>
            </w:tcBorders>
            <w:shd w:fill="FFFFFF" w:val="clear"/>
            <w:tcMar>
              <w:bottom w:w="28" w:type="dxa"/>
            </w:tcMar>
            <w:vAlign w:val="center"/>
          </w:tcPr>
          <w:p>
            <w:pPr>
              <w:pStyle w:val="TableContents"/>
              <w:spacing w:before="0" w:after="0"/>
              <w:ind w:left="0" w:right="0" w:hanging="0"/>
              <w:rPr/>
            </w:pPr>
            <w:r>
              <w:rPr/>
              <w:t> </w:t>
            </w:r>
          </w:p>
        </w:tc>
        <w:tc>
          <w:tcPr>
            <w:tcW w:w="594" w:type="dxa"/>
            <w:tcBorders>
              <w:bottom w:val="double" w:sz="6" w:space="0" w:color="000000"/>
            </w:tcBorders>
            <w:shd w:fill="FFFFFF" w:val="clear"/>
            <w:tcMar>
              <w:bottom w:w="28" w:type="dxa"/>
            </w:tcMar>
            <w:vAlign w:val="center"/>
          </w:tcPr>
          <w:p>
            <w:pPr>
              <w:pStyle w:val="TableContents"/>
              <w:spacing w:before="0" w:after="283"/>
              <w:jc w:val="right"/>
              <w:rPr/>
            </w:pPr>
            <w:r>
              <w:rPr/>
              <w:t>0.0</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double" w:sz="6" w:space="0" w:color="000000"/>
            </w:tcBorders>
            <w:shd w:fill="FFFFFF" w:val="clear"/>
            <w:tcMar>
              <w:bottom w:w="28" w:type="dxa"/>
            </w:tcMar>
            <w:vAlign w:val="center"/>
          </w:tcPr>
          <w:p>
            <w:pPr>
              <w:pStyle w:val="TableContents"/>
              <w:spacing w:before="0" w:after="283"/>
              <w:jc w:val="right"/>
              <w:rPr/>
            </w:pPr>
            <w:r>
              <w:rPr/>
              <w:t>3.2</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70.9</w:t>
            </w:r>
          </w:p>
        </w:tc>
        <w:tc>
          <w:tcPr>
            <w:tcW w:w="292" w:type="dxa"/>
            <w:tcBorders/>
            <w:shd w:fill="FFFFFF" w:val="clear"/>
            <w:vAlign w:val="center"/>
          </w:tcPr>
          <w:p>
            <w:pPr>
              <w:pStyle w:val="TableContents"/>
              <w:spacing w:before="0" w:after="283"/>
              <w:rPr/>
            </w:pPr>
            <w:r>
              <w:rPr/>
              <w:t>%</w:t>
            </w:r>
          </w:p>
        </w:tc>
      </w:tr>
    </w:tbl>
    <w:p>
      <w:pPr>
        <w:pStyle w:val="TextBody"/>
        <w:spacing w:before="0" w:after="0"/>
        <w:ind w:left="0" w:right="0" w:hanging="0"/>
        <w:jc w:val="both"/>
        <w:rPr/>
      </w:pPr>
      <w:r>
        <w:rPr/>
        <w:t> </w:t>
      </w:r>
    </w:p>
    <w:p>
      <w:pPr>
        <w:pStyle w:val="TextBody"/>
        <w:spacing w:before="0" w:after="0"/>
        <w:ind w:left="0" w:right="0" w:firstLine="720"/>
        <w:jc w:val="center"/>
        <w:rPr/>
      </w:pPr>
      <w:r>
        <w:rPr>
          <w:rStyle w:val="Emphasis"/>
          <w:rFonts w:ascii="times new roman" w:hAnsi="times new roman"/>
          <w:sz w:val="20"/>
        </w:rPr>
        <w:t>(Percentage components may not sum to totals due to rounding)</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45</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360" w:right="0" w:firstLine="360"/>
        <w:jc w:val="both"/>
        <w:rPr>
          <w:rFonts w:ascii="times new roman" w:hAnsi="times new roman"/>
          <w:sz w:val="20"/>
        </w:rPr>
      </w:pPr>
      <w:r>
        <w:rPr>
          <w:rFonts w:ascii="times new roman" w:hAnsi="times new roman"/>
          <w:sz w:val="20"/>
        </w:rPr>
        <w:t>The key measures for our insurance underwriting business for the years ended December 31, 2022 and 2021 are as follows:</w:t>
      </w:r>
    </w:p>
    <w:p>
      <w:pPr>
        <w:pStyle w:val="TextBody"/>
        <w:spacing w:before="0" w:after="0"/>
        <w:ind w:left="360" w:right="0" w:firstLine="360"/>
        <w:jc w:val="both"/>
        <w:rPr/>
      </w:pPr>
      <w:r>
        <w:rPr/>
        <w:t> </w:t>
      </w:r>
    </w:p>
    <w:tbl>
      <w:tblPr>
        <w:tblW w:w="9250" w:type="dxa"/>
        <w:jc w:val="left"/>
        <w:tblInd w:w="0" w:type="dxa"/>
        <w:tblCellMar>
          <w:top w:w="0" w:type="dxa"/>
          <w:left w:w="0" w:type="dxa"/>
          <w:bottom w:w="0" w:type="dxa"/>
          <w:right w:w="0" w:type="dxa"/>
        </w:tblCellMar>
      </w:tblPr>
      <w:tblGrid>
        <w:gridCol w:w="5695"/>
        <w:gridCol w:w="90"/>
        <w:gridCol w:w="170"/>
        <w:gridCol w:w="1250"/>
        <w:gridCol w:w="245"/>
        <w:gridCol w:w="90"/>
        <w:gridCol w:w="170"/>
        <w:gridCol w:w="1250"/>
        <w:gridCol w:w="290"/>
      </w:tblGrid>
      <w:tr>
        <w:trPr/>
        <w:tc>
          <w:tcPr>
            <w:tcW w:w="569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175" w:type="dxa"/>
            <w:gridSpan w:val="6"/>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Years ended </w:t>
            </w:r>
          </w:p>
        </w:tc>
        <w:tc>
          <w:tcPr>
            <w:tcW w:w="290" w:type="dxa"/>
            <w:tcBorders/>
            <w:shd w:fill="auto" w:val="clear"/>
            <w:vAlign w:val="center"/>
          </w:tcPr>
          <w:p>
            <w:pPr>
              <w:pStyle w:val="TableContents"/>
              <w:spacing w:before="0" w:after="0"/>
              <w:ind w:left="0" w:right="0" w:hanging="0"/>
              <w:rPr/>
            </w:pPr>
            <w:r>
              <w:rPr/>
              <w:t> </w:t>
            </w:r>
          </w:p>
        </w:tc>
      </w:tr>
      <w:tr>
        <w:trPr/>
        <w:tc>
          <w:tcPr>
            <w:tcW w:w="569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175"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December 31, </w:t>
            </w:r>
          </w:p>
        </w:tc>
        <w:tc>
          <w:tcPr>
            <w:tcW w:w="290" w:type="dxa"/>
            <w:tcBorders/>
            <w:shd w:fill="auto" w:val="clear"/>
            <w:vAlign w:val="center"/>
          </w:tcPr>
          <w:p>
            <w:pPr>
              <w:pStyle w:val="TableContents"/>
              <w:spacing w:before="0" w:after="0"/>
              <w:ind w:left="0" w:right="0" w:hanging="0"/>
              <w:rPr/>
            </w:pPr>
            <w:r>
              <w:rPr/>
              <w:t> </w:t>
            </w:r>
          </w:p>
        </w:tc>
      </w:tr>
      <w:tr>
        <w:trPr/>
        <w:tc>
          <w:tcPr>
            <w:tcW w:w="569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2022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2021 </w:t>
            </w:r>
          </w:p>
        </w:tc>
        <w:tc>
          <w:tcPr>
            <w:tcW w:w="290" w:type="dxa"/>
            <w:tcBorders/>
            <w:shd w:fill="auto" w:val="clear"/>
            <w:vAlign w:val="center"/>
          </w:tcPr>
          <w:p>
            <w:pPr>
              <w:pStyle w:val="TableContents"/>
              <w:spacing w:before="0" w:after="0"/>
              <w:ind w:left="0" w:right="0" w:hanging="0"/>
              <w:rPr/>
            </w:pPr>
            <w:r>
              <w:rPr/>
              <w:t> </w:t>
            </w:r>
          </w:p>
        </w:tc>
      </w:tr>
      <w:tr>
        <w:trPr/>
        <w:tc>
          <w:tcPr>
            <w:tcW w:w="569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290" w:type="dxa"/>
            <w:tcBorders/>
            <w:shd w:fill="auto" w:val="clear"/>
            <w:vAlign w:val="center"/>
          </w:tcPr>
          <w:p>
            <w:pPr>
              <w:pStyle w:val="TableContents"/>
              <w:spacing w:before="0" w:after="0"/>
              <w:ind w:left="0" w:right="0" w:hanging="0"/>
              <w:rPr/>
            </w:pPr>
            <w:r>
              <w:rPr/>
              <w:t> </w:t>
            </w:r>
          </w:p>
        </w:tc>
      </w:tr>
      <w:tr>
        <w:trPr/>
        <w:tc>
          <w:tcPr>
            <w:tcW w:w="569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Net premiums earned</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114,384,531</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143,881,719</w:t>
            </w:r>
          </w:p>
        </w:tc>
        <w:tc>
          <w:tcPr>
            <w:tcW w:w="290" w:type="dxa"/>
            <w:tcBorders/>
            <w:shd w:fill="CCEEFF" w:val="clear"/>
            <w:vAlign w:val="center"/>
          </w:tcPr>
          <w:p>
            <w:pPr>
              <w:pStyle w:val="TableContents"/>
              <w:spacing w:before="0" w:after="0"/>
              <w:ind w:left="0" w:right="0" w:hanging="0"/>
              <w:rPr/>
            </w:pPr>
            <w:r>
              <w:rPr/>
              <w:t> </w:t>
            </w:r>
          </w:p>
        </w:tc>
      </w:tr>
      <w:tr>
        <w:trPr/>
        <w:tc>
          <w:tcPr>
            <w:tcW w:w="569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Ceding commission revenue</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19,319,391</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89,681</w:t>
            </w:r>
          </w:p>
        </w:tc>
        <w:tc>
          <w:tcPr>
            <w:tcW w:w="290" w:type="dxa"/>
            <w:tcBorders/>
            <w:shd w:fill="FFFFFF" w:val="clear"/>
            <w:vAlign w:val="center"/>
          </w:tcPr>
          <w:p>
            <w:pPr>
              <w:pStyle w:val="TableContents"/>
              <w:spacing w:before="0" w:after="0"/>
              <w:ind w:left="0" w:right="0" w:hanging="0"/>
              <w:rPr/>
            </w:pPr>
            <w:r>
              <w:rPr/>
              <w:t> </w:t>
            </w:r>
          </w:p>
        </w:tc>
      </w:tr>
      <w:tr>
        <w:trPr/>
        <w:tc>
          <w:tcPr>
            <w:tcW w:w="569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Other income</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815,952</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849,155</w:t>
            </w:r>
          </w:p>
        </w:tc>
        <w:tc>
          <w:tcPr>
            <w:tcW w:w="290" w:type="dxa"/>
            <w:tcBorders/>
            <w:shd w:fill="CCEEFF" w:val="clear"/>
            <w:vAlign w:val="center"/>
          </w:tcPr>
          <w:p>
            <w:pPr>
              <w:pStyle w:val="TableContents"/>
              <w:spacing w:before="0" w:after="0"/>
              <w:ind w:left="0" w:right="0" w:hanging="0"/>
              <w:rPr/>
            </w:pPr>
            <w:r>
              <w:rPr/>
              <w:t> </w:t>
            </w:r>
          </w:p>
        </w:tc>
      </w:tr>
      <w:tr>
        <w:trPr/>
        <w:tc>
          <w:tcPr>
            <w:tcW w:w="569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90" w:type="dxa"/>
            <w:tcBorders/>
            <w:shd w:fill="FFFFFF" w:val="clear"/>
            <w:vAlign w:val="center"/>
          </w:tcPr>
          <w:p>
            <w:pPr>
              <w:pStyle w:val="TableContents"/>
              <w:spacing w:before="0" w:after="0"/>
              <w:ind w:left="0" w:right="0" w:hanging="0"/>
              <w:rPr/>
            </w:pPr>
            <w:r>
              <w:rPr/>
              <w:t> </w:t>
            </w:r>
          </w:p>
        </w:tc>
      </w:tr>
      <w:tr>
        <w:trPr/>
        <w:tc>
          <w:tcPr>
            <w:tcW w:w="569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Loss and loss adjustment expenses (1)</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88,390,042</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101,972,596</w:t>
            </w:r>
          </w:p>
        </w:tc>
        <w:tc>
          <w:tcPr>
            <w:tcW w:w="290" w:type="dxa"/>
            <w:tcBorders/>
            <w:shd w:fill="CCEEFF" w:val="clear"/>
            <w:vAlign w:val="center"/>
          </w:tcPr>
          <w:p>
            <w:pPr>
              <w:pStyle w:val="TableContents"/>
              <w:spacing w:before="0" w:after="0"/>
              <w:ind w:left="0" w:right="0" w:hanging="0"/>
              <w:rPr/>
            </w:pPr>
            <w:r>
              <w:rPr/>
              <w:t> </w:t>
            </w:r>
          </w:p>
        </w:tc>
      </w:tr>
      <w:tr>
        <w:trPr/>
        <w:tc>
          <w:tcPr>
            <w:tcW w:w="569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90" w:type="dxa"/>
            <w:tcBorders/>
            <w:shd w:fill="FFFFFF" w:val="clear"/>
            <w:vAlign w:val="center"/>
          </w:tcPr>
          <w:p>
            <w:pPr>
              <w:pStyle w:val="TableContents"/>
              <w:spacing w:before="0" w:after="0"/>
              <w:ind w:left="0" w:right="0" w:hanging="0"/>
              <w:rPr/>
            </w:pPr>
            <w:r>
              <w:rPr/>
              <w:t> </w:t>
            </w:r>
          </w:p>
        </w:tc>
      </w:tr>
      <w:tr>
        <w:trPr/>
        <w:tc>
          <w:tcPr>
            <w:tcW w:w="569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Acquisition costs and other underwriting expenses: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90" w:type="dxa"/>
            <w:tcBorders/>
            <w:shd w:fill="CCEEFF" w:val="clear"/>
            <w:vAlign w:val="center"/>
          </w:tcPr>
          <w:p>
            <w:pPr>
              <w:pStyle w:val="TableContents"/>
              <w:spacing w:before="0" w:after="0"/>
              <w:ind w:left="0" w:right="0" w:hanging="0"/>
              <w:rPr/>
            </w:pPr>
            <w:r>
              <w:rPr/>
              <w:t> </w:t>
            </w:r>
          </w:p>
        </w:tc>
      </w:tr>
      <w:tr>
        <w:trPr/>
        <w:tc>
          <w:tcPr>
            <w:tcW w:w="5695" w:type="dxa"/>
            <w:tcBorders/>
            <w:shd w:fill="FFFF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Commission expense</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34,581,617</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33,114,103</w:t>
            </w:r>
          </w:p>
        </w:tc>
        <w:tc>
          <w:tcPr>
            <w:tcW w:w="290" w:type="dxa"/>
            <w:tcBorders/>
            <w:shd w:fill="FFFFFF" w:val="clear"/>
            <w:vAlign w:val="center"/>
          </w:tcPr>
          <w:p>
            <w:pPr>
              <w:pStyle w:val="TableContents"/>
              <w:spacing w:before="0" w:after="0"/>
              <w:ind w:left="0" w:right="0" w:hanging="0"/>
              <w:rPr/>
            </w:pPr>
            <w:r>
              <w:rPr/>
              <w:t> </w:t>
            </w:r>
          </w:p>
        </w:tc>
      </w:tr>
      <w:tr>
        <w:trPr/>
        <w:tc>
          <w:tcPr>
            <w:tcW w:w="5695" w:type="dxa"/>
            <w:tcBorders/>
            <w:shd w:fill="CCEE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Other underwriting expenses</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26,697,006</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26,254,143</w:t>
            </w:r>
          </w:p>
        </w:tc>
        <w:tc>
          <w:tcPr>
            <w:tcW w:w="290" w:type="dxa"/>
            <w:tcBorders/>
            <w:shd w:fill="CCEEFF" w:val="clear"/>
            <w:vAlign w:val="center"/>
          </w:tcPr>
          <w:p>
            <w:pPr>
              <w:pStyle w:val="TableContents"/>
              <w:spacing w:before="0" w:after="0"/>
              <w:ind w:left="0" w:right="0" w:hanging="0"/>
              <w:rPr/>
            </w:pPr>
            <w:r>
              <w:rPr/>
              <w:t> </w:t>
            </w:r>
          </w:p>
        </w:tc>
      </w:tr>
      <w:tr>
        <w:trPr/>
        <w:tc>
          <w:tcPr>
            <w:tcW w:w="569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Total acquisition costs and other underwriting expenses</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61,278,623</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59,368,246</w:t>
            </w:r>
          </w:p>
        </w:tc>
        <w:tc>
          <w:tcPr>
            <w:tcW w:w="290" w:type="dxa"/>
            <w:tcBorders/>
            <w:shd w:fill="FFFFFF" w:val="clear"/>
            <w:vAlign w:val="center"/>
          </w:tcPr>
          <w:p>
            <w:pPr>
              <w:pStyle w:val="TableContents"/>
              <w:spacing w:before="0" w:after="0"/>
              <w:ind w:left="0" w:right="0" w:hanging="0"/>
              <w:rPr/>
            </w:pPr>
            <w:r>
              <w:rPr/>
              <w:t> </w:t>
            </w:r>
          </w:p>
        </w:tc>
      </w:tr>
      <w:tr>
        <w:trPr/>
        <w:tc>
          <w:tcPr>
            <w:tcW w:w="569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90" w:type="dxa"/>
            <w:tcBorders/>
            <w:shd w:fill="CCEEFF" w:val="clear"/>
            <w:vAlign w:val="center"/>
          </w:tcPr>
          <w:p>
            <w:pPr>
              <w:pStyle w:val="TableContents"/>
              <w:spacing w:before="0" w:after="0"/>
              <w:ind w:left="0" w:right="0" w:hanging="0"/>
              <w:rPr/>
            </w:pPr>
            <w:r>
              <w:rPr/>
              <w:t> </w:t>
            </w:r>
          </w:p>
        </w:tc>
      </w:tr>
      <w:tr>
        <w:trPr/>
        <w:tc>
          <w:tcPr>
            <w:tcW w:w="569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Underwriting loss</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(15,148,791</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(16,520,287</w:t>
            </w:r>
          </w:p>
        </w:tc>
        <w:tc>
          <w:tcPr>
            <w:tcW w:w="290" w:type="dxa"/>
            <w:tcBorders/>
            <w:shd w:fill="FFFFFF" w:val="clear"/>
            <w:vAlign w:val="center"/>
          </w:tcPr>
          <w:p>
            <w:pPr>
              <w:pStyle w:val="TableContents"/>
              <w:spacing w:before="0" w:after="283"/>
              <w:rPr/>
            </w:pPr>
            <w:r>
              <w:rPr/>
              <w:t>)</w:t>
            </w:r>
          </w:p>
        </w:tc>
      </w:tr>
      <w:tr>
        <w:trPr/>
        <w:tc>
          <w:tcPr>
            <w:tcW w:w="569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90" w:type="dxa"/>
            <w:tcBorders/>
            <w:shd w:fill="CCEEFF" w:val="clear"/>
            <w:vAlign w:val="center"/>
          </w:tcPr>
          <w:p>
            <w:pPr>
              <w:pStyle w:val="TableContents"/>
              <w:spacing w:before="0" w:after="0"/>
              <w:ind w:left="0" w:right="0" w:hanging="0"/>
              <w:rPr/>
            </w:pPr>
            <w:r>
              <w:rPr/>
              <w:t> </w:t>
            </w:r>
          </w:p>
        </w:tc>
      </w:tr>
      <w:tr>
        <w:trPr/>
        <w:tc>
          <w:tcPr>
            <w:tcW w:w="569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Key Measures:</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90" w:type="dxa"/>
            <w:tcBorders/>
            <w:shd w:fill="FFFFFF" w:val="clear"/>
            <w:vAlign w:val="center"/>
          </w:tcPr>
          <w:p>
            <w:pPr>
              <w:pStyle w:val="TableContents"/>
              <w:spacing w:before="0" w:after="0"/>
              <w:ind w:left="0" w:right="0" w:hanging="0"/>
              <w:rPr/>
            </w:pPr>
            <w:r>
              <w:rPr/>
              <w:t> </w:t>
            </w:r>
          </w:p>
        </w:tc>
      </w:tr>
      <w:tr>
        <w:trPr/>
        <w:tc>
          <w:tcPr>
            <w:tcW w:w="5695" w:type="dxa"/>
            <w:tcBorders/>
            <w:shd w:fill="CCEE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Net loss ratio excluding the effect of catastrophes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70.6</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60.6</w:t>
            </w:r>
          </w:p>
        </w:tc>
        <w:tc>
          <w:tcPr>
            <w:tcW w:w="290" w:type="dxa"/>
            <w:tcBorders/>
            <w:shd w:fill="CCEEFF" w:val="clear"/>
            <w:vAlign w:val="center"/>
          </w:tcPr>
          <w:p>
            <w:pPr>
              <w:pStyle w:val="TableContents"/>
              <w:spacing w:before="0" w:after="283"/>
              <w:rPr/>
            </w:pPr>
            <w:r>
              <w:rPr/>
              <w:t>%</w:t>
            </w:r>
          </w:p>
        </w:tc>
      </w:tr>
      <w:tr>
        <w:trPr/>
        <w:tc>
          <w:tcPr>
            <w:tcW w:w="5695" w:type="dxa"/>
            <w:tcBorders/>
            <w:shd w:fill="FFFF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Effect of catastrophe loss on net loss ratio (1)</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6.7</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10.3</w:t>
            </w:r>
          </w:p>
        </w:tc>
        <w:tc>
          <w:tcPr>
            <w:tcW w:w="290" w:type="dxa"/>
            <w:tcBorders/>
            <w:shd w:fill="FFFFFF" w:val="clear"/>
            <w:vAlign w:val="center"/>
          </w:tcPr>
          <w:p>
            <w:pPr>
              <w:pStyle w:val="TableContents"/>
              <w:spacing w:before="0" w:after="283"/>
              <w:rPr/>
            </w:pPr>
            <w:r>
              <w:rPr/>
              <w:t>%</w:t>
            </w:r>
          </w:p>
        </w:tc>
      </w:tr>
      <w:tr>
        <w:trPr/>
        <w:tc>
          <w:tcPr>
            <w:tcW w:w="5695" w:type="dxa"/>
            <w:tcBorders/>
            <w:shd w:fill="CCEE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Net loss ratio</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77.3</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70.9</w:t>
            </w:r>
          </w:p>
        </w:tc>
        <w:tc>
          <w:tcPr>
            <w:tcW w:w="290" w:type="dxa"/>
            <w:tcBorders/>
            <w:shd w:fill="CCEEFF" w:val="clear"/>
            <w:vAlign w:val="center"/>
          </w:tcPr>
          <w:p>
            <w:pPr>
              <w:pStyle w:val="TableContents"/>
              <w:spacing w:before="0" w:after="283"/>
              <w:rPr/>
            </w:pPr>
            <w:r>
              <w:rPr/>
              <w:t>%</w:t>
            </w:r>
          </w:p>
        </w:tc>
      </w:tr>
      <w:tr>
        <w:trPr/>
        <w:tc>
          <w:tcPr>
            <w:tcW w:w="569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90" w:type="dxa"/>
            <w:tcBorders/>
            <w:shd w:fill="FFFFFF" w:val="clear"/>
            <w:vAlign w:val="center"/>
          </w:tcPr>
          <w:p>
            <w:pPr>
              <w:pStyle w:val="TableContents"/>
              <w:spacing w:before="0" w:after="0"/>
              <w:ind w:left="0" w:right="0" w:hanging="0"/>
              <w:rPr/>
            </w:pPr>
            <w:r>
              <w:rPr/>
              <w:t> </w:t>
            </w:r>
          </w:p>
        </w:tc>
      </w:tr>
      <w:tr>
        <w:trPr/>
        <w:tc>
          <w:tcPr>
            <w:tcW w:w="5695" w:type="dxa"/>
            <w:tcBorders/>
            <w:shd w:fill="CCEE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Net underwriting expense ratio excluding the effect of catastrophes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36.0</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40.6</w:t>
            </w:r>
          </w:p>
        </w:tc>
        <w:tc>
          <w:tcPr>
            <w:tcW w:w="290" w:type="dxa"/>
            <w:tcBorders/>
            <w:shd w:fill="CCEEFF" w:val="clear"/>
            <w:vAlign w:val="center"/>
          </w:tcPr>
          <w:p>
            <w:pPr>
              <w:pStyle w:val="TableContents"/>
              <w:spacing w:before="0" w:after="283"/>
              <w:rPr/>
            </w:pPr>
            <w:r>
              <w:rPr/>
              <w:t>%</w:t>
            </w:r>
          </w:p>
        </w:tc>
      </w:tr>
      <w:tr>
        <w:trPr/>
        <w:tc>
          <w:tcPr>
            <w:tcW w:w="5695" w:type="dxa"/>
            <w:tcBorders/>
            <w:shd w:fill="FFFF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Effect of catastrophe loss on net underwriting expense ratio</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0.0</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0.0</w:t>
            </w:r>
          </w:p>
        </w:tc>
        <w:tc>
          <w:tcPr>
            <w:tcW w:w="290" w:type="dxa"/>
            <w:tcBorders/>
            <w:shd w:fill="FFFFFF" w:val="clear"/>
            <w:vAlign w:val="center"/>
          </w:tcPr>
          <w:p>
            <w:pPr>
              <w:pStyle w:val="TableContents"/>
              <w:spacing w:before="0" w:after="283"/>
              <w:rPr/>
            </w:pPr>
            <w:r>
              <w:rPr/>
              <w:t>%</w:t>
            </w:r>
          </w:p>
        </w:tc>
      </w:tr>
      <w:tr>
        <w:trPr/>
        <w:tc>
          <w:tcPr>
            <w:tcW w:w="5695" w:type="dxa"/>
            <w:tcBorders/>
            <w:shd w:fill="CCEE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Net underwriting expense ratio</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36.0</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40.6</w:t>
            </w:r>
          </w:p>
        </w:tc>
        <w:tc>
          <w:tcPr>
            <w:tcW w:w="290" w:type="dxa"/>
            <w:tcBorders/>
            <w:shd w:fill="CCEEFF" w:val="clear"/>
            <w:vAlign w:val="center"/>
          </w:tcPr>
          <w:p>
            <w:pPr>
              <w:pStyle w:val="TableContents"/>
              <w:spacing w:before="0" w:after="283"/>
              <w:rPr/>
            </w:pPr>
            <w:r>
              <w:rPr/>
              <w:t>%</w:t>
            </w:r>
          </w:p>
        </w:tc>
      </w:tr>
      <w:tr>
        <w:trPr/>
        <w:tc>
          <w:tcPr>
            <w:tcW w:w="569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c>
          <w:tcPr>
            <w:tcW w:w="1250" w:type="dxa"/>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c>
          <w:tcPr>
            <w:tcW w:w="1250" w:type="dxa"/>
            <w:tcBorders/>
            <w:shd w:fill="auto" w:val="clear"/>
            <w:vAlign w:val="center"/>
          </w:tcPr>
          <w:p>
            <w:pPr>
              <w:pStyle w:val="TableContents"/>
              <w:spacing w:before="0" w:after="0"/>
              <w:ind w:left="0" w:right="0" w:hanging="0"/>
              <w:rPr/>
            </w:pPr>
            <w:r>
              <w:rPr/>
              <w:t> </w:t>
            </w:r>
          </w:p>
        </w:tc>
        <w:tc>
          <w:tcPr>
            <w:tcW w:w="290" w:type="dxa"/>
            <w:tcBorders/>
            <w:shd w:fill="auto" w:val="clear"/>
            <w:vAlign w:val="center"/>
          </w:tcPr>
          <w:p>
            <w:pPr>
              <w:pStyle w:val="TableContents"/>
              <w:spacing w:before="0" w:after="0"/>
              <w:ind w:left="0" w:right="0" w:hanging="0"/>
              <w:rPr/>
            </w:pPr>
            <w:r>
              <w:rPr/>
              <w:t> </w:t>
            </w:r>
          </w:p>
        </w:tc>
      </w:tr>
      <w:tr>
        <w:trPr/>
        <w:tc>
          <w:tcPr>
            <w:tcW w:w="5695" w:type="dxa"/>
            <w:tcBorders/>
            <w:shd w:fill="FFFF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Net combined ratio excluding the effect of catastrophes</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106.6</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101.2</w:t>
            </w:r>
          </w:p>
        </w:tc>
        <w:tc>
          <w:tcPr>
            <w:tcW w:w="290" w:type="dxa"/>
            <w:tcBorders/>
            <w:shd w:fill="FFFFFF" w:val="clear"/>
            <w:vAlign w:val="center"/>
          </w:tcPr>
          <w:p>
            <w:pPr>
              <w:pStyle w:val="TableContents"/>
              <w:spacing w:before="0" w:after="283"/>
              <w:rPr/>
            </w:pPr>
            <w:r>
              <w:rPr/>
              <w:t>%</w:t>
            </w:r>
          </w:p>
        </w:tc>
      </w:tr>
      <w:tr>
        <w:trPr/>
        <w:tc>
          <w:tcPr>
            <w:tcW w:w="5695" w:type="dxa"/>
            <w:tcBorders/>
            <w:shd w:fill="CCEE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Effect of catastrophe loss on net combined ratio (1)</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6.7</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10.3</w:t>
            </w:r>
          </w:p>
        </w:tc>
        <w:tc>
          <w:tcPr>
            <w:tcW w:w="290" w:type="dxa"/>
            <w:tcBorders/>
            <w:shd w:fill="CCEEFF" w:val="clear"/>
            <w:vAlign w:val="center"/>
          </w:tcPr>
          <w:p>
            <w:pPr>
              <w:pStyle w:val="TableContents"/>
              <w:spacing w:before="0" w:after="283"/>
              <w:rPr/>
            </w:pPr>
            <w:r>
              <w:rPr/>
              <w:t>%</w:t>
            </w:r>
          </w:p>
        </w:tc>
      </w:tr>
      <w:tr>
        <w:trPr/>
        <w:tc>
          <w:tcPr>
            <w:tcW w:w="5695" w:type="dxa"/>
            <w:tcBorders/>
            <w:shd w:fill="FFFF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Net combined ratio</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113.3</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111.5</w:t>
            </w:r>
          </w:p>
        </w:tc>
        <w:tc>
          <w:tcPr>
            <w:tcW w:w="290" w:type="dxa"/>
            <w:tcBorders/>
            <w:shd w:fill="FFFFFF" w:val="clear"/>
            <w:vAlign w:val="center"/>
          </w:tcPr>
          <w:p>
            <w:pPr>
              <w:pStyle w:val="TableContents"/>
              <w:spacing w:before="0" w:after="283"/>
              <w:rPr/>
            </w:pPr>
            <w:r>
              <w:rPr/>
              <w:t>%</w:t>
            </w:r>
          </w:p>
        </w:tc>
      </w:tr>
      <w:tr>
        <w:trPr/>
        <w:tc>
          <w:tcPr>
            <w:tcW w:w="569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90" w:type="dxa"/>
            <w:tcBorders/>
            <w:shd w:fill="CCEEFF" w:val="clear"/>
            <w:vAlign w:val="center"/>
          </w:tcPr>
          <w:p>
            <w:pPr>
              <w:pStyle w:val="TableContents"/>
              <w:spacing w:before="0" w:after="0"/>
              <w:ind w:left="0" w:right="0" w:hanging="0"/>
              <w:rPr/>
            </w:pPr>
            <w:r>
              <w:rPr/>
              <w:t> </w:t>
            </w:r>
          </w:p>
        </w:tc>
      </w:tr>
      <w:tr>
        <w:trPr/>
        <w:tc>
          <w:tcPr>
            <w:tcW w:w="5695" w:type="dxa"/>
            <w:tcBorders/>
            <w:shd w:fill="FFFF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Reconciliation of net underwriting expense ratio:</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90" w:type="dxa"/>
            <w:tcBorders/>
            <w:shd w:fill="FFFFFF" w:val="clear"/>
            <w:vAlign w:val="center"/>
          </w:tcPr>
          <w:p>
            <w:pPr>
              <w:pStyle w:val="TableContents"/>
              <w:spacing w:before="0" w:after="0"/>
              <w:ind w:left="0" w:right="0" w:hanging="0"/>
              <w:rPr/>
            </w:pPr>
            <w:r>
              <w:rPr/>
              <w:t> </w:t>
            </w:r>
          </w:p>
        </w:tc>
      </w:tr>
      <w:tr>
        <w:trPr/>
        <w:tc>
          <w:tcPr>
            <w:tcW w:w="5695" w:type="dxa"/>
            <w:tcBorders/>
            <w:shd w:fill="CCEEFF" w:val="clear"/>
            <w:vAlign w:val="center"/>
          </w:tcPr>
          <w:p>
            <w:pPr>
              <w:pStyle w:val="TableContents"/>
              <w:spacing w:before="0" w:after="283"/>
              <w:rPr>
                <w:sz w:val="4"/>
                <w:szCs w:val="4"/>
              </w:rPr>
            </w:pPr>
            <w:r>
              <w:rPr>
                <w:sz w:val="4"/>
                <w:szCs w:val="4"/>
              </w:rPr>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90" w:type="dxa"/>
            <w:tcBorders/>
            <w:shd w:fill="CCEEFF" w:val="clear"/>
            <w:vAlign w:val="center"/>
          </w:tcPr>
          <w:p>
            <w:pPr>
              <w:pStyle w:val="TableContents"/>
              <w:spacing w:before="0" w:after="0"/>
              <w:ind w:left="0" w:right="0" w:hanging="0"/>
              <w:rPr/>
            </w:pPr>
            <w:r>
              <w:rPr/>
              <w:t> </w:t>
            </w:r>
          </w:p>
        </w:tc>
      </w:tr>
      <w:tr>
        <w:trPr/>
        <w:tc>
          <w:tcPr>
            <w:tcW w:w="5695" w:type="dxa"/>
            <w:tcBorders/>
            <w:shd w:fill="FFFF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Acquisition costs and other underwriting expenses</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61,278,623</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59,368,246</w:t>
            </w:r>
          </w:p>
        </w:tc>
        <w:tc>
          <w:tcPr>
            <w:tcW w:w="290" w:type="dxa"/>
            <w:tcBorders/>
            <w:shd w:fill="FFFFFF" w:val="clear"/>
            <w:vAlign w:val="center"/>
          </w:tcPr>
          <w:p>
            <w:pPr>
              <w:pStyle w:val="TableContents"/>
              <w:spacing w:before="0" w:after="0"/>
              <w:ind w:left="0" w:right="0" w:hanging="0"/>
              <w:rPr/>
            </w:pPr>
            <w:r>
              <w:rPr/>
              <w:t> </w:t>
            </w:r>
          </w:p>
        </w:tc>
      </w:tr>
      <w:tr>
        <w:trPr/>
        <w:tc>
          <w:tcPr>
            <w:tcW w:w="5695" w:type="dxa"/>
            <w:tcBorders/>
            <w:shd w:fill="CCEE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Less: Ceding commission revenue</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(19,319,391</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(89,681</w:t>
            </w:r>
          </w:p>
        </w:tc>
        <w:tc>
          <w:tcPr>
            <w:tcW w:w="290" w:type="dxa"/>
            <w:tcBorders/>
            <w:shd w:fill="CCEEFF" w:val="clear"/>
            <w:vAlign w:val="center"/>
          </w:tcPr>
          <w:p>
            <w:pPr>
              <w:pStyle w:val="TableContents"/>
              <w:spacing w:before="0" w:after="283"/>
              <w:rPr/>
            </w:pPr>
            <w:r>
              <w:rPr/>
              <w:t>)</w:t>
            </w:r>
          </w:p>
        </w:tc>
      </w:tr>
      <w:tr>
        <w:trPr/>
        <w:tc>
          <w:tcPr>
            <w:tcW w:w="5695" w:type="dxa"/>
            <w:tcBorders/>
            <w:shd w:fill="FFFF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Less: Other income</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(815,952</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(849,155</w:t>
            </w:r>
          </w:p>
        </w:tc>
        <w:tc>
          <w:tcPr>
            <w:tcW w:w="290" w:type="dxa"/>
            <w:tcBorders/>
            <w:shd w:fill="FFFFFF" w:val="clear"/>
            <w:vAlign w:val="center"/>
          </w:tcPr>
          <w:p>
            <w:pPr>
              <w:pStyle w:val="TableContents"/>
              <w:spacing w:before="0" w:after="283"/>
              <w:rPr/>
            </w:pPr>
            <w:r>
              <w:rPr/>
              <w:t>)</w:t>
            </w:r>
          </w:p>
        </w:tc>
      </w:tr>
      <w:tr>
        <w:trPr/>
        <w:tc>
          <w:tcPr>
            <w:tcW w:w="569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41,143,280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58,429,410</w:t>
            </w:r>
          </w:p>
        </w:tc>
        <w:tc>
          <w:tcPr>
            <w:tcW w:w="290" w:type="dxa"/>
            <w:tcBorders/>
            <w:shd w:fill="CCEEFF" w:val="clear"/>
            <w:vAlign w:val="center"/>
          </w:tcPr>
          <w:p>
            <w:pPr>
              <w:pStyle w:val="TableContents"/>
              <w:spacing w:before="0" w:after="0"/>
              <w:ind w:left="0" w:right="0" w:hanging="0"/>
              <w:rPr/>
            </w:pPr>
            <w:r>
              <w:rPr/>
              <w:t> </w:t>
            </w:r>
          </w:p>
        </w:tc>
      </w:tr>
      <w:tr>
        <w:trPr/>
        <w:tc>
          <w:tcPr>
            <w:tcW w:w="569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90" w:type="dxa"/>
            <w:tcBorders/>
            <w:shd w:fill="FFFFFF" w:val="clear"/>
            <w:vAlign w:val="center"/>
          </w:tcPr>
          <w:p>
            <w:pPr>
              <w:pStyle w:val="TableContents"/>
              <w:spacing w:before="0" w:after="0"/>
              <w:ind w:left="0" w:right="0" w:hanging="0"/>
              <w:rPr/>
            </w:pPr>
            <w:r>
              <w:rPr/>
              <w:t> </w:t>
            </w:r>
          </w:p>
        </w:tc>
      </w:tr>
      <w:tr>
        <w:trPr/>
        <w:tc>
          <w:tcPr>
            <w:tcW w:w="5695" w:type="dxa"/>
            <w:tcBorders/>
            <w:shd w:fill="CCEE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Net earned premium</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114,384,531</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143,881,719</w:t>
            </w:r>
          </w:p>
        </w:tc>
        <w:tc>
          <w:tcPr>
            <w:tcW w:w="290" w:type="dxa"/>
            <w:tcBorders/>
            <w:shd w:fill="CCEEFF" w:val="clear"/>
            <w:vAlign w:val="center"/>
          </w:tcPr>
          <w:p>
            <w:pPr>
              <w:pStyle w:val="TableContents"/>
              <w:spacing w:before="0" w:after="0"/>
              <w:ind w:left="0" w:right="0" w:hanging="0"/>
              <w:rPr/>
            </w:pPr>
            <w:r>
              <w:rPr/>
              <w:t> </w:t>
            </w:r>
          </w:p>
        </w:tc>
      </w:tr>
      <w:tr>
        <w:trPr/>
        <w:tc>
          <w:tcPr>
            <w:tcW w:w="569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90" w:type="dxa"/>
            <w:tcBorders/>
            <w:shd w:fill="FFFFFF" w:val="clear"/>
            <w:vAlign w:val="center"/>
          </w:tcPr>
          <w:p>
            <w:pPr>
              <w:pStyle w:val="TableContents"/>
              <w:spacing w:before="0" w:after="0"/>
              <w:ind w:left="0" w:right="0" w:hanging="0"/>
              <w:rPr/>
            </w:pPr>
            <w:r>
              <w:rPr/>
              <w:t> </w:t>
            </w:r>
          </w:p>
        </w:tc>
      </w:tr>
      <w:tr>
        <w:trPr/>
        <w:tc>
          <w:tcPr>
            <w:tcW w:w="5695" w:type="dxa"/>
            <w:tcBorders/>
            <w:shd w:fill="CCEE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Net Underwriting Expense Ratio</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36.0</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40.6</w:t>
            </w:r>
          </w:p>
        </w:tc>
        <w:tc>
          <w:tcPr>
            <w:tcW w:w="290" w:type="dxa"/>
            <w:tcBorders/>
            <w:shd w:fill="CCEEFF" w:val="clear"/>
            <w:vAlign w:val="center"/>
          </w:tcPr>
          <w:p>
            <w:pPr>
              <w:pStyle w:val="TableContents"/>
              <w:spacing w:before="0" w:after="283"/>
              <w:rPr/>
            </w:pPr>
            <w:r>
              <w:rPr/>
              <w:t>%</w:t>
            </w:r>
          </w:p>
        </w:tc>
      </w:tr>
    </w:tbl>
    <w:p>
      <w:pPr>
        <w:pStyle w:val="TextBody"/>
        <w:spacing w:before="0" w:after="0"/>
        <w:ind w:left="360" w:right="0" w:hanging="0"/>
        <w:jc w:val="center"/>
        <w:rPr/>
      </w:pPr>
      <w:r>
        <w:rPr/>
        <w:t> </w:t>
      </w:r>
    </w:p>
    <w:tbl>
      <w:tblPr>
        <w:tblW w:w="10205" w:type="dxa"/>
        <w:jc w:val="left"/>
        <w:tblInd w:w="0" w:type="dxa"/>
        <w:tblCellMar>
          <w:top w:w="0" w:type="dxa"/>
          <w:left w:w="0" w:type="dxa"/>
          <w:bottom w:w="0" w:type="dxa"/>
          <w:right w:w="0" w:type="dxa"/>
        </w:tblCellMar>
      </w:tblPr>
      <w:tblGrid>
        <w:gridCol w:w="105"/>
        <w:gridCol w:w="540"/>
        <w:gridCol w:w="9560"/>
      </w:tblGrid>
      <w:tr>
        <w:trPr/>
        <w:tc>
          <w:tcPr>
            <w:tcW w:w="105" w:type="dxa"/>
            <w:tcBorders/>
            <w:shd w:fill="auto" w:val="clear"/>
            <w:vAlign w:val="center"/>
          </w:tcPr>
          <w:p>
            <w:pPr>
              <w:pStyle w:val="TableContents"/>
              <w:spacing w:before="0" w:after="0"/>
              <w:ind w:left="0" w:right="0" w:hanging="0"/>
              <w:rPr/>
            </w:pPr>
            <w:r>
              <w:rPr/>
              <w:t> </w:t>
            </w:r>
          </w:p>
        </w:tc>
        <w:tc>
          <w:tcPr>
            <w:tcW w:w="540"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560"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For the years ended December 31, 2022 and 2021, includes the sum of net catastrophe losses and loss adjustment expenses of $7,631,851 and $14,819,546, respectively.</w:t>
            </w:r>
          </w:p>
        </w:tc>
      </w:tr>
      <w:tr>
        <w:trPr/>
        <w:tc>
          <w:tcPr>
            <w:tcW w:w="105" w:type="dxa"/>
            <w:tcBorders/>
            <w:shd w:fill="auto" w:val="clear"/>
            <w:vAlign w:val="center"/>
          </w:tcPr>
          <w:p>
            <w:pPr>
              <w:pStyle w:val="TableContents"/>
              <w:spacing w:before="0" w:after="0"/>
              <w:ind w:left="0" w:right="0" w:hanging="0"/>
              <w:rPr/>
            </w:pPr>
            <w:r>
              <w:rPr/>
              <w:t> </w:t>
            </w:r>
          </w:p>
        </w:tc>
        <w:tc>
          <w:tcPr>
            <w:tcW w:w="540" w:type="dxa"/>
            <w:tcBorders/>
            <w:shd w:fill="auto" w:val="clear"/>
            <w:vAlign w:val="center"/>
          </w:tcPr>
          <w:p>
            <w:pPr>
              <w:pStyle w:val="TableContents"/>
              <w:spacing w:before="0" w:after="0"/>
              <w:ind w:left="0" w:right="0" w:firstLine="450"/>
              <w:rPr/>
            </w:pPr>
            <w:r>
              <w:rPr/>
              <w:t> </w:t>
            </w:r>
          </w:p>
        </w:tc>
        <w:tc>
          <w:tcPr>
            <w:tcW w:w="9560" w:type="dxa"/>
            <w:tcBorders/>
            <w:shd w:fill="auto" w:val="clear"/>
            <w:vAlign w:val="center"/>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46</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both"/>
        <w:rPr/>
      </w:pPr>
      <w:r>
        <w:rPr>
          <w:rStyle w:val="StrongEmphasis"/>
          <w:rFonts w:ascii="times new roman" w:hAnsi="times new roman"/>
          <w:sz w:val="20"/>
        </w:rPr>
        <w:t>Investments</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Portfolio Summary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presents a breakdown of the amortized cost, estimated fair value, and unrealized gains and losses of our investments in fixed-maturity securities classified as available-for-sale as of December 31, 2022 and 2021:</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u w:val="single"/>
        </w:rPr>
      </w:pPr>
      <w:r>
        <w:rPr>
          <w:rFonts w:ascii="times new roman" w:hAnsi="times new roman"/>
          <w:sz w:val="20"/>
          <w:u w:val="single"/>
        </w:rPr>
        <w:t>Available-for-Sale Securities</w:t>
      </w:r>
    </w:p>
    <w:p>
      <w:pPr>
        <w:pStyle w:val="TextBody"/>
        <w:spacing w:before="0" w:after="0"/>
        <w:ind w:left="0" w:right="0" w:firstLine="720"/>
        <w:jc w:val="both"/>
        <w:rPr/>
      </w:pPr>
      <w:r>
        <w:rPr/>
        <w:t> </w:t>
      </w:r>
    </w:p>
    <w:tbl>
      <w:tblPr>
        <w:tblW w:w="10915" w:type="dxa"/>
        <w:jc w:val="left"/>
        <w:tblInd w:w="0" w:type="dxa"/>
        <w:tblCellMar>
          <w:top w:w="0" w:type="dxa"/>
          <w:left w:w="0" w:type="dxa"/>
          <w:bottom w:w="0" w:type="dxa"/>
          <w:right w:w="0" w:type="dxa"/>
        </w:tblCellMar>
      </w:tblPr>
      <w:tblGrid>
        <w:gridCol w:w="2105"/>
        <w:gridCol w:w="90"/>
        <w:gridCol w:w="170"/>
        <w:gridCol w:w="1250"/>
        <w:gridCol w:w="90"/>
        <w:gridCol w:w="90"/>
        <w:gridCol w:w="209"/>
        <w:gridCol w:w="876"/>
        <w:gridCol w:w="90"/>
        <w:gridCol w:w="90"/>
        <w:gridCol w:w="170"/>
        <w:gridCol w:w="1085"/>
        <w:gridCol w:w="125"/>
        <w:gridCol w:w="90"/>
        <w:gridCol w:w="170"/>
        <w:gridCol w:w="1205"/>
        <w:gridCol w:w="125"/>
        <w:gridCol w:w="90"/>
        <w:gridCol w:w="170"/>
        <w:gridCol w:w="1250"/>
        <w:gridCol w:w="90"/>
        <w:gridCol w:w="90"/>
        <w:gridCol w:w="119"/>
        <w:gridCol w:w="786"/>
        <w:gridCol w:w="290"/>
      </w:tblGrid>
      <w:tr>
        <w:trPr/>
        <w:tc>
          <w:tcPr>
            <w:tcW w:w="210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430" w:type="dxa"/>
            <w:gridSpan w:val="2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2022</w:t>
            </w:r>
          </w:p>
        </w:tc>
        <w:tc>
          <w:tcPr>
            <w:tcW w:w="290" w:type="dxa"/>
            <w:tcBorders/>
            <w:shd w:fill="auto" w:val="clear"/>
            <w:vAlign w:val="center"/>
          </w:tcPr>
          <w:p>
            <w:pPr>
              <w:pStyle w:val="TableContents"/>
              <w:spacing w:before="0" w:after="0"/>
              <w:ind w:left="0" w:right="0" w:hanging="0"/>
              <w:rPr/>
            </w:pPr>
            <w:r>
              <w:rPr/>
              <w:t> </w:t>
            </w:r>
          </w:p>
        </w:tc>
      </w:tr>
      <w:tr>
        <w:trPr/>
        <w:tc>
          <w:tcPr>
            <w:tcW w:w="210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85"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55"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5" w:type="dxa"/>
            <w:gridSpan w:val="2"/>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0"/>
              <w:ind w:left="0" w:right="0" w:hanging="0"/>
              <w:rPr/>
            </w:pPr>
            <w:r>
              <w:rPr/>
              <w:t> </w:t>
            </w:r>
          </w:p>
        </w:tc>
      </w:tr>
      <w:tr>
        <w:trPr/>
        <w:tc>
          <w:tcPr>
            <w:tcW w:w="210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Cost or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85"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Gross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845"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Gross Unrealized Losses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Estimated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5"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of</w:t>
            </w:r>
          </w:p>
        </w:tc>
        <w:tc>
          <w:tcPr>
            <w:tcW w:w="290" w:type="dxa"/>
            <w:tcBorders/>
            <w:shd w:fill="auto" w:val="clear"/>
            <w:vAlign w:val="center"/>
          </w:tcPr>
          <w:p>
            <w:pPr>
              <w:pStyle w:val="TableContents"/>
              <w:spacing w:before="0" w:after="0"/>
              <w:ind w:left="0" w:right="0" w:hanging="0"/>
              <w:rPr/>
            </w:pPr>
            <w:r>
              <w:rPr/>
              <w:t> </w:t>
            </w:r>
          </w:p>
        </w:tc>
      </w:tr>
      <w:tr>
        <w:trPr/>
        <w:tc>
          <w:tcPr>
            <w:tcW w:w="210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Amortized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85"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Unrealized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55"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Less than 12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More than 12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Fair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5"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Estimated</w:t>
            </w:r>
          </w:p>
        </w:tc>
        <w:tc>
          <w:tcPr>
            <w:tcW w:w="290" w:type="dxa"/>
            <w:tcBorders/>
            <w:shd w:fill="auto" w:val="clear"/>
            <w:vAlign w:val="center"/>
          </w:tcPr>
          <w:p>
            <w:pPr>
              <w:pStyle w:val="TableContents"/>
              <w:spacing w:before="0" w:after="0"/>
              <w:ind w:left="0" w:right="0" w:hanging="0"/>
              <w:rPr/>
            </w:pPr>
            <w:r>
              <w:rPr/>
              <w:t> </w:t>
            </w:r>
          </w:p>
        </w:tc>
      </w:tr>
      <w:tr>
        <w:trPr/>
        <w:tc>
          <w:tcPr>
            <w:tcW w:w="2105"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Fonts w:ascii="times new roman" w:hAnsi="times new roman"/>
                <w:sz w:val="20"/>
              </w:rPr>
              <w:t xml:space="preserve">Category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Cost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Gains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5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Months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Months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Value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Fair Value</w:t>
            </w:r>
          </w:p>
        </w:tc>
        <w:tc>
          <w:tcPr>
            <w:tcW w:w="290" w:type="dxa"/>
            <w:tcBorders/>
            <w:shd w:fill="auto" w:val="clear"/>
            <w:vAlign w:val="center"/>
          </w:tcPr>
          <w:p>
            <w:pPr>
              <w:pStyle w:val="TableContents"/>
              <w:spacing w:before="0" w:after="0"/>
              <w:ind w:left="0" w:right="0" w:hanging="0"/>
              <w:rPr/>
            </w:pPr>
            <w:r>
              <w:rPr/>
              <w:t> </w:t>
            </w:r>
          </w:p>
        </w:tc>
      </w:tr>
      <w:tr>
        <w:trPr/>
        <w:tc>
          <w:tcPr>
            <w:tcW w:w="210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09" w:type="dxa"/>
            <w:tcBorders/>
            <w:shd w:fill="auto" w:val="clear"/>
            <w:vAlign w:val="center"/>
          </w:tcPr>
          <w:p>
            <w:pPr>
              <w:pStyle w:val="TableContents"/>
              <w:spacing w:before="0" w:after="0"/>
              <w:ind w:left="0" w:right="0" w:hanging="0"/>
              <w:rPr/>
            </w:pPr>
            <w:r>
              <w:rPr/>
              <w:t> </w:t>
            </w:r>
          </w:p>
        </w:tc>
        <w:tc>
          <w:tcPr>
            <w:tcW w:w="876"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0"/>
              <w:ind w:left="0" w:right="0" w:hanging="0"/>
              <w:rPr/>
            </w:pPr>
            <w:r>
              <w:rPr/>
              <w:t> </w:t>
            </w:r>
          </w:p>
        </w:tc>
      </w:tr>
      <w:tr>
        <w:trPr/>
        <w:tc>
          <w:tcPr>
            <w:tcW w:w="210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U.S. Treasury securities and obligations of U.S. government corporations and agencies (1)</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23,874,545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9" w:type="dxa"/>
            <w:tcBorders/>
            <w:shd w:fill="CCEEFF" w:val="clear"/>
            <w:vAlign w:val="center"/>
          </w:tcPr>
          <w:p>
            <w:pPr>
              <w:pStyle w:val="TableContents"/>
              <w:spacing w:before="0" w:after="283"/>
              <w:rPr/>
            </w:pPr>
            <w:r>
              <w:rPr/>
              <w:t>$</w:t>
            </w:r>
          </w:p>
        </w:tc>
        <w:tc>
          <w:tcPr>
            <w:tcW w:w="876" w:type="dxa"/>
            <w:tcBorders/>
            <w:shd w:fill="CCEEFF" w:val="clear"/>
            <w:vAlign w:val="center"/>
          </w:tcPr>
          <w:p>
            <w:pPr>
              <w:pStyle w:val="TableContents"/>
              <w:spacing w:before="0" w:after="283"/>
              <w:jc w:val="right"/>
              <w:rPr/>
            </w:pPr>
            <w:r>
              <w:rPr/>
              <w:t>1,479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85" w:type="dxa"/>
            <w:tcBorders/>
            <w:shd w:fill="CCEEFF" w:val="clear"/>
            <w:vAlign w:val="center"/>
          </w:tcPr>
          <w:p>
            <w:pPr>
              <w:pStyle w:val="TableContents"/>
              <w:spacing w:before="0" w:after="283"/>
              <w:jc w:val="right"/>
              <w:rPr/>
            </w:pPr>
            <w:r>
              <w:rPr/>
              <w:t>(6,928</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05"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23,869,096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9" w:type="dxa"/>
            <w:tcBorders/>
            <w:shd w:fill="CCEEFF" w:val="clear"/>
            <w:vAlign w:val="center"/>
          </w:tcPr>
          <w:p>
            <w:pPr>
              <w:pStyle w:val="TableContents"/>
              <w:spacing w:before="0" w:after="0"/>
              <w:ind w:left="0" w:right="0" w:hanging="0"/>
              <w:rPr/>
            </w:pPr>
            <w:r>
              <w:rPr/>
              <w:t> </w:t>
            </w:r>
          </w:p>
        </w:tc>
        <w:tc>
          <w:tcPr>
            <w:tcW w:w="786" w:type="dxa"/>
            <w:tcBorders/>
            <w:shd w:fill="CCEEFF" w:val="clear"/>
            <w:vAlign w:val="center"/>
          </w:tcPr>
          <w:p>
            <w:pPr>
              <w:pStyle w:val="TableContents"/>
              <w:spacing w:before="0" w:after="283"/>
              <w:jc w:val="right"/>
              <w:rPr/>
            </w:pPr>
            <w:r>
              <w:rPr/>
              <w:t>15.4</w:t>
            </w:r>
          </w:p>
        </w:tc>
        <w:tc>
          <w:tcPr>
            <w:tcW w:w="290" w:type="dxa"/>
            <w:tcBorders/>
            <w:shd w:fill="CCEEFF" w:val="clear"/>
            <w:vAlign w:val="center"/>
          </w:tcPr>
          <w:p>
            <w:pPr>
              <w:pStyle w:val="TableContents"/>
              <w:spacing w:before="0" w:after="283"/>
              <w:rPr/>
            </w:pPr>
            <w:r>
              <w:rPr/>
              <w:t>%</w:t>
            </w:r>
          </w:p>
        </w:tc>
      </w:tr>
      <w:tr>
        <w:trPr/>
        <w:tc>
          <w:tcPr>
            <w:tcW w:w="210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9" w:type="dxa"/>
            <w:tcBorders/>
            <w:shd w:fill="FFFFFF" w:val="clear"/>
            <w:vAlign w:val="center"/>
          </w:tcPr>
          <w:p>
            <w:pPr>
              <w:pStyle w:val="TableContents"/>
              <w:spacing w:before="0" w:after="0"/>
              <w:ind w:left="0" w:right="0" w:hanging="0"/>
              <w:rPr/>
            </w:pPr>
            <w:r>
              <w:rPr/>
              <w:t> </w:t>
            </w:r>
          </w:p>
        </w:tc>
        <w:tc>
          <w:tcPr>
            <w:tcW w:w="876"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8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19" w:type="dxa"/>
            <w:tcBorders/>
            <w:shd w:fill="FFFFFF" w:val="clear"/>
            <w:vAlign w:val="center"/>
          </w:tcPr>
          <w:p>
            <w:pPr>
              <w:pStyle w:val="TableContents"/>
              <w:spacing w:before="0" w:after="0"/>
              <w:ind w:left="0" w:right="0" w:hanging="0"/>
              <w:rPr/>
            </w:pPr>
            <w:r>
              <w:rPr/>
              <w:t> </w:t>
            </w:r>
          </w:p>
        </w:tc>
        <w:tc>
          <w:tcPr>
            <w:tcW w:w="786" w:type="dxa"/>
            <w:tcBorders/>
            <w:shd w:fill="FFFFFF" w:val="clear"/>
            <w:vAlign w:val="center"/>
          </w:tcPr>
          <w:p>
            <w:pPr>
              <w:pStyle w:val="TableContents"/>
              <w:spacing w:before="0" w:after="0"/>
              <w:ind w:left="0" w:right="0" w:hanging="0"/>
              <w:rPr/>
            </w:pPr>
            <w:r>
              <w:rPr/>
              <w:t> </w:t>
            </w:r>
          </w:p>
        </w:tc>
        <w:tc>
          <w:tcPr>
            <w:tcW w:w="290" w:type="dxa"/>
            <w:tcBorders/>
            <w:shd w:fill="FFFFFF" w:val="clear"/>
            <w:vAlign w:val="center"/>
          </w:tcPr>
          <w:p>
            <w:pPr>
              <w:pStyle w:val="TableContents"/>
              <w:spacing w:before="0" w:after="0"/>
              <w:ind w:left="0" w:right="0" w:hanging="0"/>
              <w:rPr/>
            </w:pPr>
            <w:r>
              <w:rPr/>
              <w:t> </w:t>
            </w:r>
          </w:p>
        </w:tc>
      </w:tr>
      <w:tr>
        <w:trPr/>
        <w:tc>
          <w:tcPr>
            <w:tcW w:w="210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Political subdivisions of States, Territories and Possessions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17,108,154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9" w:type="dxa"/>
            <w:tcBorders/>
            <w:shd w:fill="CCEEFF" w:val="clear"/>
            <w:vAlign w:val="center"/>
          </w:tcPr>
          <w:p>
            <w:pPr>
              <w:pStyle w:val="TableContents"/>
              <w:spacing w:before="0" w:after="0"/>
              <w:ind w:left="0" w:right="0" w:hanging="0"/>
              <w:rPr/>
            </w:pPr>
            <w:r>
              <w:rPr/>
              <w:t> </w:t>
            </w:r>
          </w:p>
        </w:tc>
        <w:tc>
          <w:tcPr>
            <w:tcW w:w="876"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85" w:type="dxa"/>
            <w:tcBorders/>
            <w:shd w:fill="CCEEFF" w:val="clear"/>
            <w:vAlign w:val="center"/>
          </w:tcPr>
          <w:p>
            <w:pPr>
              <w:pStyle w:val="TableContents"/>
              <w:spacing w:before="0" w:after="283"/>
              <w:jc w:val="right"/>
              <w:rPr/>
            </w:pPr>
            <w:r>
              <w:rPr/>
              <w:t>(2,195,273</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(1,771,494</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13,141,387</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9" w:type="dxa"/>
            <w:tcBorders/>
            <w:shd w:fill="CCEEFF" w:val="clear"/>
            <w:vAlign w:val="center"/>
          </w:tcPr>
          <w:p>
            <w:pPr>
              <w:pStyle w:val="TableContents"/>
              <w:spacing w:before="0" w:after="0"/>
              <w:ind w:left="0" w:right="0" w:hanging="0"/>
              <w:rPr/>
            </w:pPr>
            <w:r>
              <w:rPr/>
              <w:t> </w:t>
            </w:r>
          </w:p>
        </w:tc>
        <w:tc>
          <w:tcPr>
            <w:tcW w:w="786" w:type="dxa"/>
            <w:tcBorders/>
            <w:shd w:fill="CCEEFF" w:val="clear"/>
            <w:vAlign w:val="center"/>
          </w:tcPr>
          <w:p>
            <w:pPr>
              <w:pStyle w:val="TableContents"/>
              <w:spacing w:before="0" w:after="283"/>
              <w:jc w:val="right"/>
              <w:rPr/>
            </w:pPr>
            <w:r>
              <w:rPr/>
              <w:t>8.5</w:t>
            </w:r>
          </w:p>
        </w:tc>
        <w:tc>
          <w:tcPr>
            <w:tcW w:w="290" w:type="dxa"/>
            <w:tcBorders/>
            <w:shd w:fill="CCEEFF" w:val="clear"/>
            <w:vAlign w:val="center"/>
          </w:tcPr>
          <w:p>
            <w:pPr>
              <w:pStyle w:val="TableContents"/>
              <w:spacing w:before="0" w:after="283"/>
              <w:rPr/>
            </w:pPr>
            <w:r>
              <w:rPr/>
              <w:t>%</w:t>
            </w:r>
          </w:p>
        </w:tc>
      </w:tr>
      <w:tr>
        <w:trPr/>
        <w:tc>
          <w:tcPr>
            <w:tcW w:w="210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9" w:type="dxa"/>
            <w:tcBorders/>
            <w:shd w:fill="FFFFFF" w:val="clear"/>
            <w:vAlign w:val="center"/>
          </w:tcPr>
          <w:p>
            <w:pPr>
              <w:pStyle w:val="TableContents"/>
              <w:spacing w:before="0" w:after="0"/>
              <w:ind w:left="0" w:right="0" w:hanging="0"/>
              <w:rPr/>
            </w:pPr>
            <w:r>
              <w:rPr/>
              <w:t> </w:t>
            </w:r>
          </w:p>
        </w:tc>
        <w:tc>
          <w:tcPr>
            <w:tcW w:w="876"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8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19" w:type="dxa"/>
            <w:tcBorders/>
            <w:shd w:fill="FFFFFF" w:val="clear"/>
            <w:vAlign w:val="center"/>
          </w:tcPr>
          <w:p>
            <w:pPr>
              <w:pStyle w:val="TableContents"/>
              <w:spacing w:before="0" w:after="0"/>
              <w:ind w:left="0" w:right="0" w:hanging="0"/>
              <w:rPr/>
            </w:pPr>
            <w:r>
              <w:rPr/>
              <w:t> </w:t>
            </w:r>
          </w:p>
        </w:tc>
        <w:tc>
          <w:tcPr>
            <w:tcW w:w="786" w:type="dxa"/>
            <w:tcBorders/>
            <w:shd w:fill="FFFFFF" w:val="clear"/>
            <w:vAlign w:val="center"/>
          </w:tcPr>
          <w:p>
            <w:pPr>
              <w:pStyle w:val="TableContents"/>
              <w:spacing w:before="0" w:after="0"/>
              <w:ind w:left="0" w:right="0" w:hanging="0"/>
              <w:rPr/>
            </w:pPr>
            <w:r>
              <w:rPr/>
              <w:t> </w:t>
            </w:r>
          </w:p>
        </w:tc>
        <w:tc>
          <w:tcPr>
            <w:tcW w:w="290" w:type="dxa"/>
            <w:tcBorders/>
            <w:shd w:fill="FFFFFF" w:val="clear"/>
            <w:vAlign w:val="center"/>
          </w:tcPr>
          <w:p>
            <w:pPr>
              <w:pStyle w:val="TableContents"/>
              <w:spacing w:before="0" w:after="0"/>
              <w:ind w:left="0" w:right="0" w:hanging="0"/>
              <w:rPr/>
            </w:pPr>
            <w:r>
              <w:rPr/>
              <w:t> </w:t>
            </w:r>
          </w:p>
        </w:tc>
      </w:tr>
      <w:tr>
        <w:trPr/>
        <w:tc>
          <w:tcPr>
            <w:tcW w:w="210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Corporate and other bonds Industrial and miscellaneous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80,338,464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9" w:type="dxa"/>
            <w:tcBorders/>
            <w:shd w:fill="CCEEFF" w:val="clear"/>
            <w:vAlign w:val="center"/>
          </w:tcPr>
          <w:p>
            <w:pPr>
              <w:pStyle w:val="TableContents"/>
              <w:spacing w:before="0" w:after="0"/>
              <w:ind w:left="0" w:right="0" w:hanging="0"/>
              <w:rPr/>
            </w:pPr>
            <w:r>
              <w:rPr/>
              <w:t> </w:t>
            </w:r>
          </w:p>
        </w:tc>
        <w:tc>
          <w:tcPr>
            <w:tcW w:w="876"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85" w:type="dxa"/>
            <w:tcBorders/>
            <w:shd w:fill="CCEEFF" w:val="clear"/>
            <w:vAlign w:val="center"/>
          </w:tcPr>
          <w:p>
            <w:pPr>
              <w:pStyle w:val="TableContents"/>
              <w:spacing w:before="0" w:after="283"/>
              <w:jc w:val="right"/>
              <w:rPr/>
            </w:pPr>
            <w:r>
              <w:rPr/>
              <w:t>(5,796,994</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(2,458,985</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72,082,485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9" w:type="dxa"/>
            <w:tcBorders/>
            <w:shd w:fill="CCEEFF" w:val="clear"/>
            <w:vAlign w:val="center"/>
          </w:tcPr>
          <w:p>
            <w:pPr>
              <w:pStyle w:val="TableContents"/>
              <w:spacing w:before="0" w:after="0"/>
              <w:ind w:left="0" w:right="0" w:hanging="0"/>
              <w:rPr/>
            </w:pPr>
            <w:r>
              <w:rPr/>
              <w:t> </w:t>
            </w:r>
          </w:p>
        </w:tc>
        <w:tc>
          <w:tcPr>
            <w:tcW w:w="786" w:type="dxa"/>
            <w:tcBorders/>
            <w:shd w:fill="CCEEFF" w:val="clear"/>
            <w:vAlign w:val="center"/>
          </w:tcPr>
          <w:p>
            <w:pPr>
              <w:pStyle w:val="TableContents"/>
              <w:spacing w:before="0" w:after="283"/>
              <w:jc w:val="right"/>
              <w:rPr/>
            </w:pPr>
            <w:r>
              <w:rPr/>
              <w:t>46.6</w:t>
            </w:r>
          </w:p>
        </w:tc>
        <w:tc>
          <w:tcPr>
            <w:tcW w:w="290" w:type="dxa"/>
            <w:tcBorders/>
            <w:shd w:fill="CCEEFF" w:val="clear"/>
            <w:vAlign w:val="center"/>
          </w:tcPr>
          <w:p>
            <w:pPr>
              <w:pStyle w:val="TableContents"/>
              <w:spacing w:before="0" w:after="283"/>
              <w:rPr/>
            </w:pPr>
            <w:r>
              <w:rPr/>
              <w:t>%</w:t>
            </w:r>
          </w:p>
        </w:tc>
      </w:tr>
      <w:tr>
        <w:trPr/>
        <w:tc>
          <w:tcPr>
            <w:tcW w:w="210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9" w:type="dxa"/>
            <w:tcBorders/>
            <w:shd w:fill="FFFFFF" w:val="clear"/>
            <w:vAlign w:val="center"/>
          </w:tcPr>
          <w:p>
            <w:pPr>
              <w:pStyle w:val="TableContents"/>
              <w:spacing w:before="0" w:after="0"/>
              <w:ind w:left="0" w:right="0" w:hanging="0"/>
              <w:rPr/>
            </w:pPr>
            <w:r>
              <w:rPr/>
              <w:t> </w:t>
            </w:r>
          </w:p>
        </w:tc>
        <w:tc>
          <w:tcPr>
            <w:tcW w:w="876"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8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19" w:type="dxa"/>
            <w:tcBorders/>
            <w:shd w:fill="FFFFFF" w:val="clear"/>
            <w:vAlign w:val="center"/>
          </w:tcPr>
          <w:p>
            <w:pPr>
              <w:pStyle w:val="TableContents"/>
              <w:spacing w:before="0" w:after="0"/>
              <w:ind w:left="0" w:right="0" w:hanging="0"/>
              <w:rPr/>
            </w:pPr>
            <w:r>
              <w:rPr/>
              <w:t> </w:t>
            </w:r>
          </w:p>
        </w:tc>
        <w:tc>
          <w:tcPr>
            <w:tcW w:w="786" w:type="dxa"/>
            <w:tcBorders/>
            <w:shd w:fill="FFFFFF" w:val="clear"/>
            <w:vAlign w:val="center"/>
          </w:tcPr>
          <w:p>
            <w:pPr>
              <w:pStyle w:val="TableContents"/>
              <w:spacing w:before="0" w:after="0"/>
              <w:ind w:left="0" w:right="0" w:hanging="0"/>
              <w:rPr/>
            </w:pPr>
            <w:r>
              <w:rPr/>
              <w:t> </w:t>
            </w:r>
          </w:p>
        </w:tc>
        <w:tc>
          <w:tcPr>
            <w:tcW w:w="290" w:type="dxa"/>
            <w:tcBorders/>
            <w:shd w:fill="FFFFFF" w:val="clear"/>
            <w:vAlign w:val="center"/>
          </w:tcPr>
          <w:p>
            <w:pPr>
              <w:pStyle w:val="TableContents"/>
              <w:spacing w:before="0" w:after="0"/>
              <w:ind w:left="0" w:right="0" w:hanging="0"/>
              <w:rPr/>
            </w:pPr>
            <w:r>
              <w:rPr/>
              <w:t> </w:t>
            </w:r>
          </w:p>
        </w:tc>
      </w:tr>
      <w:tr>
        <w:trPr/>
        <w:tc>
          <w:tcPr>
            <w:tcW w:w="210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Residential mortgage and other asset backed securities (2)</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53,597,264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76" w:type="dxa"/>
            <w:tcBorders>
              <w:bottom w:val="single" w:sz="2" w:space="0" w:color="000000"/>
            </w:tcBorders>
            <w:shd w:fill="CCEEFF" w:val="clear"/>
            <w:tcMar>
              <w:bottom w:w="28" w:type="dxa"/>
            </w:tcMar>
            <w:vAlign w:val="center"/>
          </w:tcPr>
          <w:p>
            <w:pPr>
              <w:pStyle w:val="TableContents"/>
              <w:spacing w:before="0" w:after="283"/>
              <w:jc w:val="right"/>
              <w:rPr/>
            </w:pPr>
            <w:r>
              <w:rPr/>
              <w:t>58,398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85" w:type="dxa"/>
            <w:tcBorders>
              <w:bottom w:val="single" w:sz="2" w:space="0" w:color="000000"/>
            </w:tcBorders>
            <w:shd w:fill="CCEEFF" w:val="clear"/>
            <w:tcMar>
              <w:bottom w:w="28" w:type="dxa"/>
            </w:tcMar>
            <w:vAlign w:val="center"/>
          </w:tcPr>
          <w:p>
            <w:pPr>
              <w:pStyle w:val="TableContents"/>
              <w:spacing w:before="0" w:after="283"/>
              <w:jc w:val="right"/>
              <w:rPr/>
            </w:pPr>
            <w:r>
              <w:rPr/>
              <w:t>(882,664</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CCEEFF" w:val="clear"/>
            <w:tcMar>
              <w:bottom w:w="28" w:type="dxa"/>
            </w:tcMar>
            <w:vAlign w:val="center"/>
          </w:tcPr>
          <w:p>
            <w:pPr>
              <w:pStyle w:val="TableContents"/>
              <w:spacing w:before="0" w:after="283"/>
              <w:jc w:val="right"/>
              <w:rPr/>
            </w:pPr>
            <w:r>
              <w:rPr/>
              <w:t>(7,150,803</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45,622,195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6" w:type="dxa"/>
            <w:tcBorders>
              <w:bottom w:val="single" w:sz="2" w:space="0" w:color="000000"/>
            </w:tcBorders>
            <w:shd w:fill="CCEEFF" w:val="clear"/>
            <w:tcMar>
              <w:bottom w:w="28" w:type="dxa"/>
            </w:tcMar>
            <w:vAlign w:val="center"/>
          </w:tcPr>
          <w:p>
            <w:pPr>
              <w:pStyle w:val="TableContents"/>
              <w:spacing w:before="0" w:after="283"/>
              <w:jc w:val="right"/>
              <w:rPr/>
            </w:pPr>
            <w:r>
              <w:rPr/>
              <w:t>29.5</w:t>
            </w:r>
          </w:p>
        </w:tc>
        <w:tc>
          <w:tcPr>
            <w:tcW w:w="290" w:type="dxa"/>
            <w:tcBorders/>
            <w:shd w:fill="CCEEFF" w:val="clear"/>
            <w:vAlign w:val="center"/>
          </w:tcPr>
          <w:p>
            <w:pPr>
              <w:pStyle w:val="TableContents"/>
              <w:spacing w:before="0" w:after="283"/>
              <w:rPr/>
            </w:pPr>
            <w:r>
              <w:rPr/>
              <w:t>%</w:t>
            </w:r>
          </w:p>
        </w:tc>
      </w:tr>
      <w:tr>
        <w:trPr/>
        <w:tc>
          <w:tcPr>
            <w:tcW w:w="2105"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Total fixed-maturity securities</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174,918,427</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9" w:type="dxa"/>
            <w:tcBorders>
              <w:bottom w:val="double" w:sz="6" w:space="0" w:color="000000"/>
            </w:tcBorders>
            <w:shd w:fill="FFFFFF" w:val="clear"/>
            <w:tcMar>
              <w:bottom w:w="28" w:type="dxa"/>
            </w:tcMar>
            <w:vAlign w:val="center"/>
          </w:tcPr>
          <w:p>
            <w:pPr>
              <w:pStyle w:val="TableContents"/>
              <w:spacing w:before="0" w:after="283"/>
              <w:rPr/>
            </w:pPr>
            <w:r>
              <w:rPr/>
              <w:t>$</w:t>
            </w:r>
          </w:p>
        </w:tc>
        <w:tc>
          <w:tcPr>
            <w:tcW w:w="876" w:type="dxa"/>
            <w:tcBorders>
              <w:bottom w:val="double" w:sz="6" w:space="0" w:color="000000"/>
            </w:tcBorders>
            <w:shd w:fill="FFFFFF" w:val="clear"/>
            <w:tcMar>
              <w:bottom w:w="28" w:type="dxa"/>
            </w:tcMar>
            <w:vAlign w:val="center"/>
          </w:tcPr>
          <w:p>
            <w:pPr>
              <w:pStyle w:val="TableContents"/>
              <w:spacing w:before="0" w:after="283"/>
              <w:jc w:val="right"/>
              <w:rPr/>
            </w:pPr>
            <w:r>
              <w:rPr/>
              <w:t>59,877</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085" w:type="dxa"/>
            <w:tcBorders>
              <w:bottom w:val="double" w:sz="6" w:space="0" w:color="000000"/>
            </w:tcBorders>
            <w:shd w:fill="FFFFFF" w:val="clear"/>
            <w:tcMar>
              <w:bottom w:w="28" w:type="dxa"/>
            </w:tcMar>
            <w:vAlign w:val="center"/>
          </w:tcPr>
          <w:p>
            <w:pPr>
              <w:pStyle w:val="TableContents"/>
              <w:spacing w:before="0" w:after="283"/>
              <w:jc w:val="right"/>
              <w:rPr/>
            </w:pPr>
            <w:r>
              <w:rPr/>
              <w:t>(8,881,859</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05" w:type="dxa"/>
            <w:tcBorders>
              <w:bottom w:val="double" w:sz="6" w:space="0" w:color="000000"/>
            </w:tcBorders>
            <w:shd w:fill="FFFFFF" w:val="clear"/>
            <w:tcMar>
              <w:bottom w:w="28" w:type="dxa"/>
            </w:tcMar>
            <w:vAlign w:val="center"/>
          </w:tcPr>
          <w:p>
            <w:pPr>
              <w:pStyle w:val="TableContents"/>
              <w:spacing w:before="0" w:after="283"/>
              <w:jc w:val="right"/>
              <w:rPr/>
            </w:pPr>
            <w:r>
              <w:rPr/>
              <w:t>(11,381,282</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154,715,163</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19" w:type="dxa"/>
            <w:tcBorders>
              <w:bottom w:val="double" w:sz="6" w:space="0" w:color="000000"/>
            </w:tcBorders>
            <w:shd w:fill="FFFFFF" w:val="clear"/>
            <w:tcMar>
              <w:bottom w:w="28" w:type="dxa"/>
            </w:tcMar>
            <w:vAlign w:val="center"/>
          </w:tcPr>
          <w:p>
            <w:pPr>
              <w:pStyle w:val="TableContents"/>
              <w:spacing w:before="0" w:after="0"/>
              <w:ind w:left="0" w:right="0" w:hanging="0"/>
              <w:rPr/>
            </w:pPr>
            <w:r>
              <w:rPr/>
              <w:t> </w:t>
            </w:r>
          </w:p>
        </w:tc>
        <w:tc>
          <w:tcPr>
            <w:tcW w:w="786" w:type="dxa"/>
            <w:tcBorders>
              <w:bottom w:val="double" w:sz="6" w:space="0" w:color="000000"/>
            </w:tcBorders>
            <w:shd w:fill="FFFFFF" w:val="clear"/>
            <w:tcMar>
              <w:bottom w:w="28" w:type="dxa"/>
            </w:tcMar>
            <w:vAlign w:val="center"/>
          </w:tcPr>
          <w:p>
            <w:pPr>
              <w:pStyle w:val="TableContents"/>
              <w:spacing w:before="0" w:after="283"/>
              <w:jc w:val="right"/>
              <w:rPr/>
            </w:pPr>
            <w:r>
              <w:rPr/>
              <w:t>100.0</w:t>
            </w:r>
          </w:p>
        </w:tc>
        <w:tc>
          <w:tcPr>
            <w:tcW w:w="290" w:type="dxa"/>
            <w:tcBorders/>
            <w:shd w:fill="FFFFFF" w:val="clear"/>
            <w:vAlign w:val="center"/>
          </w:tcPr>
          <w:p>
            <w:pPr>
              <w:pStyle w:val="TableContents"/>
              <w:spacing w:before="0" w:after="283"/>
              <w:rPr/>
            </w:pPr>
            <w:r>
              <w:rPr/>
              <w:t>%</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1518"/>
        <w:gridCol w:w="90"/>
        <w:gridCol w:w="170"/>
        <w:gridCol w:w="1250"/>
        <w:gridCol w:w="90"/>
        <w:gridCol w:w="90"/>
        <w:gridCol w:w="170"/>
        <w:gridCol w:w="1010"/>
        <w:gridCol w:w="90"/>
        <w:gridCol w:w="90"/>
        <w:gridCol w:w="183"/>
        <w:gridCol w:w="977"/>
        <w:gridCol w:w="125"/>
        <w:gridCol w:w="90"/>
        <w:gridCol w:w="197"/>
        <w:gridCol w:w="1053"/>
        <w:gridCol w:w="125"/>
        <w:gridCol w:w="90"/>
        <w:gridCol w:w="170"/>
        <w:gridCol w:w="1250"/>
        <w:gridCol w:w="90"/>
        <w:gridCol w:w="90"/>
        <w:gridCol w:w="119"/>
        <w:gridCol w:w="786"/>
        <w:gridCol w:w="292"/>
      </w:tblGrid>
      <w:tr>
        <w:trPr/>
        <w:tc>
          <w:tcPr>
            <w:tcW w:w="1518"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305" w:type="dxa"/>
            <w:gridSpan w:val="2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2021</w:t>
            </w:r>
          </w:p>
        </w:tc>
        <w:tc>
          <w:tcPr>
            <w:tcW w:w="292" w:type="dxa"/>
            <w:tcBorders/>
            <w:shd w:fill="auto" w:val="clear"/>
            <w:vAlign w:val="center"/>
          </w:tcPr>
          <w:p>
            <w:pPr>
              <w:pStyle w:val="TableContents"/>
              <w:spacing w:before="0" w:after="0"/>
              <w:ind w:left="0" w:right="0" w:hanging="0"/>
              <w:rPr/>
            </w:pPr>
            <w:r>
              <w:rPr/>
              <w:t> </w:t>
            </w:r>
          </w:p>
        </w:tc>
      </w:tr>
      <w:tr>
        <w:trPr/>
        <w:tc>
          <w:tcPr>
            <w:tcW w:w="1518"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60"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50"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5" w:type="dxa"/>
            <w:gridSpan w:val="2"/>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0"/>
              <w:ind w:left="0" w:right="0" w:hanging="0"/>
              <w:rPr/>
            </w:pPr>
            <w:r>
              <w:rPr/>
              <w:t> </w:t>
            </w:r>
          </w:p>
        </w:tc>
      </w:tr>
      <w:tr>
        <w:trPr/>
        <w:tc>
          <w:tcPr>
            <w:tcW w:w="1518"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Cost or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Gross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625"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Gross Unrealized Losses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Estimated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5"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of</w:t>
            </w:r>
          </w:p>
        </w:tc>
        <w:tc>
          <w:tcPr>
            <w:tcW w:w="292" w:type="dxa"/>
            <w:tcBorders/>
            <w:shd w:fill="auto" w:val="clear"/>
            <w:vAlign w:val="center"/>
          </w:tcPr>
          <w:p>
            <w:pPr>
              <w:pStyle w:val="TableContents"/>
              <w:spacing w:before="0" w:after="0"/>
              <w:ind w:left="0" w:right="0" w:hanging="0"/>
              <w:rPr/>
            </w:pPr>
            <w:r>
              <w:rPr/>
              <w:t> </w:t>
            </w:r>
          </w:p>
        </w:tc>
      </w:tr>
      <w:tr>
        <w:trPr/>
        <w:tc>
          <w:tcPr>
            <w:tcW w:w="1518"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Amortized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Unrealized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6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Less than 12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5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More than 12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Fair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5"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Estimated</w:t>
            </w:r>
          </w:p>
        </w:tc>
        <w:tc>
          <w:tcPr>
            <w:tcW w:w="292" w:type="dxa"/>
            <w:tcBorders/>
            <w:shd w:fill="auto" w:val="clear"/>
            <w:vAlign w:val="center"/>
          </w:tcPr>
          <w:p>
            <w:pPr>
              <w:pStyle w:val="TableContents"/>
              <w:spacing w:before="0" w:after="0"/>
              <w:ind w:left="0" w:right="0" w:hanging="0"/>
              <w:rPr/>
            </w:pPr>
            <w:r>
              <w:rPr/>
              <w:t> </w:t>
            </w:r>
          </w:p>
        </w:tc>
      </w:tr>
      <w:tr>
        <w:trPr/>
        <w:tc>
          <w:tcPr>
            <w:tcW w:w="1518"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Pr>
              <w:t> </w:t>
            </w:r>
            <w:r>
              <w:rPr>
                <w:rStyle w:val="StrongEmphasis"/>
                <w:rFonts w:ascii="times new roman" w:hAnsi="times new roman"/>
                <w:sz w:val="20"/>
              </w:rPr>
              <w:t xml:space="preserve">Category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Cost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Gains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Months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5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Months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Value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Fair Value</w:t>
            </w:r>
          </w:p>
        </w:tc>
        <w:tc>
          <w:tcPr>
            <w:tcW w:w="292" w:type="dxa"/>
            <w:tcBorders/>
            <w:shd w:fill="auto" w:val="clear"/>
            <w:vAlign w:val="center"/>
          </w:tcPr>
          <w:p>
            <w:pPr>
              <w:pStyle w:val="TableContents"/>
              <w:spacing w:before="0" w:after="0"/>
              <w:ind w:left="0" w:right="0" w:hanging="0"/>
              <w:rPr/>
            </w:pPr>
            <w:r>
              <w:rPr/>
              <w:t> </w:t>
            </w:r>
          </w:p>
        </w:tc>
      </w:tr>
      <w:tr>
        <w:trPr/>
        <w:tc>
          <w:tcPr>
            <w:tcW w:w="1518"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c>
          <w:tcPr>
            <w:tcW w:w="101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0"/>
              <w:ind w:left="0" w:right="0" w:hanging="0"/>
              <w:rPr/>
            </w:pPr>
            <w:r>
              <w:rPr/>
              <w:t> </w:t>
            </w:r>
          </w:p>
        </w:tc>
      </w:tr>
      <w:tr>
        <w:trPr/>
        <w:tc>
          <w:tcPr>
            <w:tcW w:w="1518"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Political subdivisions of States, Territories and Possessions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17,236,750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246,748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3" w:type="dxa"/>
            <w:tcBorders/>
            <w:shd w:fill="CCEEFF" w:val="clear"/>
            <w:vAlign w:val="center"/>
          </w:tcPr>
          <w:p>
            <w:pPr>
              <w:pStyle w:val="TableContents"/>
              <w:spacing w:before="0" w:after="283"/>
              <w:rPr/>
            </w:pPr>
            <w:r>
              <w:rPr/>
              <w:t>$</w:t>
            </w:r>
          </w:p>
        </w:tc>
        <w:tc>
          <w:tcPr>
            <w:tcW w:w="977" w:type="dxa"/>
            <w:tcBorders/>
            <w:shd w:fill="CCEEFF" w:val="clear"/>
            <w:vAlign w:val="center"/>
          </w:tcPr>
          <w:p>
            <w:pPr>
              <w:pStyle w:val="TableContents"/>
              <w:spacing w:before="0" w:after="283"/>
              <w:jc w:val="right"/>
              <w:rPr/>
            </w:pPr>
            <w:r>
              <w:rPr/>
              <w:t>(197,984</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97" w:type="dxa"/>
            <w:tcBorders/>
            <w:shd w:fill="CCEEFF" w:val="clear"/>
            <w:vAlign w:val="center"/>
          </w:tcPr>
          <w:p>
            <w:pPr>
              <w:pStyle w:val="TableContents"/>
              <w:spacing w:before="0" w:after="283"/>
              <w:rPr/>
            </w:pPr>
            <w:r>
              <w:rPr/>
              <w:t>$</w:t>
            </w:r>
          </w:p>
        </w:tc>
        <w:tc>
          <w:tcPr>
            <w:tcW w:w="1053"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17,285,514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9" w:type="dxa"/>
            <w:tcBorders/>
            <w:shd w:fill="CCEEFF" w:val="clear"/>
            <w:vAlign w:val="center"/>
          </w:tcPr>
          <w:p>
            <w:pPr>
              <w:pStyle w:val="TableContents"/>
              <w:spacing w:before="0" w:after="0"/>
              <w:ind w:left="0" w:right="0" w:hanging="0"/>
              <w:rPr/>
            </w:pPr>
            <w:r>
              <w:rPr/>
              <w:t> </w:t>
            </w:r>
          </w:p>
        </w:tc>
        <w:tc>
          <w:tcPr>
            <w:tcW w:w="786" w:type="dxa"/>
            <w:tcBorders/>
            <w:shd w:fill="CCEEFF" w:val="clear"/>
            <w:vAlign w:val="center"/>
          </w:tcPr>
          <w:p>
            <w:pPr>
              <w:pStyle w:val="TableContents"/>
              <w:spacing w:before="0" w:after="283"/>
              <w:jc w:val="right"/>
              <w:rPr/>
            </w:pPr>
            <w:r>
              <w:rPr/>
              <w:t>10.9</w:t>
            </w:r>
          </w:p>
        </w:tc>
        <w:tc>
          <w:tcPr>
            <w:tcW w:w="292" w:type="dxa"/>
            <w:tcBorders/>
            <w:shd w:fill="CCEEFF" w:val="clear"/>
            <w:vAlign w:val="center"/>
          </w:tcPr>
          <w:p>
            <w:pPr>
              <w:pStyle w:val="TableContents"/>
              <w:spacing w:before="0" w:after="283"/>
              <w:rPr/>
            </w:pPr>
            <w:r>
              <w:rPr/>
              <w:t>%</w:t>
            </w:r>
          </w:p>
        </w:tc>
      </w:tr>
      <w:tr>
        <w:trPr/>
        <w:tc>
          <w:tcPr>
            <w:tcW w:w="151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3" w:type="dxa"/>
            <w:tcBorders/>
            <w:shd w:fill="FFFFFF" w:val="clear"/>
            <w:vAlign w:val="center"/>
          </w:tcPr>
          <w:p>
            <w:pPr>
              <w:pStyle w:val="TableContents"/>
              <w:spacing w:before="0" w:after="0"/>
              <w:ind w:left="0" w:right="0" w:hanging="0"/>
              <w:rPr/>
            </w:pPr>
            <w:r>
              <w:rPr/>
              <w:t> </w:t>
            </w:r>
          </w:p>
        </w:tc>
        <w:tc>
          <w:tcPr>
            <w:tcW w:w="977"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97" w:type="dxa"/>
            <w:tcBorders/>
            <w:shd w:fill="FFFFFF" w:val="clear"/>
            <w:vAlign w:val="center"/>
          </w:tcPr>
          <w:p>
            <w:pPr>
              <w:pStyle w:val="TableContents"/>
              <w:spacing w:before="0" w:after="0"/>
              <w:ind w:left="0" w:right="0" w:hanging="0"/>
              <w:rPr/>
            </w:pPr>
            <w:r>
              <w:rPr/>
              <w:t> </w:t>
            </w:r>
          </w:p>
        </w:tc>
        <w:tc>
          <w:tcPr>
            <w:tcW w:w="1053"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19" w:type="dxa"/>
            <w:tcBorders/>
            <w:shd w:fill="FFFFFF" w:val="clear"/>
            <w:vAlign w:val="center"/>
          </w:tcPr>
          <w:p>
            <w:pPr>
              <w:pStyle w:val="TableContents"/>
              <w:spacing w:before="0" w:after="0"/>
              <w:ind w:left="0" w:right="0" w:hanging="0"/>
              <w:rPr/>
            </w:pPr>
            <w:r>
              <w:rPr/>
              <w:t> </w:t>
            </w:r>
          </w:p>
        </w:tc>
        <w:tc>
          <w:tcPr>
            <w:tcW w:w="786" w:type="dxa"/>
            <w:tcBorders/>
            <w:shd w:fill="FFFFFF" w:val="clear"/>
            <w:vAlign w:val="center"/>
          </w:tcPr>
          <w:p>
            <w:pPr>
              <w:pStyle w:val="TableContents"/>
              <w:spacing w:before="0" w:after="0"/>
              <w:ind w:left="0" w:right="0" w:hanging="0"/>
              <w:rPr/>
            </w:pPr>
            <w:r>
              <w:rPr/>
              <w:t> </w:t>
            </w:r>
          </w:p>
        </w:tc>
        <w:tc>
          <w:tcPr>
            <w:tcW w:w="292" w:type="dxa"/>
            <w:tcBorders/>
            <w:shd w:fill="FFFFFF" w:val="clear"/>
            <w:vAlign w:val="center"/>
          </w:tcPr>
          <w:p>
            <w:pPr>
              <w:pStyle w:val="TableContents"/>
              <w:spacing w:before="0" w:after="0"/>
              <w:ind w:left="0" w:right="0" w:hanging="0"/>
              <w:rPr/>
            </w:pPr>
            <w:r>
              <w:rPr/>
              <w:t> </w:t>
            </w:r>
          </w:p>
        </w:tc>
      </w:tr>
      <w:tr>
        <w:trPr/>
        <w:tc>
          <w:tcPr>
            <w:tcW w:w="1518"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Corporate and other bonds Industrial and miscellaneous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80,534,769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2,603,411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3" w:type="dxa"/>
            <w:tcBorders/>
            <w:shd w:fill="CCEEFF" w:val="clear"/>
            <w:vAlign w:val="center"/>
          </w:tcPr>
          <w:p>
            <w:pPr>
              <w:pStyle w:val="TableContents"/>
              <w:spacing w:before="0" w:after="0"/>
              <w:ind w:left="0" w:right="0" w:hanging="0"/>
              <w:rPr/>
            </w:pPr>
            <w:r>
              <w:rPr/>
              <w:t> </w:t>
            </w:r>
          </w:p>
        </w:tc>
        <w:tc>
          <w:tcPr>
            <w:tcW w:w="977" w:type="dxa"/>
            <w:tcBorders/>
            <w:shd w:fill="CCEEFF" w:val="clear"/>
            <w:vAlign w:val="center"/>
          </w:tcPr>
          <w:p>
            <w:pPr>
              <w:pStyle w:val="TableContents"/>
              <w:spacing w:before="0" w:after="283"/>
              <w:jc w:val="right"/>
              <w:rPr/>
            </w:pPr>
            <w:r>
              <w:rPr/>
              <w:t>(126,926</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97" w:type="dxa"/>
            <w:tcBorders/>
            <w:shd w:fill="CCEEFF" w:val="clear"/>
            <w:vAlign w:val="center"/>
          </w:tcPr>
          <w:p>
            <w:pPr>
              <w:pStyle w:val="TableContents"/>
              <w:spacing w:before="0" w:after="0"/>
              <w:ind w:left="0" w:right="0" w:hanging="0"/>
              <w:rPr/>
            </w:pPr>
            <w:r>
              <w:rPr/>
              <w:t> </w:t>
            </w:r>
          </w:p>
        </w:tc>
        <w:tc>
          <w:tcPr>
            <w:tcW w:w="1053"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83,011,254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9" w:type="dxa"/>
            <w:tcBorders/>
            <w:shd w:fill="CCEEFF" w:val="clear"/>
            <w:vAlign w:val="center"/>
          </w:tcPr>
          <w:p>
            <w:pPr>
              <w:pStyle w:val="TableContents"/>
              <w:spacing w:before="0" w:after="0"/>
              <w:ind w:left="0" w:right="0" w:hanging="0"/>
              <w:rPr/>
            </w:pPr>
            <w:r>
              <w:rPr/>
              <w:t> </w:t>
            </w:r>
          </w:p>
        </w:tc>
        <w:tc>
          <w:tcPr>
            <w:tcW w:w="786" w:type="dxa"/>
            <w:tcBorders/>
            <w:shd w:fill="CCEEFF" w:val="clear"/>
            <w:vAlign w:val="center"/>
          </w:tcPr>
          <w:p>
            <w:pPr>
              <w:pStyle w:val="TableContents"/>
              <w:spacing w:before="0" w:after="283"/>
              <w:jc w:val="right"/>
              <w:rPr/>
            </w:pPr>
            <w:r>
              <w:rPr/>
              <w:t>52.5</w:t>
            </w:r>
          </w:p>
        </w:tc>
        <w:tc>
          <w:tcPr>
            <w:tcW w:w="292" w:type="dxa"/>
            <w:tcBorders/>
            <w:shd w:fill="CCEEFF" w:val="clear"/>
            <w:vAlign w:val="center"/>
          </w:tcPr>
          <w:p>
            <w:pPr>
              <w:pStyle w:val="TableContents"/>
              <w:spacing w:before="0" w:after="283"/>
              <w:rPr/>
            </w:pPr>
            <w:r>
              <w:rPr/>
              <w:t>%</w:t>
            </w:r>
          </w:p>
        </w:tc>
      </w:tr>
      <w:tr>
        <w:trPr/>
        <w:tc>
          <w:tcPr>
            <w:tcW w:w="151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3" w:type="dxa"/>
            <w:tcBorders/>
            <w:shd w:fill="FFFFFF" w:val="clear"/>
            <w:vAlign w:val="center"/>
          </w:tcPr>
          <w:p>
            <w:pPr>
              <w:pStyle w:val="TableContents"/>
              <w:spacing w:before="0" w:after="0"/>
              <w:ind w:left="0" w:right="0" w:hanging="0"/>
              <w:rPr/>
            </w:pPr>
            <w:r>
              <w:rPr/>
              <w:t> </w:t>
            </w:r>
          </w:p>
        </w:tc>
        <w:tc>
          <w:tcPr>
            <w:tcW w:w="977"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97" w:type="dxa"/>
            <w:tcBorders/>
            <w:shd w:fill="FFFFFF" w:val="clear"/>
            <w:vAlign w:val="center"/>
          </w:tcPr>
          <w:p>
            <w:pPr>
              <w:pStyle w:val="TableContents"/>
              <w:spacing w:before="0" w:after="0"/>
              <w:ind w:left="0" w:right="0" w:hanging="0"/>
              <w:rPr/>
            </w:pPr>
            <w:r>
              <w:rPr/>
              <w:t> </w:t>
            </w:r>
          </w:p>
        </w:tc>
        <w:tc>
          <w:tcPr>
            <w:tcW w:w="1053"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19" w:type="dxa"/>
            <w:tcBorders/>
            <w:shd w:fill="FFFFFF" w:val="clear"/>
            <w:vAlign w:val="center"/>
          </w:tcPr>
          <w:p>
            <w:pPr>
              <w:pStyle w:val="TableContents"/>
              <w:spacing w:before="0" w:after="0"/>
              <w:ind w:left="0" w:right="0" w:hanging="0"/>
              <w:rPr/>
            </w:pPr>
            <w:r>
              <w:rPr/>
              <w:t> </w:t>
            </w:r>
          </w:p>
        </w:tc>
        <w:tc>
          <w:tcPr>
            <w:tcW w:w="786" w:type="dxa"/>
            <w:tcBorders/>
            <w:shd w:fill="FFFFFF" w:val="clear"/>
            <w:vAlign w:val="center"/>
          </w:tcPr>
          <w:p>
            <w:pPr>
              <w:pStyle w:val="TableContents"/>
              <w:spacing w:before="0" w:after="0"/>
              <w:ind w:left="0" w:right="0" w:hanging="0"/>
              <w:rPr/>
            </w:pPr>
            <w:r>
              <w:rPr/>
              <w:t> </w:t>
            </w:r>
          </w:p>
        </w:tc>
        <w:tc>
          <w:tcPr>
            <w:tcW w:w="292" w:type="dxa"/>
            <w:tcBorders/>
            <w:shd w:fill="FFFFFF" w:val="clear"/>
            <w:vAlign w:val="center"/>
          </w:tcPr>
          <w:p>
            <w:pPr>
              <w:pStyle w:val="TableContents"/>
              <w:spacing w:before="0" w:after="0"/>
              <w:ind w:left="0" w:right="0" w:hanging="0"/>
              <w:rPr/>
            </w:pPr>
            <w:r>
              <w:rPr/>
              <w:t> </w:t>
            </w:r>
          </w:p>
        </w:tc>
      </w:tr>
      <w:tr>
        <w:trPr/>
        <w:tc>
          <w:tcPr>
            <w:tcW w:w="1518"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Residential mortgage and other asset backed securities (2)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58,036,959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355,985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3"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77" w:type="dxa"/>
            <w:tcBorders>
              <w:bottom w:val="single" w:sz="2" w:space="0" w:color="000000"/>
            </w:tcBorders>
            <w:shd w:fill="CCEEFF" w:val="clear"/>
            <w:tcMar>
              <w:bottom w:w="28" w:type="dxa"/>
            </w:tcMar>
            <w:vAlign w:val="center"/>
          </w:tcPr>
          <w:p>
            <w:pPr>
              <w:pStyle w:val="TableContents"/>
              <w:spacing w:before="0" w:after="283"/>
              <w:jc w:val="right"/>
              <w:rPr/>
            </w:pPr>
            <w:r>
              <w:rPr/>
              <w:t>(489,258</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9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53" w:type="dxa"/>
            <w:tcBorders>
              <w:bottom w:val="single" w:sz="2" w:space="0" w:color="000000"/>
            </w:tcBorders>
            <w:shd w:fill="CCEEFF" w:val="clear"/>
            <w:tcMar>
              <w:bottom w:w="28" w:type="dxa"/>
            </w:tcMar>
            <w:vAlign w:val="center"/>
          </w:tcPr>
          <w:p>
            <w:pPr>
              <w:pStyle w:val="TableContents"/>
              <w:spacing w:before="0" w:after="283"/>
              <w:jc w:val="right"/>
              <w:rPr/>
            </w:pPr>
            <w:r>
              <w:rPr/>
              <w:t>(120,344</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57,783,342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6" w:type="dxa"/>
            <w:tcBorders>
              <w:bottom w:val="single" w:sz="2" w:space="0" w:color="000000"/>
            </w:tcBorders>
            <w:shd w:fill="CCEEFF" w:val="clear"/>
            <w:tcMar>
              <w:bottom w:w="28" w:type="dxa"/>
            </w:tcMar>
            <w:vAlign w:val="center"/>
          </w:tcPr>
          <w:p>
            <w:pPr>
              <w:pStyle w:val="TableContents"/>
              <w:spacing w:before="0" w:after="283"/>
              <w:jc w:val="right"/>
              <w:rPr/>
            </w:pPr>
            <w:r>
              <w:rPr/>
              <w:t>36.6</w:t>
            </w:r>
          </w:p>
        </w:tc>
        <w:tc>
          <w:tcPr>
            <w:tcW w:w="292" w:type="dxa"/>
            <w:tcBorders/>
            <w:shd w:fill="CCEEFF" w:val="clear"/>
            <w:vAlign w:val="center"/>
          </w:tcPr>
          <w:p>
            <w:pPr>
              <w:pStyle w:val="TableContents"/>
              <w:spacing w:before="0" w:after="283"/>
              <w:rPr/>
            </w:pPr>
            <w:r>
              <w:rPr/>
              <w:t>%</w:t>
            </w:r>
          </w:p>
        </w:tc>
      </w:tr>
      <w:tr>
        <w:trPr/>
        <w:tc>
          <w:tcPr>
            <w:tcW w:w="1518" w:type="dxa"/>
            <w:tcBorders/>
            <w:shd w:fill="FFFFFF" w:val="clear"/>
            <w:vAlign w:val="center"/>
          </w:tcPr>
          <w:p>
            <w:pPr>
              <w:pStyle w:val="TableContents"/>
              <w:spacing w:before="0" w:after="0"/>
              <w:ind w:left="0" w:right="0" w:firstLine="180"/>
              <w:rPr/>
            </w:pPr>
            <w:r>
              <w:rPr/>
              <w:t> </w:t>
            </w:r>
            <w:r>
              <w:rPr>
                <w:rFonts w:ascii="times new roman" w:hAnsi="times new roman"/>
                <w:sz w:val="20"/>
              </w:rPr>
              <w:t xml:space="preserve">Total fixed-maturity securities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155,808,478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010" w:type="dxa"/>
            <w:tcBorders>
              <w:bottom w:val="double" w:sz="6" w:space="0" w:color="000000"/>
            </w:tcBorders>
            <w:shd w:fill="FFFFFF" w:val="clear"/>
            <w:tcMar>
              <w:bottom w:w="28" w:type="dxa"/>
            </w:tcMar>
            <w:vAlign w:val="center"/>
          </w:tcPr>
          <w:p>
            <w:pPr>
              <w:pStyle w:val="TableContents"/>
              <w:spacing w:before="0" w:after="283"/>
              <w:jc w:val="right"/>
              <w:rPr/>
            </w:pPr>
            <w:r>
              <w:rPr/>
              <w:t>3,206,144</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3" w:type="dxa"/>
            <w:tcBorders>
              <w:bottom w:val="double" w:sz="6" w:space="0" w:color="000000"/>
            </w:tcBorders>
            <w:shd w:fill="FFFFFF" w:val="clear"/>
            <w:tcMar>
              <w:bottom w:w="28" w:type="dxa"/>
            </w:tcMar>
            <w:vAlign w:val="center"/>
          </w:tcPr>
          <w:p>
            <w:pPr>
              <w:pStyle w:val="TableContents"/>
              <w:spacing w:before="0" w:after="283"/>
              <w:rPr/>
            </w:pPr>
            <w:r>
              <w:rPr/>
              <w:t>$</w:t>
            </w:r>
          </w:p>
        </w:tc>
        <w:tc>
          <w:tcPr>
            <w:tcW w:w="977" w:type="dxa"/>
            <w:tcBorders>
              <w:bottom w:val="double" w:sz="6" w:space="0" w:color="000000"/>
            </w:tcBorders>
            <w:shd w:fill="FFFFFF" w:val="clear"/>
            <w:tcMar>
              <w:bottom w:w="28" w:type="dxa"/>
            </w:tcMar>
            <w:vAlign w:val="center"/>
          </w:tcPr>
          <w:p>
            <w:pPr>
              <w:pStyle w:val="TableContents"/>
              <w:spacing w:before="0" w:after="283"/>
              <w:jc w:val="right"/>
              <w:rPr/>
            </w:pPr>
            <w:r>
              <w:rPr/>
              <w:t>(814,168</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97" w:type="dxa"/>
            <w:tcBorders>
              <w:bottom w:val="double" w:sz="6" w:space="0" w:color="000000"/>
            </w:tcBorders>
            <w:shd w:fill="FFFFFF" w:val="clear"/>
            <w:tcMar>
              <w:bottom w:w="28" w:type="dxa"/>
            </w:tcMar>
            <w:vAlign w:val="center"/>
          </w:tcPr>
          <w:p>
            <w:pPr>
              <w:pStyle w:val="TableContents"/>
              <w:spacing w:before="0" w:after="283"/>
              <w:rPr/>
            </w:pPr>
            <w:r>
              <w:rPr/>
              <w:t>$</w:t>
            </w:r>
          </w:p>
        </w:tc>
        <w:tc>
          <w:tcPr>
            <w:tcW w:w="1053" w:type="dxa"/>
            <w:tcBorders>
              <w:bottom w:val="double" w:sz="6" w:space="0" w:color="000000"/>
            </w:tcBorders>
            <w:shd w:fill="FFFFFF" w:val="clear"/>
            <w:tcMar>
              <w:bottom w:w="28" w:type="dxa"/>
            </w:tcMar>
            <w:vAlign w:val="center"/>
          </w:tcPr>
          <w:p>
            <w:pPr>
              <w:pStyle w:val="TableContents"/>
              <w:spacing w:before="0" w:after="283"/>
              <w:jc w:val="right"/>
              <w:rPr/>
            </w:pPr>
            <w:r>
              <w:rPr/>
              <w:t>(120,344</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158,080,110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19" w:type="dxa"/>
            <w:tcBorders>
              <w:bottom w:val="double" w:sz="6" w:space="0" w:color="000000"/>
            </w:tcBorders>
            <w:shd w:fill="FFFFFF" w:val="clear"/>
            <w:tcMar>
              <w:bottom w:w="28" w:type="dxa"/>
            </w:tcMar>
            <w:vAlign w:val="center"/>
          </w:tcPr>
          <w:p>
            <w:pPr>
              <w:pStyle w:val="TableContents"/>
              <w:spacing w:before="0" w:after="0"/>
              <w:ind w:left="0" w:right="0" w:hanging="0"/>
              <w:rPr/>
            </w:pPr>
            <w:r>
              <w:rPr/>
              <w:t> </w:t>
            </w:r>
          </w:p>
        </w:tc>
        <w:tc>
          <w:tcPr>
            <w:tcW w:w="786" w:type="dxa"/>
            <w:tcBorders>
              <w:bottom w:val="double" w:sz="6" w:space="0" w:color="000000"/>
            </w:tcBorders>
            <w:shd w:fill="FFFFFF" w:val="clear"/>
            <w:tcMar>
              <w:bottom w:w="28" w:type="dxa"/>
            </w:tcMar>
            <w:vAlign w:val="center"/>
          </w:tcPr>
          <w:p>
            <w:pPr>
              <w:pStyle w:val="TableContents"/>
              <w:spacing w:before="0" w:after="283"/>
              <w:jc w:val="right"/>
              <w:rPr/>
            </w:pPr>
            <w:r>
              <w:rPr/>
              <w:t>100.0</w:t>
            </w:r>
          </w:p>
        </w:tc>
        <w:tc>
          <w:tcPr>
            <w:tcW w:w="292" w:type="dxa"/>
            <w:tcBorders/>
            <w:shd w:fill="FFFFFF" w:val="clear"/>
            <w:vAlign w:val="center"/>
          </w:tcPr>
          <w:p>
            <w:pPr>
              <w:pStyle w:val="TableContents"/>
              <w:spacing w:before="0" w:after="283"/>
              <w:rPr/>
            </w:pPr>
            <w:r>
              <w:rPr/>
              <w:t>%</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105"/>
        <w:gridCol w:w="540"/>
        <w:gridCol w:w="9560"/>
      </w:tblGrid>
      <w:tr>
        <w:trPr/>
        <w:tc>
          <w:tcPr>
            <w:tcW w:w="105" w:type="dxa"/>
            <w:tcBorders/>
            <w:shd w:fill="auto" w:val="clear"/>
            <w:vAlign w:val="center"/>
          </w:tcPr>
          <w:p>
            <w:pPr>
              <w:pStyle w:val="TableContents"/>
              <w:spacing w:before="0" w:after="0"/>
              <w:ind w:left="0" w:right="0" w:hanging="0"/>
              <w:rPr/>
            </w:pPr>
            <w:r>
              <w:rPr/>
              <w:t> </w:t>
            </w:r>
          </w:p>
        </w:tc>
        <w:tc>
          <w:tcPr>
            <w:tcW w:w="540"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560"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In October 2022, KICO placed certain U.S. Treasury Bills as required collateral for a sale leaseback transaction in a designated custodian account (see Note 9 - Debt - “Equipment Financing”). As of December 31, 2022, the estimated fair value of the eligible collateral was approximately $8,691,000.</w:t>
            </w:r>
          </w:p>
        </w:tc>
      </w:tr>
      <w:tr>
        <w:trPr/>
        <w:tc>
          <w:tcPr>
            <w:tcW w:w="105" w:type="dxa"/>
            <w:tcBorders/>
            <w:shd w:fill="auto" w:val="clear"/>
            <w:vAlign w:val="center"/>
          </w:tcPr>
          <w:p>
            <w:pPr>
              <w:pStyle w:val="TableContents"/>
              <w:spacing w:before="0" w:after="0"/>
              <w:ind w:left="0" w:right="0" w:hanging="0"/>
              <w:rPr/>
            </w:pPr>
            <w:r>
              <w:rPr/>
              <w:t> </w:t>
            </w:r>
          </w:p>
        </w:tc>
        <w:tc>
          <w:tcPr>
            <w:tcW w:w="540" w:type="dxa"/>
            <w:tcBorders/>
            <w:shd w:fill="auto" w:val="clear"/>
            <w:vAlign w:val="center"/>
          </w:tcPr>
          <w:p>
            <w:pPr>
              <w:pStyle w:val="TableContents"/>
              <w:spacing w:before="0" w:after="0"/>
              <w:ind w:left="0" w:right="0" w:firstLine="450"/>
              <w:rPr/>
            </w:pPr>
            <w:r>
              <w:rPr/>
              <w:t> </w:t>
            </w:r>
          </w:p>
        </w:tc>
        <w:tc>
          <w:tcPr>
            <w:tcW w:w="9560" w:type="dxa"/>
            <w:tcBorders/>
            <w:shd w:fill="auto" w:val="clear"/>
            <w:vAlign w:val="center"/>
          </w:tcPr>
          <w:p>
            <w:pPr>
              <w:pStyle w:val="TableContents"/>
              <w:spacing w:before="0" w:after="0"/>
              <w:ind w:left="0" w:right="0" w:hanging="0"/>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540"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560"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KICO has placed certain residential mortgage-backed securities as eligible collateral in a designated custodian account related to its membership in the Federal Home Loan Bank of New York (“FHLBNY”) (see Note 9 – Debt - “Federal Home Loan Bank”). The eligible collateral would be pledged to FHLBNY if KICO draws an advance from the FHLBNY credit line. As of December 31, 2022, the estimated fair value of the eligible investments was approximately $12,228,000. KICO will retain all rights regarding all securities if pledged as collateral. As of December 31, 2022 and 2021 there was no outstanding balance on the FHLBNY credit line.</w:t>
            </w:r>
          </w:p>
        </w:tc>
      </w:tr>
    </w:tbl>
    <w:p>
      <w:pPr>
        <w:pStyle w:val="TextBody"/>
        <w:spacing w:before="0" w:after="0"/>
        <w:ind w:left="0" w:right="0" w:hanging="0"/>
        <w:rPr/>
      </w:pPr>
      <w:r>
        <w:rPr/>
        <w:t xml:space="preserve">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47</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u w:val="single"/>
        </w:rPr>
      </w:pPr>
      <w:r>
        <w:rPr>
          <w:rFonts w:ascii="times new roman" w:hAnsi="times new roman"/>
          <w:sz w:val="20"/>
          <w:u w:val="single"/>
        </w:rPr>
        <w:t>Equity Securities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The following table presents a breakdown of the cost and estimated fair value of, and gross gains and losses on, investments in equity securities as of December 31, 2022 and 2021: </w:t>
      </w:r>
    </w:p>
    <w:p>
      <w:pPr>
        <w:pStyle w:val="TextBody"/>
        <w:spacing w:before="0" w:after="0"/>
        <w:ind w:left="0" w:right="0" w:firstLine="720"/>
        <w:jc w:val="both"/>
        <w:rPr/>
      </w:pPr>
      <w:r>
        <w:rPr/>
        <w:t> </w:t>
      </w:r>
    </w:p>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3258"/>
        <w:gridCol w:w="90"/>
        <w:gridCol w:w="170"/>
        <w:gridCol w:w="1130"/>
        <w:gridCol w:w="90"/>
        <w:gridCol w:w="90"/>
        <w:gridCol w:w="170"/>
        <w:gridCol w:w="830"/>
        <w:gridCol w:w="90"/>
        <w:gridCol w:w="90"/>
        <w:gridCol w:w="170"/>
        <w:gridCol w:w="1085"/>
        <w:gridCol w:w="125"/>
        <w:gridCol w:w="90"/>
        <w:gridCol w:w="170"/>
        <w:gridCol w:w="1130"/>
        <w:gridCol w:w="90"/>
        <w:gridCol w:w="90"/>
        <w:gridCol w:w="125"/>
        <w:gridCol w:w="831"/>
        <w:gridCol w:w="291"/>
      </w:tblGrid>
      <w:tr>
        <w:trPr/>
        <w:tc>
          <w:tcPr>
            <w:tcW w:w="3258"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6566" w:type="dxa"/>
            <w:gridSpan w:val="18"/>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2022</w:t>
            </w:r>
          </w:p>
        </w:tc>
        <w:tc>
          <w:tcPr>
            <w:tcW w:w="291" w:type="dxa"/>
            <w:tcBorders/>
            <w:shd w:fill="auto" w:val="clear"/>
            <w:vAlign w:val="center"/>
          </w:tcPr>
          <w:p>
            <w:pPr>
              <w:pStyle w:val="TableContents"/>
              <w:spacing w:before="0" w:after="0"/>
              <w:ind w:left="0" w:right="0" w:hanging="0"/>
              <w:rPr/>
            </w:pPr>
            <w:r>
              <w:rPr/>
              <w:t> </w:t>
            </w:r>
          </w:p>
        </w:tc>
      </w:tr>
      <w:tr>
        <w:trPr/>
        <w:tc>
          <w:tcPr>
            <w:tcW w:w="3258"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55"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56"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of</w:t>
            </w:r>
          </w:p>
        </w:tc>
        <w:tc>
          <w:tcPr>
            <w:tcW w:w="291" w:type="dxa"/>
            <w:tcBorders/>
            <w:shd w:fill="auto" w:val="clear"/>
            <w:vAlign w:val="center"/>
          </w:tcPr>
          <w:p>
            <w:pPr>
              <w:pStyle w:val="TableContents"/>
              <w:spacing w:before="0" w:after="0"/>
              <w:ind w:left="0" w:right="0" w:hanging="0"/>
              <w:rPr/>
            </w:pPr>
            <w:r>
              <w:rPr/>
              <w:t> </w:t>
            </w:r>
          </w:p>
        </w:tc>
      </w:tr>
      <w:tr>
        <w:trPr/>
        <w:tc>
          <w:tcPr>
            <w:tcW w:w="3258"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Gross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55"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Gross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Estimated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56"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Estimated</w:t>
            </w:r>
          </w:p>
        </w:tc>
        <w:tc>
          <w:tcPr>
            <w:tcW w:w="291" w:type="dxa"/>
            <w:tcBorders/>
            <w:shd w:fill="auto" w:val="clear"/>
            <w:vAlign w:val="center"/>
          </w:tcPr>
          <w:p>
            <w:pPr>
              <w:pStyle w:val="TableContents"/>
              <w:spacing w:before="0" w:after="0"/>
              <w:ind w:left="0" w:right="0" w:hanging="0"/>
              <w:rPr/>
            </w:pPr>
            <w:r>
              <w:rPr/>
              <w:t> </w:t>
            </w:r>
          </w:p>
        </w:tc>
      </w:tr>
      <w:tr>
        <w:trPr/>
        <w:tc>
          <w:tcPr>
            <w:tcW w:w="3258"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Fonts w:ascii="times new roman" w:hAnsi="times new roman"/>
                <w:sz w:val="20"/>
              </w:rPr>
              <w:t xml:space="preserve">Category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Cost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Gains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5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Losses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Fair Value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5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Fair Value</w:t>
            </w:r>
          </w:p>
        </w:tc>
        <w:tc>
          <w:tcPr>
            <w:tcW w:w="291" w:type="dxa"/>
            <w:tcBorders/>
            <w:shd w:fill="auto" w:val="clear"/>
            <w:vAlign w:val="center"/>
          </w:tcPr>
          <w:p>
            <w:pPr>
              <w:pStyle w:val="TableContents"/>
              <w:spacing w:before="0" w:after="0"/>
              <w:ind w:left="0" w:right="0" w:hanging="0"/>
              <w:rPr/>
            </w:pPr>
            <w:r>
              <w:rPr/>
              <w:t> </w:t>
            </w:r>
          </w:p>
        </w:tc>
      </w:tr>
      <w:tr>
        <w:trPr/>
        <w:tc>
          <w:tcPr>
            <w:tcW w:w="3258"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c>
          <w:tcPr>
            <w:tcW w:w="4027" w:type="dxa"/>
            <w:gridSpan w:val="10"/>
            <w:tcBorders/>
            <w:shd w:fill="auto" w:val="clear"/>
            <w:vAlign w:val="center"/>
          </w:tcPr>
          <w:p>
            <w:pPr>
              <w:pStyle w:val="TableContents"/>
              <w:spacing w:before="0" w:after="0"/>
              <w:ind w:left="0" w:right="0" w:hanging="0"/>
              <w:rPr/>
            </w:pPr>
            <w:r>
              <w:rPr/>
              <w:t> </w:t>
            </w:r>
          </w:p>
        </w:tc>
      </w:tr>
      <w:tr>
        <w:trPr/>
        <w:tc>
          <w:tcPr>
            <w:tcW w:w="3258" w:type="dxa"/>
            <w:tcBorders/>
            <w:shd w:fill="auto" w:val="clear"/>
            <w:vAlign w:val="center"/>
          </w:tcPr>
          <w:p>
            <w:pPr>
              <w:pStyle w:val="TableContents"/>
              <w:spacing w:before="0" w:after="0"/>
              <w:ind w:left="0" w:right="0" w:hanging="0"/>
              <w:rPr/>
            </w:pPr>
            <w:r>
              <w:rPr>
                <w:rStyle w:val="StrongEmphasis"/>
                <w:rFonts w:ascii="times new roman" w:hAnsi="times new roman"/>
                <w:sz w:val="20"/>
              </w:rPr>
              <w:t xml:space="preserve">Equity Securities: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5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56" w:type="dxa"/>
            <w:gridSpan w:val="2"/>
            <w:tcBorders/>
            <w:shd w:fill="auto" w:val="clear"/>
            <w:vAlign w:val="center"/>
          </w:tcPr>
          <w:p>
            <w:pPr>
              <w:pStyle w:val="TableContents"/>
              <w:spacing w:before="0" w:after="0"/>
              <w:ind w:left="0" w:right="0" w:hanging="0"/>
              <w:rPr/>
            </w:pPr>
            <w:r>
              <w:rPr/>
              <w:t> </w:t>
            </w:r>
          </w:p>
        </w:tc>
        <w:tc>
          <w:tcPr>
            <w:tcW w:w="291" w:type="dxa"/>
            <w:tcBorders/>
            <w:shd w:fill="auto" w:val="clear"/>
            <w:vAlign w:val="center"/>
          </w:tcPr>
          <w:p>
            <w:pPr>
              <w:pStyle w:val="TableContents"/>
              <w:spacing w:before="0" w:after="0"/>
              <w:ind w:left="0" w:right="0" w:hanging="0"/>
              <w:rPr/>
            </w:pPr>
            <w:r>
              <w:rPr/>
              <w:t> </w:t>
            </w:r>
          </w:p>
        </w:tc>
      </w:tr>
      <w:tr>
        <w:trPr/>
        <w:tc>
          <w:tcPr>
            <w:tcW w:w="3258"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Preferred stocks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13,583,942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83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85" w:type="dxa"/>
            <w:tcBorders/>
            <w:shd w:fill="CCEEFF" w:val="clear"/>
            <w:vAlign w:val="center"/>
          </w:tcPr>
          <w:p>
            <w:pPr>
              <w:pStyle w:val="TableContents"/>
              <w:spacing w:before="0" w:after="283"/>
              <w:jc w:val="right"/>
              <w:rPr/>
            </w:pPr>
            <w:r>
              <w:rPr/>
              <w:t>(3,589,313</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9,994,629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831" w:type="dxa"/>
            <w:tcBorders/>
            <w:shd w:fill="CCEEFF" w:val="clear"/>
            <w:vAlign w:val="center"/>
          </w:tcPr>
          <w:p>
            <w:pPr>
              <w:pStyle w:val="TableContents"/>
              <w:spacing w:before="0" w:after="283"/>
              <w:jc w:val="right"/>
              <w:rPr/>
            </w:pPr>
            <w:r>
              <w:rPr/>
              <w:t>72.2</w:t>
            </w:r>
          </w:p>
        </w:tc>
        <w:tc>
          <w:tcPr>
            <w:tcW w:w="291" w:type="dxa"/>
            <w:tcBorders/>
            <w:shd w:fill="CCEEFF" w:val="clear"/>
            <w:vAlign w:val="center"/>
          </w:tcPr>
          <w:p>
            <w:pPr>
              <w:pStyle w:val="TableContents"/>
              <w:spacing w:before="0" w:after="283"/>
              <w:rPr/>
            </w:pPr>
            <w:r>
              <w:rPr/>
              <w:t>%</w:t>
            </w:r>
          </w:p>
        </w:tc>
      </w:tr>
      <w:tr>
        <w:trPr/>
        <w:tc>
          <w:tcPr>
            <w:tcW w:w="3258"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Common stocks and exchange traded funds</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FFFFFF" w:val="clear"/>
            <w:tcMar>
              <w:bottom w:w="28" w:type="dxa"/>
            </w:tcMar>
            <w:vAlign w:val="center"/>
          </w:tcPr>
          <w:p>
            <w:pPr>
              <w:pStyle w:val="TableContents"/>
              <w:spacing w:before="0" w:after="283"/>
              <w:jc w:val="right"/>
              <w:rPr/>
            </w:pPr>
            <w:r>
              <w:rPr/>
              <w:t>4,502,758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158,635</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85" w:type="dxa"/>
            <w:tcBorders>
              <w:bottom w:val="single" w:sz="2" w:space="0" w:color="000000"/>
            </w:tcBorders>
            <w:shd w:fill="FFFFFF" w:val="clear"/>
            <w:tcMar>
              <w:bottom w:w="28" w:type="dxa"/>
            </w:tcMar>
            <w:vAlign w:val="center"/>
          </w:tcPr>
          <w:p>
            <w:pPr>
              <w:pStyle w:val="TableContents"/>
              <w:spacing w:before="0" w:after="283"/>
              <w:jc w:val="right"/>
              <w:rPr/>
            </w:pPr>
            <w:r>
              <w:rPr/>
              <w:t>(821,632</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FFFFFF" w:val="clear"/>
            <w:tcMar>
              <w:bottom w:w="28" w:type="dxa"/>
            </w:tcMar>
            <w:vAlign w:val="center"/>
          </w:tcPr>
          <w:p>
            <w:pPr>
              <w:pStyle w:val="TableContents"/>
              <w:spacing w:before="0" w:after="283"/>
              <w:jc w:val="right"/>
              <w:rPr/>
            </w:pPr>
            <w:r>
              <w:rPr/>
              <w:t>3,839,761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25"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1" w:type="dxa"/>
            <w:tcBorders>
              <w:bottom w:val="single" w:sz="2" w:space="0" w:color="000000"/>
            </w:tcBorders>
            <w:shd w:fill="FFFFFF" w:val="clear"/>
            <w:tcMar>
              <w:bottom w:w="28" w:type="dxa"/>
            </w:tcMar>
            <w:vAlign w:val="center"/>
          </w:tcPr>
          <w:p>
            <w:pPr>
              <w:pStyle w:val="TableContents"/>
              <w:spacing w:before="0" w:after="283"/>
              <w:jc w:val="right"/>
              <w:rPr/>
            </w:pPr>
            <w:r>
              <w:rPr/>
              <w:t>27.8</w:t>
            </w:r>
          </w:p>
        </w:tc>
        <w:tc>
          <w:tcPr>
            <w:tcW w:w="291" w:type="dxa"/>
            <w:tcBorders/>
            <w:shd w:fill="FFFFFF" w:val="clear"/>
            <w:vAlign w:val="center"/>
          </w:tcPr>
          <w:p>
            <w:pPr>
              <w:pStyle w:val="TableContents"/>
              <w:spacing w:before="0" w:after="283"/>
              <w:rPr/>
            </w:pPr>
            <w:r>
              <w:rPr/>
              <w:t>%</w:t>
            </w:r>
          </w:p>
        </w:tc>
      </w:tr>
      <w:tr>
        <w:trPr/>
        <w:tc>
          <w:tcPr>
            <w:tcW w:w="3258"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Total</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130" w:type="dxa"/>
            <w:tcBorders>
              <w:bottom w:val="double" w:sz="6" w:space="0" w:color="000000"/>
            </w:tcBorders>
            <w:shd w:fill="CCEEFF" w:val="clear"/>
            <w:tcMar>
              <w:bottom w:w="28" w:type="dxa"/>
            </w:tcMar>
            <w:vAlign w:val="center"/>
          </w:tcPr>
          <w:p>
            <w:pPr>
              <w:pStyle w:val="TableContents"/>
              <w:spacing w:before="0" w:after="283"/>
              <w:jc w:val="right"/>
              <w:rPr/>
            </w:pPr>
            <w:r>
              <w:rPr/>
              <w:t>18,086,700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830" w:type="dxa"/>
            <w:tcBorders>
              <w:bottom w:val="double" w:sz="6" w:space="0" w:color="000000"/>
            </w:tcBorders>
            <w:shd w:fill="CCEEFF" w:val="clear"/>
            <w:tcMar>
              <w:bottom w:w="28" w:type="dxa"/>
            </w:tcMar>
            <w:vAlign w:val="center"/>
          </w:tcPr>
          <w:p>
            <w:pPr>
              <w:pStyle w:val="TableContents"/>
              <w:spacing w:before="0" w:after="283"/>
              <w:jc w:val="right"/>
              <w:rPr/>
            </w:pPr>
            <w:r>
              <w:rPr/>
              <w:t>158,635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085" w:type="dxa"/>
            <w:tcBorders>
              <w:bottom w:val="double" w:sz="6" w:space="0" w:color="000000"/>
            </w:tcBorders>
            <w:shd w:fill="CCEEFF" w:val="clear"/>
            <w:tcMar>
              <w:bottom w:w="28" w:type="dxa"/>
            </w:tcMar>
            <w:vAlign w:val="center"/>
          </w:tcPr>
          <w:p>
            <w:pPr>
              <w:pStyle w:val="TableContents"/>
              <w:spacing w:before="0" w:after="283"/>
              <w:jc w:val="right"/>
              <w:rPr/>
            </w:pPr>
            <w:r>
              <w:rPr/>
              <w:t>(4,410,945</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130" w:type="dxa"/>
            <w:tcBorders>
              <w:bottom w:val="double" w:sz="6" w:space="0" w:color="000000"/>
            </w:tcBorders>
            <w:shd w:fill="CCEEFF" w:val="clear"/>
            <w:tcMar>
              <w:bottom w:w="28" w:type="dxa"/>
            </w:tcMar>
            <w:vAlign w:val="center"/>
          </w:tcPr>
          <w:p>
            <w:pPr>
              <w:pStyle w:val="TableContents"/>
              <w:spacing w:before="0" w:after="283"/>
              <w:jc w:val="right"/>
              <w:rPr/>
            </w:pPr>
            <w:r>
              <w:rPr/>
              <w:t>13,834,390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831" w:type="dxa"/>
            <w:tcBorders>
              <w:bottom w:val="double" w:sz="6" w:space="0" w:color="000000"/>
            </w:tcBorders>
            <w:shd w:fill="CCEEFF" w:val="clear"/>
            <w:tcMar>
              <w:bottom w:w="28" w:type="dxa"/>
            </w:tcMar>
            <w:vAlign w:val="center"/>
          </w:tcPr>
          <w:p>
            <w:pPr>
              <w:pStyle w:val="TableContents"/>
              <w:spacing w:before="0" w:after="283"/>
              <w:jc w:val="right"/>
              <w:rPr/>
            </w:pPr>
            <w:r>
              <w:rPr/>
              <w:t>100.0</w:t>
            </w:r>
          </w:p>
        </w:tc>
        <w:tc>
          <w:tcPr>
            <w:tcW w:w="291" w:type="dxa"/>
            <w:tcBorders/>
            <w:shd w:fill="CCEEFF" w:val="clear"/>
            <w:vAlign w:val="center"/>
          </w:tcPr>
          <w:p>
            <w:pPr>
              <w:pStyle w:val="TableContents"/>
              <w:spacing w:before="0" w:after="283"/>
              <w:rPr/>
            </w:pPr>
            <w:r>
              <w:rPr/>
              <w:t>%</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3258"/>
        <w:gridCol w:w="90"/>
        <w:gridCol w:w="170"/>
        <w:gridCol w:w="1130"/>
        <w:gridCol w:w="90"/>
        <w:gridCol w:w="90"/>
        <w:gridCol w:w="170"/>
        <w:gridCol w:w="1010"/>
        <w:gridCol w:w="90"/>
        <w:gridCol w:w="90"/>
        <w:gridCol w:w="170"/>
        <w:gridCol w:w="905"/>
        <w:gridCol w:w="125"/>
        <w:gridCol w:w="90"/>
        <w:gridCol w:w="170"/>
        <w:gridCol w:w="1130"/>
        <w:gridCol w:w="90"/>
        <w:gridCol w:w="90"/>
        <w:gridCol w:w="125"/>
        <w:gridCol w:w="831"/>
        <w:gridCol w:w="291"/>
      </w:tblGrid>
      <w:tr>
        <w:trPr/>
        <w:tc>
          <w:tcPr>
            <w:tcW w:w="3258"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6566" w:type="dxa"/>
            <w:gridSpan w:val="18"/>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2021</w:t>
            </w:r>
          </w:p>
        </w:tc>
        <w:tc>
          <w:tcPr>
            <w:tcW w:w="291" w:type="dxa"/>
            <w:tcBorders/>
            <w:shd w:fill="auto" w:val="clear"/>
            <w:vAlign w:val="center"/>
          </w:tcPr>
          <w:p>
            <w:pPr>
              <w:pStyle w:val="TableContents"/>
              <w:spacing w:before="0" w:after="0"/>
              <w:ind w:left="0" w:right="0" w:hanging="0"/>
              <w:rPr/>
            </w:pPr>
            <w:r>
              <w:rPr/>
              <w:t> </w:t>
            </w:r>
          </w:p>
        </w:tc>
      </w:tr>
      <w:tr>
        <w:trPr/>
        <w:tc>
          <w:tcPr>
            <w:tcW w:w="3258"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56"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of</w:t>
            </w:r>
          </w:p>
        </w:tc>
        <w:tc>
          <w:tcPr>
            <w:tcW w:w="291" w:type="dxa"/>
            <w:tcBorders/>
            <w:shd w:fill="auto" w:val="clear"/>
            <w:vAlign w:val="center"/>
          </w:tcPr>
          <w:p>
            <w:pPr>
              <w:pStyle w:val="TableContents"/>
              <w:spacing w:before="0" w:after="0"/>
              <w:ind w:left="0" w:right="0" w:hanging="0"/>
              <w:rPr/>
            </w:pPr>
            <w:r>
              <w:rPr/>
              <w:t> </w:t>
            </w:r>
          </w:p>
        </w:tc>
      </w:tr>
      <w:tr>
        <w:trPr/>
        <w:tc>
          <w:tcPr>
            <w:tcW w:w="3258"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Gross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Gross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Estimated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56"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Estimated</w:t>
            </w:r>
          </w:p>
        </w:tc>
        <w:tc>
          <w:tcPr>
            <w:tcW w:w="291" w:type="dxa"/>
            <w:tcBorders/>
            <w:shd w:fill="auto" w:val="clear"/>
            <w:vAlign w:val="center"/>
          </w:tcPr>
          <w:p>
            <w:pPr>
              <w:pStyle w:val="TableContents"/>
              <w:spacing w:before="0" w:after="0"/>
              <w:ind w:left="0" w:right="0" w:hanging="0"/>
              <w:rPr/>
            </w:pPr>
            <w:r>
              <w:rPr/>
              <w:t> </w:t>
            </w:r>
          </w:p>
        </w:tc>
      </w:tr>
      <w:tr>
        <w:trPr/>
        <w:tc>
          <w:tcPr>
            <w:tcW w:w="3258"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Fonts w:ascii="times new roman" w:hAnsi="times new roman"/>
                <w:sz w:val="20"/>
              </w:rPr>
              <w:t xml:space="preserve">Category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Cost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Gains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Losses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Fair Value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5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Fair Value</w:t>
            </w:r>
          </w:p>
        </w:tc>
        <w:tc>
          <w:tcPr>
            <w:tcW w:w="291" w:type="dxa"/>
            <w:tcBorders/>
            <w:shd w:fill="auto" w:val="clear"/>
            <w:vAlign w:val="center"/>
          </w:tcPr>
          <w:p>
            <w:pPr>
              <w:pStyle w:val="TableContents"/>
              <w:spacing w:before="0" w:after="0"/>
              <w:ind w:left="0" w:right="0" w:hanging="0"/>
              <w:rPr/>
            </w:pPr>
            <w:r>
              <w:rPr/>
              <w:t> </w:t>
            </w:r>
          </w:p>
        </w:tc>
      </w:tr>
      <w:tr>
        <w:trPr/>
        <w:tc>
          <w:tcPr>
            <w:tcW w:w="3258"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c>
          <w:tcPr>
            <w:tcW w:w="3847" w:type="dxa"/>
            <w:gridSpan w:val="10"/>
            <w:tcBorders/>
            <w:shd w:fill="auto" w:val="clear"/>
            <w:vAlign w:val="center"/>
          </w:tcPr>
          <w:p>
            <w:pPr>
              <w:pStyle w:val="TableContents"/>
              <w:spacing w:before="0" w:after="0"/>
              <w:ind w:left="0" w:right="0" w:hanging="0"/>
              <w:rPr/>
            </w:pPr>
            <w:r>
              <w:rPr/>
              <w:t> </w:t>
            </w:r>
          </w:p>
        </w:tc>
      </w:tr>
      <w:tr>
        <w:trPr/>
        <w:tc>
          <w:tcPr>
            <w:tcW w:w="3258" w:type="dxa"/>
            <w:tcBorders/>
            <w:shd w:fill="auto" w:val="clear"/>
            <w:vAlign w:val="center"/>
          </w:tcPr>
          <w:p>
            <w:pPr>
              <w:pStyle w:val="TableContents"/>
              <w:spacing w:before="0" w:after="0"/>
              <w:ind w:left="0" w:right="0" w:hanging="0"/>
              <w:rPr/>
            </w:pPr>
            <w:r>
              <w:rPr>
                <w:rStyle w:val="StrongEmphasis"/>
                <w:rFonts w:ascii="times new roman" w:hAnsi="times new roman"/>
                <w:sz w:val="20"/>
              </w:rPr>
              <w:t xml:space="preserve">Equity Securities: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56" w:type="dxa"/>
            <w:gridSpan w:val="2"/>
            <w:tcBorders/>
            <w:shd w:fill="auto" w:val="clear"/>
            <w:vAlign w:val="center"/>
          </w:tcPr>
          <w:p>
            <w:pPr>
              <w:pStyle w:val="TableContents"/>
              <w:spacing w:before="0" w:after="0"/>
              <w:ind w:left="0" w:right="0" w:hanging="0"/>
              <w:rPr/>
            </w:pPr>
            <w:r>
              <w:rPr/>
              <w:t> </w:t>
            </w:r>
          </w:p>
        </w:tc>
        <w:tc>
          <w:tcPr>
            <w:tcW w:w="291" w:type="dxa"/>
            <w:tcBorders/>
            <w:shd w:fill="auto" w:val="clear"/>
            <w:vAlign w:val="center"/>
          </w:tcPr>
          <w:p>
            <w:pPr>
              <w:pStyle w:val="TableContents"/>
              <w:spacing w:before="0" w:after="0"/>
              <w:ind w:left="0" w:right="0" w:hanging="0"/>
              <w:rPr/>
            </w:pPr>
            <w:r>
              <w:rPr/>
              <w:t> </w:t>
            </w:r>
          </w:p>
        </w:tc>
      </w:tr>
      <w:tr>
        <w:trPr/>
        <w:tc>
          <w:tcPr>
            <w:tcW w:w="3258"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Preferred stocks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22,019,509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1,007,009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905" w:type="dxa"/>
            <w:tcBorders/>
            <w:shd w:fill="CCEEFF" w:val="clear"/>
            <w:vAlign w:val="center"/>
          </w:tcPr>
          <w:p>
            <w:pPr>
              <w:pStyle w:val="TableContents"/>
              <w:spacing w:before="0" w:after="283"/>
              <w:jc w:val="right"/>
              <w:rPr/>
            </w:pPr>
            <w:r>
              <w:rPr/>
              <w:t>(184,617</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22,841,901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831" w:type="dxa"/>
            <w:tcBorders/>
            <w:shd w:fill="CCEEFF" w:val="clear"/>
            <w:vAlign w:val="center"/>
          </w:tcPr>
          <w:p>
            <w:pPr>
              <w:pStyle w:val="TableContents"/>
              <w:spacing w:before="0" w:after="283"/>
              <w:jc w:val="right"/>
              <w:rPr/>
            </w:pPr>
            <w:r>
              <w:rPr/>
              <w:t>57.6</w:t>
            </w:r>
          </w:p>
        </w:tc>
        <w:tc>
          <w:tcPr>
            <w:tcW w:w="291" w:type="dxa"/>
            <w:tcBorders/>
            <w:shd w:fill="CCEEFF" w:val="clear"/>
            <w:vAlign w:val="center"/>
          </w:tcPr>
          <w:p>
            <w:pPr>
              <w:pStyle w:val="TableContents"/>
              <w:spacing w:before="0" w:after="283"/>
              <w:rPr/>
            </w:pPr>
            <w:r>
              <w:rPr/>
              <w:t>%</w:t>
            </w:r>
          </w:p>
        </w:tc>
      </w:tr>
      <w:tr>
        <w:trPr/>
        <w:tc>
          <w:tcPr>
            <w:tcW w:w="3258"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Common stocks and exchange traded funds</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CCEEFF" w:val="clear"/>
            <w:tcMar>
              <w:bottom w:w="28" w:type="dxa"/>
            </w:tcMar>
            <w:vAlign w:val="center"/>
          </w:tcPr>
          <w:p>
            <w:pPr>
              <w:pStyle w:val="TableContents"/>
              <w:spacing w:before="0" w:after="283"/>
              <w:jc w:val="right"/>
              <w:rPr/>
            </w:pPr>
            <w:r>
              <w:rPr/>
              <w:t>15,451,160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1,573,653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05" w:type="dxa"/>
            <w:tcBorders>
              <w:bottom w:val="single" w:sz="2" w:space="0" w:color="000000"/>
            </w:tcBorders>
            <w:shd w:fill="CCEEFF" w:val="clear"/>
            <w:tcMar>
              <w:bottom w:w="28" w:type="dxa"/>
            </w:tcMar>
            <w:vAlign w:val="center"/>
          </w:tcPr>
          <w:p>
            <w:pPr>
              <w:pStyle w:val="TableContents"/>
              <w:spacing w:before="0" w:after="283"/>
              <w:jc w:val="right"/>
              <w:rPr/>
            </w:pPr>
            <w:r>
              <w:rPr/>
              <w:t>(179,712</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CCEEFF" w:val="clear"/>
            <w:tcMar>
              <w:bottom w:w="28" w:type="dxa"/>
            </w:tcMar>
            <w:vAlign w:val="center"/>
          </w:tcPr>
          <w:p>
            <w:pPr>
              <w:pStyle w:val="TableContents"/>
              <w:spacing w:before="0" w:after="283"/>
              <w:jc w:val="right"/>
              <w:rPr/>
            </w:pPr>
            <w:r>
              <w:rPr/>
              <w:t>16,845,101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2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1" w:type="dxa"/>
            <w:tcBorders>
              <w:bottom w:val="single" w:sz="2" w:space="0" w:color="000000"/>
            </w:tcBorders>
            <w:shd w:fill="CCEEFF" w:val="clear"/>
            <w:tcMar>
              <w:bottom w:w="28" w:type="dxa"/>
            </w:tcMar>
            <w:vAlign w:val="center"/>
          </w:tcPr>
          <w:p>
            <w:pPr>
              <w:pStyle w:val="TableContents"/>
              <w:spacing w:before="0" w:after="283"/>
              <w:jc w:val="right"/>
              <w:rPr/>
            </w:pPr>
            <w:r>
              <w:rPr/>
              <w:t>42.4</w:t>
            </w:r>
          </w:p>
        </w:tc>
        <w:tc>
          <w:tcPr>
            <w:tcW w:w="291" w:type="dxa"/>
            <w:tcBorders/>
            <w:shd w:fill="CCEEFF" w:val="clear"/>
            <w:vAlign w:val="center"/>
          </w:tcPr>
          <w:p>
            <w:pPr>
              <w:pStyle w:val="TableContents"/>
              <w:spacing w:before="0" w:after="283"/>
              <w:rPr/>
            </w:pPr>
            <w:r>
              <w:rPr/>
              <w:t>%</w:t>
            </w:r>
          </w:p>
        </w:tc>
      </w:tr>
      <w:tr>
        <w:trPr/>
        <w:tc>
          <w:tcPr>
            <w:tcW w:w="3258"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Total</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130" w:type="dxa"/>
            <w:tcBorders>
              <w:bottom w:val="double" w:sz="6" w:space="0" w:color="000000"/>
            </w:tcBorders>
            <w:shd w:fill="FFFFFF" w:val="clear"/>
            <w:tcMar>
              <w:bottom w:w="28" w:type="dxa"/>
            </w:tcMar>
            <w:vAlign w:val="center"/>
          </w:tcPr>
          <w:p>
            <w:pPr>
              <w:pStyle w:val="TableContents"/>
              <w:spacing w:before="0" w:after="283"/>
              <w:jc w:val="right"/>
              <w:rPr/>
            </w:pPr>
            <w:r>
              <w:rPr/>
              <w:t>37,470,669</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010" w:type="dxa"/>
            <w:tcBorders>
              <w:bottom w:val="double" w:sz="6" w:space="0" w:color="000000"/>
            </w:tcBorders>
            <w:shd w:fill="FFFFFF" w:val="clear"/>
            <w:tcMar>
              <w:bottom w:w="28" w:type="dxa"/>
            </w:tcMar>
            <w:vAlign w:val="center"/>
          </w:tcPr>
          <w:p>
            <w:pPr>
              <w:pStyle w:val="TableContents"/>
              <w:spacing w:before="0" w:after="283"/>
              <w:jc w:val="right"/>
              <w:rPr/>
            </w:pPr>
            <w:r>
              <w:rPr/>
              <w:t>2,580,662</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905" w:type="dxa"/>
            <w:tcBorders>
              <w:bottom w:val="double" w:sz="6" w:space="0" w:color="000000"/>
            </w:tcBorders>
            <w:shd w:fill="FFFFFF" w:val="clear"/>
            <w:tcMar>
              <w:bottom w:w="28" w:type="dxa"/>
            </w:tcMar>
            <w:vAlign w:val="center"/>
          </w:tcPr>
          <w:p>
            <w:pPr>
              <w:pStyle w:val="TableContents"/>
              <w:spacing w:before="0" w:after="283"/>
              <w:jc w:val="right"/>
              <w:rPr/>
            </w:pPr>
            <w:r>
              <w:rPr/>
              <w:t>(364,329</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130" w:type="dxa"/>
            <w:tcBorders>
              <w:bottom w:val="double" w:sz="6" w:space="0" w:color="000000"/>
            </w:tcBorders>
            <w:shd w:fill="FFFFFF" w:val="clear"/>
            <w:tcMar>
              <w:bottom w:w="28" w:type="dxa"/>
            </w:tcMar>
            <w:vAlign w:val="center"/>
          </w:tcPr>
          <w:p>
            <w:pPr>
              <w:pStyle w:val="TableContents"/>
              <w:spacing w:before="0" w:after="283"/>
              <w:jc w:val="right"/>
              <w:rPr/>
            </w:pPr>
            <w:r>
              <w:rPr/>
              <w:t>39,687,002</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0"/>
              <w:ind w:left="0" w:right="0" w:hanging="0"/>
              <w:rPr/>
            </w:pPr>
            <w:r>
              <w:rPr/>
              <w:t> </w:t>
            </w:r>
          </w:p>
        </w:tc>
        <w:tc>
          <w:tcPr>
            <w:tcW w:w="831" w:type="dxa"/>
            <w:tcBorders>
              <w:bottom w:val="double" w:sz="6" w:space="0" w:color="000000"/>
            </w:tcBorders>
            <w:shd w:fill="FFFFFF" w:val="clear"/>
            <w:tcMar>
              <w:bottom w:w="28" w:type="dxa"/>
            </w:tcMar>
            <w:vAlign w:val="center"/>
          </w:tcPr>
          <w:p>
            <w:pPr>
              <w:pStyle w:val="TableContents"/>
              <w:spacing w:before="0" w:after="283"/>
              <w:jc w:val="right"/>
              <w:rPr/>
            </w:pPr>
            <w:r>
              <w:rPr/>
              <w:t>100.0</w:t>
            </w:r>
          </w:p>
        </w:tc>
        <w:tc>
          <w:tcPr>
            <w:tcW w:w="291" w:type="dxa"/>
            <w:tcBorders/>
            <w:shd w:fill="FFFFFF" w:val="clear"/>
            <w:vAlign w:val="center"/>
          </w:tcPr>
          <w:p>
            <w:pPr>
              <w:pStyle w:val="TableContents"/>
              <w:spacing w:before="0" w:after="283"/>
              <w:rPr/>
            </w:pPr>
            <w:r>
              <w:rPr/>
              <w:t>%</w:t>
            </w:r>
          </w:p>
        </w:tc>
      </w:tr>
    </w:tbl>
    <w:p>
      <w:pPr>
        <w:pStyle w:val="TextBody"/>
        <w:spacing w:before="0" w:after="0"/>
        <w:ind w:left="0" w:right="0" w:hanging="0"/>
        <w:rPr/>
      </w:pPr>
      <w:r>
        <w:rPr/>
        <w:t> </w:t>
      </w:r>
    </w:p>
    <w:p>
      <w:pPr>
        <w:pStyle w:val="TextBody"/>
        <w:spacing w:before="0" w:after="0"/>
        <w:ind w:left="0" w:right="0" w:hanging="0"/>
        <w:jc w:val="both"/>
        <w:rPr/>
      </w:pPr>
      <w:r>
        <w:rPr/>
        <w:t xml:space="preserve">                     </w:t>
      </w:r>
      <w:r>
        <w:rPr>
          <w:rFonts w:ascii="times new roman" w:hAnsi="times new roman"/>
          <w:sz w:val="20"/>
          <w:u w:val="single"/>
        </w:rPr>
        <w:t>Other Investments</w:t>
      </w:r>
    </w:p>
    <w:p>
      <w:pPr>
        <w:pStyle w:val="TextBody"/>
        <w:spacing w:before="0" w:after="0"/>
        <w:ind w:left="0" w:right="0" w:hanging="0"/>
        <w:jc w:val="both"/>
        <w:rPr/>
      </w:pPr>
      <w:r>
        <w:rPr/>
        <w:t> </w:t>
      </w:r>
    </w:p>
    <w:p>
      <w:pPr>
        <w:pStyle w:val="TextBody"/>
        <w:spacing w:before="0" w:after="0"/>
        <w:ind w:left="0" w:right="0" w:hanging="0"/>
        <w:jc w:val="both"/>
        <w:rPr/>
      </w:pPr>
      <w:r>
        <w:rPr/>
        <w:t xml:space="preserve">                     </w:t>
      </w:r>
      <w:r>
        <w:rPr>
          <w:rFonts w:ascii="times new roman" w:hAnsi="times new roman"/>
          <w:sz w:val="20"/>
        </w:rPr>
        <w:t>The following table presents a breakdown of the cost and estimated fair value of, and gross gains on, our other investments as of December 31, 2022 and 2021:</w:t>
      </w:r>
    </w:p>
    <w:p>
      <w:pPr>
        <w:pStyle w:val="TextBody"/>
        <w:spacing w:before="0" w:after="0"/>
        <w:ind w:left="0" w:right="0" w:hanging="0"/>
        <w:jc w:val="both"/>
        <w:rPr/>
      </w:pPr>
      <w:r>
        <w:rPr/>
        <w:t> </w:t>
      </w:r>
    </w:p>
    <w:tbl>
      <w:tblPr>
        <w:tblW w:w="9665" w:type="dxa"/>
        <w:jc w:val="left"/>
        <w:tblInd w:w="0" w:type="dxa"/>
        <w:tblCellMar>
          <w:top w:w="0" w:type="dxa"/>
          <w:left w:w="0" w:type="dxa"/>
          <w:bottom w:w="0" w:type="dxa"/>
          <w:right w:w="0" w:type="dxa"/>
        </w:tblCellMar>
      </w:tblPr>
      <w:tblGrid>
        <w:gridCol w:w="1640"/>
        <w:gridCol w:w="90"/>
        <w:gridCol w:w="170"/>
        <w:gridCol w:w="1010"/>
        <w:gridCol w:w="90"/>
        <w:gridCol w:w="90"/>
        <w:gridCol w:w="170"/>
        <w:gridCol w:w="830"/>
        <w:gridCol w:w="90"/>
        <w:gridCol w:w="90"/>
        <w:gridCol w:w="170"/>
        <w:gridCol w:w="1010"/>
        <w:gridCol w:w="90"/>
        <w:gridCol w:w="90"/>
        <w:gridCol w:w="170"/>
        <w:gridCol w:w="1010"/>
        <w:gridCol w:w="90"/>
        <w:gridCol w:w="90"/>
        <w:gridCol w:w="170"/>
        <w:gridCol w:w="1010"/>
        <w:gridCol w:w="90"/>
        <w:gridCol w:w="90"/>
        <w:gridCol w:w="170"/>
        <w:gridCol w:w="1010"/>
        <w:gridCol w:w="135"/>
      </w:tblGrid>
      <w:tr>
        <w:trPr/>
        <w:tc>
          <w:tcPr>
            <w:tcW w:w="164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720" w:type="dxa"/>
            <w:gridSpan w:val="10"/>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2022</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3900" w:type="dxa"/>
            <w:gridSpan w:val="10"/>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2021</w:t>
            </w:r>
          </w:p>
        </w:tc>
        <w:tc>
          <w:tcPr>
            <w:tcW w:w="135" w:type="dxa"/>
            <w:tcBorders/>
            <w:shd w:fill="auto" w:val="clear"/>
            <w:vAlign w:val="center"/>
          </w:tcPr>
          <w:p>
            <w:pPr>
              <w:pStyle w:val="TableContents"/>
              <w:spacing w:before="0" w:after="0"/>
              <w:ind w:left="0" w:right="0" w:hanging="0"/>
              <w:rPr/>
            </w:pPr>
            <w:r>
              <w:rPr>
                <w:rStyle w:val="StrongEmphasis"/>
              </w:rPr>
              <w:t> </w:t>
            </w:r>
          </w:p>
        </w:tc>
      </w:tr>
      <w:tr>
        <w:trPr/>
        <w:tc>
          <w:tcPr>
            <w:tcW w:w="164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180" w:type="dxa"/>
            <w:gridSpan w:val="2"/>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00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Gross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Estimated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180" w:type="dxa"/>
            <w:gridSpan w:val="2"/>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Gross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Estimated </w:t>
            </w:r>
          </w:p>
        </w:tc>
        <w:tc>
          <w:tcPr>
            <w:tcW w:w="135" w:type="dxa"/>
            <w:tcBorders/>
            <w:shd w:fill="auto" w:val="clear"/>
            <w:vAlign w:val="center"/>
          </w:tcPr>
          <w:p>
            <w:pPr>
              <w:pStyle w:val="TableContents"/>
              <w:spacing w:before="0" w:after="0"/>
              <w:ind w:left="0" w:right="0" w:hanging="0"/>
              <w:rPr/>
            </w:pPr>
            <w:r>
              <w:rPr>
                <w:rStyle w:val="StrongEmphasis"/>
              </w:rPr>
              <w:t> </w:t>
            </w:r>
          </w:p>
        </w:tc>
      </w:tr>
      <w:tr>
        <w:trPr/>
        <w:tc>
          <w:tcPr>
            <w:tcW w:w="1640" w:type="dxa"/>
            <w:tcBorders>
              <w:bottom w:val="single" w:sz="8" w:space="0" w:color="000000"/>
            </w:tcBorders>
            <w:shd w:fill="auto" w:val="clear"/>
            <w:tcMar>
              <w:bottom w:w="28" w:type="dxa"/>
            </w:tcMar>
            <w:vAlign w:val="center"/>
          </w:tcPr>
          <w:p>
            <w:pPr>
              <w:pStyle w:val="TableContents"/>
              <w:spacing w:before="0" w:after="0"/>
              <w:ind w:left="0" w:right="0" w:hanging="0"/>
              <w:jc w:val="left"/>
              <w:rPr/>
            </w:pPr>
            <w:r>
              <w:rPr>
                <w:rStyle w:val="StrongEmphasis"/>
                <w:rFonts w:ascii="times new roman" w:hAnsi="times new roman"/>
                <w:sz w:val="20"/>
              </w:rPr>
              <w:t xml:space="preserve">Category </w:t>
            </w:r>
          </w:p>
        </w:tc>
        <w:tc>
          <w:tcPr>
            <w:tcW w:w="90" w:type="dxa"/>
            <w:tcBorders/>
            <w:shd w:fill="auto" w:val="clear"/>
            <w:vAlign w:val="center"/>
          </w:tcPr>
          <w:p>
            <w:pPr>
              <w:pStyle w:val="TableContents"/>
              <w:spacing w:before="0" w:after="0"/>
              <w:ind w:left="0" w:right="0" w:hanging="0"/>
              <w:rPr/>
            </w:pPr>
            <w:r>
              <w:rPr>
                <w:rStyle w:val="StrongEmphasis"/>
              </w:rPr>
              <w:t> </w:t>
            </w:r>
          </w:p>
        </w:tc>
        <w:tc>
          <w:tcPr>
            <w:tcW w:w="118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Cost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00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Gains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18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Fair Value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18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Cost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18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Gains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18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Fair Value </w:t>
            </w:r>
          </w:p>
        </w:tc>
        <w:tc>
          <w:tcPr>
            <w:tcW w:w="135" w:type="dxa"/>
            <w:tcBorders/>
            <w:shd w:fill="auto" w:val="clear"/>
            <w:vAlign w:val="center"/>
          </w:tcPr>
          <w:p>
            <w:pPr>
              <w:pStyle w:val="TableContents"/>
              <w:spacing w:before="0" w:after="0"/>
              <w:ind w:left="0" w:right="0" w:hanging="0"/>
              <w:rPr/>
            </w:pPr>
            <w:r>
              <w:rPr/>
              <w:t> </w:t>
            </w:r>
          </w:p>
        </w:tc>
      </w:tr>
      <w:tr>
        <w:trPr/>
        <w:tc>
          <w:tcPr>
            <w:tcW w:w="164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Other Investments: </w:t>
            </w:r>
          </w:p>
        </w:tc>
        <w:tc>
          <w:tcPr>
            <w:tcW w:w="90" w:type="dxa"/>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60" w:type="dxa"/>
            <w:gridSpan w:val="2"/>
            <w:tcBorders/>
            <w:shd w:fill="auto" w:val="clear"/>
            <w:vAlign w:val="center"/>
          </w:tcPr>
          <w:p>
            <w:pPr>
              <w:pStyle w:val="TableContents"/>
              <w:spacing w:before="0" w:after="0"/>
              <w:ind w:left="0" w:right="0" w:hanging="0"/>
              <w:rPr/>
            </w:pPr>
            <w:r>
              <w:rPr/>
              <w:t> </w:t>
            </w:r>
          </w:p>
        </w:tc>
        <w:tc>
          <w:tcPr>
            <w:tcW w:w="83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60" w:type="dxa"/>
            <w:gridSpan w:val="2"/>
            <w:tcBorders/>
            <w:shd w:fill="auto" w:val="clear"/>
            <w:vAlign w:val="center"/>
          </w:tcPr>
          <w:p>
            <w:pPr>
              <w:pStyle w:val="TableContents"/>
              <w:spacing w:before="0" w:after="0"/>
              <w:ind w:left="0" w:right="0" w:hanging="0"/>
              <w:rPr/>
            </w:pPr>
            <w:r>
              <w:rPr/>
              <w:t> </w:t>
            </w:r>
          </w:p>
        </w:tc>
        <w:tc>
          <w:tcPr>
            <w:tcW w:w="101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60" w:type="dxa"/>
            <w:gridSpan w:val="2"/>
            <w:tcBorders/>
            <w:shd w:fill="auto" w:val="clear"/>
            <w:vAlign w:val="center"/>
          </w:tcPr>
          <w:p>
            <w:pPr>
              <w:pStyle w:val="TableContents"/>
              <w:spacing w:before="0" w:after="0"/>
              <w:ind w:left="0" w:right="0" w:hanging="0"/>
              <w:rPr/>
            </w:pPr>
            <w:r>
              <w:rPr/>
              <w:t> </w:t>
            </w:r>
          </w:p>
        </w:tc>
        <w:tc>
          <w:tcPr>
            <w:tcW w:w="101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60" w:type="dxa"/>
            <w:gridSpan w:val="2"/>
            <w:tcBorders/>
            <w:shd w:fill="auto" w:val="clear"/>
            <w:vAlign w:val="center"/>
          </w:tcPr>
          <w:p>
            <w:pPr>
              <w:pStyle w:val="TableContents"/>
              <w:spacing w:before="0" w:after="0"/>
              <w:ind w:left="0" w:right="0" w:hanging="0"/>
              <w:rPr/>
            </w:pPr>
            <w:r>
              <w:rPr/>
              <w:t> </w:t>
            </w:r>
          </w:p>
        </w:tc>
        <w:tc>
          <w:tcPr>
            <w:tcW w:w="101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60" w:type="dxa"/>
            <w:gridSpan w:val="2"/>
            <w:tcBorders/>
            <w:shd w:fill="auto" w:val="clear"/>
            <w:vAlign w:val="center"/>
          </w:tcPr>
          <w:p>
            <w:pPr>
              <w:pStyle w:val="TableContents"/>
              <w:spacing w:before="0" w:after="0"/>
              <w:ind w:left="0" w:right="0" w:hanging="0"/>
              <w:rPr/>
            </w:pPr>
            <w:r>
              <w:rPr/>
              <w:t> </w:t>
            </w:r>
          </w:p>
        </w:tc>
        <w:tc>
          <w:tcPr>
            <w:tcW w:w="1010" w:type="dxa"/>
            <w:tcBorders/>
            <w:shd w:fill="auto" w:val="clear"/>
            <w:vAlign w:val="center"/>
          </w:tcPr>
          <w:p>
            <w:pPr>
              <w:pStyle w:val="TableContents"/>
              <w:spacing w:before="0" w:after="0"/>
              <w:ind w:left="0" w:right="0" w:hanging="0"/>
              <w:rPr/>
            </w:pPr>
            <w:r>
              <w:rPr/>
              <w:t> </w:t>
            </w:r>
          </w:p>
        </w:tc>
        <w:tc>
          <w:tcPr>
            <w:tcW w:w="135" w:type="dxa"/>
            <w:tcBorders/>
            <w:shd w:fill="auto" w:val="clear"/>
          </w:tcPr>
          <w:p>
            <w:pPr>
              <w:pStyle w:val="TableContents"/>
              <w:spacing w:before="0" w:after="283"/>
              <w:rPr>
                <w:sz w:val="4"/>
                <w:szCs w:val="4"/>
              </w:rPr>
            </w:pPr>
            <w:r>
              <w:rPr>
                <w:sz w:val="4"/>
                <w:szCs w:val="4"/>
              </w:rPr>
            </w:r>
          </w:p>
        </w:tc>
      </w:tr>
      <w:tr>
        <w:trPr/>
        <w:tc>
          <w:tcPr>
            <w:tcW w:w="1640"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Hedge fund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5" w:space="0" w:color="000000"/>
            </w:tcBorders>
            <w:shd w:fill="CCEEFF" w:val="clear"/>
            <w:tcMar>
              <w:bottom w:w="28" w:type="dxa"/>
            </w:tcMar>
            <w:vAlign w:val="center"/>
          </w:tcPr>
          <w:p>
            <w:pPr>
              <w:pStyle w:val="TableContents"/>
              <w:spacing w:before="0" w:after="283"/>
              <w:jc w:val="right"/>
              <w:rPr/>
            </w:pPr>
            <w:r>
              <w:rPr/>
              <w:t>1,987,040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830" w:type="dxa"/>
            <w:tcBorders>
              <w:bottom w:val="double" w:sz="5" w:space="0" w:color="000000"/>
            </w:tcBorders>
            <w:shd w:fill="CCEEFF" w:val="clear"/>
            <w:tcMar>
              <w:bottom w:w="28" w:type="dxa"/>
            </w:tcMar>
            <w:vAlign w:val="center"/>
          </w:tcPr>
          <w:p>
            <w:pPr>
              <w:pStyle w:val="TableContents"/>
              <w:spacing w:before="0" w:after="283"/>
              <w:jc w:val="right"/>
              <w:rPr/>
            </w:pPr>
            <w:r>
              <w:rPr/>
              <w:t>784,612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5" w:space="0" w:color="000000"/>
            </w:tcBorders>
            <w:shd w:fill="CCEEFF" w:val="clear"/>
            <w:tcMar>
              <w:bottom w:w="28" w:type="dxa"/>
            </w:tcMar>
            <w:vAlign w:val="center"/>
          </w:tcPr>
          <w:p>
            <w:pPr>
              <w:pStyle w:val="TableContents"/>
              <w:spacing w:before="0" w:after="283"/>
              <w:jc w:val="right"/>
              <w:rPr/>
            </w:pPr>
            <w:r>
              <w:rPr/>
              <w:t>2,771,652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5" w:space="0" w:color="000000"/>
            </w:tcBorders>
            <w:shd w:fill="CCEEFF" w:val="clear"/>
            <w:tcMar>
              <w:bottom w:w="28" w:type="dxa"/>
            </w:tcMar>
            <w:vAlign w:val="center"/>
          </w:tcPr>
          <w:p>
            <w:pPr>
              <w:pStyle w:val="TableContents"/>
              <w:spacing w:before="0" w:after="283"/>
              <w:jc w:val="right"/>
              <w:rPr/>
            </w:pPr>
            <w:r>
              <w:rPr/>
              <w:t>3,999,381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5" w:space="0" w:color="000000"/>
            </w:tcBorders>
            <w:shd w:fill="CCEEFF" w:val="clear"/>
            <w:tcMar>
              <w:bottom w:w="28" w:type="dxa"/>
            </w:tcMar>
            <w:vAlign w:val="center"/>
          </w:tcPr>
          <w:p>
            <w:pPr>
              <w:pStyle w:val="TableContents"/>
              <w:spacing w:before="0" w:after="283"/>
              <w:jc w:val="right"/>
              <w:rPr/>
            </w:pPr>
            <w:r>
              <w:rPr/>
              <w:t>3,562,034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5" w:space="0" w:color="000000"/>
            </w:tcBorders>
            <w:shd w:fill="CCEEFF" w:val="clear"/>
            <w:tcMar>
              <w:bottom w:w="28" w:type="dxa"/>
            </w:tcMar>
            <w:vAlign w:val="center"/>
          </w:tcPr>
          <w:p>
            <w:pPr>
              <w:pStyle w:val="TableContents"/>
              <w:spacing w:before="0" w:after="283"/>
              <w:jc w:val="right"/>
              <w:rPr/>
            </w:pPr>
            <w:r>
              <w:rPr/>
              <w:t>7,561,415</w:t>
            </w:r>
          </w:p>
        </w:tc>
        <w:tc>
          <w:tcPr>
            <w:tcW w:w="135"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48</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u w:val="single"/>
        </w:rPr>
      </w:pPr>
      <w:r>
        <w:rPr>
          <w:rFonts w:ascii="times new roman" w:hAnsi="times new roman"/>
          <w:sz w:val="20"/>
          <w:u w:val="single"/>
        </w:rPr>
        <w:t>Held-to-Maturity Securities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presents a breakdown of the amortized cost and estimated fair value of, and gross unrealized gains and losses on, investments in held-to-maturity securities as of December 31, 2022 and 2021:</w:t>
      </w:r>
    </w:p>
    <w:p>
      <w:pPr>
        <w:pStyle w:val="TextBody"/>
        <w:spacing w:before="0" w:after="0"/>
        <w:ind w:left="0" w:right="0" w:firstLine="720"/>
        <w:jc w:val="both"/>
        <w:rPr/>
      </w:pPr>
      <w:r>
        <w:rPr/>
        <w:t> </w:t>
      </w:r>
    </w:p>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2276"/>
        <w:gridCol w:w="90"/>
        <w:gridCol w:w="170"/>
        <w:gridCol w:w="1010"/>
        <w:gridCol w:w="90"/>
        <w:gridCol w:w="90"/>
        <w:gridCol w:w="190"/>
        <w:gridCol w:w="799"/>
        <w:gridCol w:w="90"/>
        <w:gridCol w:w="90"/>
        <w:gridCol w:w="174"/>
        <w:gridCol w:w="935"/>
        <w:gridCol w:w="125"/>
        <w:gridCol w:w="90"/>
        <w:gridCol w:w="189"/>
        <w:gridCol w:w="1010"/>
        <w:gridCol w:w="125"/>
        <w:gridCol w:w="90"/>
        <w:gridCol w:w="170"/>
        <w:gridCol w:w="1010"/>
        <w:gridCol w:w="90"/>
        <w:gridCol w:w="90"/>
        <w:gridCol w:w="120"/>
        <w:gridCol w:w="797"/>
        <w:gridCol w:w="295"/>
      </w:tblGrid>
      <w:tr>
        <w:trPr/>
        <w:tc>
          <w:tcPr>
            <w:tcW w:w="2276"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544" w:type="dxa"/>
            <w:gridSpan w:val="2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2022</w:t>
            </w:r>
          </w:p>
        </w:tc>
        <w:tc>
          <w:tcPr>
            <w:tcW w:w="295" w:type="dxa"/>
            <w:tcBorders/>
            <w:shd w:fill="auto" w:val="clear"/>
            <w:vAlign w:val="center"/>
          </w:tcPr>
          <w:p>
            <w:pPr>
              <w:pStyle w:val="TableContents"/>
              <w:spacing w:before="0" w:after="0"/>
              <w:ind w:left="0" w:right="0" w:hanging="0"/>
              <w:rPr/>
            </w:pPr>
            <w:r>
              <w:rPr/>
              <w:t> </w:t>
            </w:r>
          </w:p>
        </w:tc>
      </w:tr>
      <w:tr>
        <w:trPr/>
        <w:tc>
          <w:tcPr>
            <w:tcW w:w="2276"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89"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09"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99"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17" w:type="dxa"/>
            <w:gridSpan w:val="2"/>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0"/>
              <w:ind w:left="0" w:right="0" w:hanging="0"/>
              <w:rPr/>
            </w:pPr>
            <w:r>
              <w:rPr/>
              <w:t> </w:t>
            </w:r>
          </w:p>
        </w:tc>
      </w:tr>
      <w:tr>
        <w:trPr/>
        <w:tc>
          <w:tcPr>
            <w:tcW w:w="2276"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Cost or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89"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Gross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523"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Gross Unrealized Losses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Estimated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17"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of</w:t>
            </w:r>
          </w:p>
        </w:tc>
        <w:tc>
          <w:tcPr>
            <w:tcW w:w="295" w:type="dxa"/>
            <w:tcBorders/>
            <w:shd w:fill="auto" w:val="clear"/>
            <w:vAlign w:val="center"/>
          </w:tcPr>
          <w:p>
            <w:pPr>
              <w:pStyle w:val="TableContents"/>
              <w:spacing w:before="0" w:after="0"/>
              <w:ind w:left="0" w:right="0" w:hanging="0"/>
              <w:rPr/>
            </w:pPr>
            <w:r>
              <w:rPr/>
              <w:t> </w:t>
            </w:r>
          </w:p>
        </w:tc>
      </w:tr>
      <w:tr>
        <w:trPr/>
        <w:tc>
          <w:tcPr>
            <w:tcW w:w="2276"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Amortized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89"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Unrealized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09"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Less than 12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99"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More than 12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Fair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17"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Estimated</w:t>
            </w:r>
          </w:p>
        </w:tc>
        <w:tc>
          <w:tcPr>
            <w:tcW w:w="295" w:type="dxa"/>
            <w:tcBorders/>
            <w:shd w:fill="auto" w:val="clear"/>
            <w:vAlign w:val="center"/>
          </w:tcPr>
          <w:p>
            <w:pPr>
              <w:pStyle w:val="TableContents"/>
              <w:spacing w:before="0" w:after="0"/>
              <w:ind w:left="0" w:right="0" w:hanging="0"/>
              <w:rPr/>
            </w:pPr>
            <w:r>
              <w:rPr/>
              <w:t> </w:t>
            </w:r>
          </w:p>
        </w:tc>
      </w:tr>
      <w:tr>
        <w:trPr/>
        <w:tc>
          <w:tcPr>
            <w:tcW w:w="2276"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Fonts w:ascii="times new roman" w:hAnsi="times new roman"/>
                <w:sz w:val="20"/>
              </w:rPr>
              <w:t xml:space="preserve">Category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Cost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8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Gains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0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Months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9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Months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Value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1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Fair Value</w:t>
            </w:r>
          </w:p>
        </w:tc>
        <w:tc>
          <w:tcPr>
            <w:tcW w:w="295" w:type="dxa"/>
            <w:tcBorders/>
            <w:shd w:fill="auto" w:val="clear"/>
            <w:vAlign w:val="center"/>
          </w:tcPr>
          <w:p>
            <w:pPr>
              <w:pStyle w:val="TableContents"/>
              <w:spacing w:before="0" w:after="0"/>
              <w:ind w:left="0" w:right="0" w:hanging="0"/>
              <w:rPr/>
            </w:pPr>
            <w:r>
              <w:rPr/>
              <w:t> </w:t>
            </w:r>
          </w:p>
        </w:tc>
      </w:tr>
      <w:tr>
        <w:trPr/>
        <w:tc>
          <w:tcPr>
            <w:tcW w:w="2276"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89"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74" w:type="dxa"/>
            <w:tcBorders/>
            <w:shd w:fill="auto" w:val="clear"/>
            <w:vAlign w:val="center"/>
          </w:tcPr>
          <w:p>
            <w:pPr>
              <w:pStyle w:val="TableContents"/>
              <w:spacing w:before="0" w:after="0"/>
              <w:ind w:left="0" w:right="0" w:hanging="0"/>
              <w:rPr/>
            </w:pPr>
            <w:r>
              <w:rPr/>
              <w:t> </w:t>
            </w:r>
          </w:p>
        </w:tc>
        <w:tc>
          <w:tcPr>
            <w:tcW w:w="935" w:type="dxa"/>
            <w:tcBorders/>
            <w:shd w:fill="auto" w:val="clear"/>
            <w:vAlign w:val="center"/>
          </w:tcPr>
          <w:p>
            <w:pPr>
              <w:pStyle w:val="TableContents"/>
              <w:spacing w:before="0" w:after="0"/>
              <w:ind w:left="0" w:right="0" w:hanging="0"/>
              <w:rPr/>
            </w:pPr>
            <w:r>
              <w:rPr/>
              <w:t> </w:t>
            </w:r>
          </w:p>
        </w:tc>
        <w:tc>
          <w:tcPr>
            <w:tcW w:w="4201" w:type="dxa"/>
            <w:gridSpan w:val="13"/>
            <w:tcBorders/>
            <w:shd w:fill="auto" w:val="clear"/>
            <w:vAlign w:val="center"/>
          </w:tcPr>
          <w:p>
            <w:pPr>
              <w:pStyle w:val="TableContents"/>
              <w:spacing w:before="0" w:after="0"/>
              <w:ind w:left="0" w:right="0" w:hanging="0"/>
              <w:rPr/>
            </w:pPr>
            <w:r>
              <w:rPr/>
              <w:t> </w:t>
            </w:r>
          </w:p>
        </w:tc>
      </w:tr>
      <w:tr>
        <w:trPr/>
        <w:tc>
          <w:tcPr>
            <w:tcW w:w="2276" w:type="dxa"/>
            <w:tcBorders/>
            <w:shd w:fill="auto" w:val="clear"/>
            <w:vAlign w:val="center"/>
          </w:tcPr>
          <w:p>
            <w:pPr>
              <w:pStyle w:val="TableContents"/>
              <w:spacing w:before="0" w:after="0"/>
              <w:ind w:left="0" w:right="0" w:hanging="0"/>
              <w:rPr/>
            </w:pPr>
            <w:r>
              <w:rPr>
                <w:rStyle w:val="StrongEmphasis"/>
                <w:rFonts w:ascii="times new roman" w:hAnsi="times new roman"/>
                <w:sz w:val="20"/>
              </w:rPr>
              <w:t xml:space="preserve">Held-to-Maturity Securities: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89"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09"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99"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17" w:type="dxa"/>
            <w:gridSpan w:val="2"/>
            <w:tcBorders/>
            <w:shd w:fill="auto" w:val="clear"/>
            <w:vAlign w:val="center"/>
          </w:tcPr>
          <w:p>
            <w:pPr>
              <w:pStyle w:val="TableContents"/>
              <w:spacing w:before="0" w:after="0"/>
              <w:ind w:left="0" w:right="0" w:hanging="0"/>
              <w:rPr/>
            </w:pPr>
            <w:r>
              <w:rPr/>
              <w:t> </w:t>
            </w:r>
          </w:p>
        </w:tc>
        <w:tc>
          <w:tcPr>
            <w:tcW w:w="295" w:type="dxa"/>
            <w:tcBorders/>
            <w:shd w:fill="auto" w:val="clear"/>
            <w:vAlign w:val="center"/>
          </w:tcPr>
          <w:p>
            <w:pPr>
              <w:pStyle w:val="TableContents"/>
              <w:spacing w:before="0" w:after="0"/>
              <w:ind w:left="0" w:right="0" w:hanging="0"/>
              <w:rPr/>
            </w:pPr>
            <w:r>
              <w:rPr/>
              <w:t> </w:t>
            </w:r>
          </w:p>
        </w:tc>
      </w:tr>
      <w:tr>
        <w:trPr/>
        <w:tc>
          <w:tcPr>
            <w:tcW w:w="227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U.S. Treasury securities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1,228,560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0" w:type="dxa"/>
            <w:tcBorders/>
            <w:shd w:fill="CCEEFF" w:val="clear"/>
            <w:vAlign w:val="center"/>
          </w:tcPr>
          <w:p>
            <w:pPr>
              <w:pStyle w:val="TableContents"/>
              <w:spacing w:before="0" w:after="283"/>
              <w:rPr/>
            </w:pPr>
            <w:r>
              <w:rPr/>
              <w:t>$</w:t>
            </w:r>
          </w:p>
        </w:tc>
        <w:tc>
          <w:tcPr>
            <w:tcW w:w="799" w:type="dxa"/>
            <w:tcBorders/>
            <w:shd w:fill="CCEEFF" w:val="clear"/>
            <w:vAlign w:val="center"/>
          </w:tcPr>
          <w:p>
            <w:pPr>
              <w:pStyle w:val="TableContents"/>
              <w:spacing w:before="0" w:after="283"/>
              <w:jc w:val="right"/>
              <w:rPr/>
            </w:pPr>
            <w:r>
              <w:rPr/>
              <w:t>28,400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283"/>
              <w:rPr/>
            </w:pPr>
            <w:r>
              <w:rPr/>
              <w:t>$</w:t>
            </w:r>
          </w:p>
        </w:tc>
        <w:tc>
          <w:tcPr>
            <w:tcW w:w="935" w:type="dxa"/>
            <w:tcBorders/>
            <w:shd w:fill="CCEEFF" w:val="clear"/>
            <w:vAlign w:val="center"/>
          </w:tcPr>
          <w:p>
            <w:pPr>
              <w:pStyle w:val="TableContents"/>
              <w:spacing w:before="0" w:after="283"/>
              <w:jc w:val="right"/>
              <w:rPr/>
            </w:pPr>
            <w:r>
              <w:rPr/>
              <w:t>(34,077</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89"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1,222,883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20" w:type="dxa"/>
            <w:tcBorders/>
            <w:shd w:fill="CCEEFF" w:val="clear"/>
            <w:vAlign w:val="center"/>
          </w:tcPr>
          <w:p>
            <w:pPr>
              <w:pStyle w:val="TableContents"/>
              <w:spacing w:before="0" w:after="0"/>
              <w:ind w:left="0" w:right="0" w:hanging="0"/>
              <w:rPr/>
            </w:pPr>
            <w:r>
              <w:rPr/>
              <w:t> </w:t>
            </w:r>
          </w:p>
        </w:tc>
        <w:tc>
          <w:tcPr>
            <w:tcW w:w="797" w:type="dxa"/>
            <w:tcBorders/>
            <w:shd w:fill="CCEEFF" w:val="clear"/>
            <w:vAlign w:val="center"/>
          </w:tcPr>
          <w:p>
            <w:pPr>
              <w:pStyle w:val="TableContents"/>
              <w:spacing w:before="0" w:after="283"/>
              <w:jc w:val="right"/>
              <w:rPr/>
            </w:pPr>
            <w:r>
              <w:rPr/>
              <w:t>18.5</w:t>
            </w:r>
          </w:p>
        </w:tc>
        <w:tc>
          <w:tcPr>
            <w:tcW w:w="295" w:type="dxa"/>
            <w:tcBorders/>
            <w:shd w:fill="CCEEFF" w:val="clear"/>
            <w:vAlign w:val="center"/>
          </w:tcPr>
          <w:p>
            <w:pPr>
              <w:pStyle w:val="TableContents"/>
              <w:spacing w:before="0" w:after="283"/>
              <w:rPr/>
            </w:pPr>
            <w:r>
              <w:rPr/>
              <w:t>%</w:t>
            </w:r>
          </w:p>
        </w:tc>
      </w:tr>
      <w:tr>
        <w:trPr/>
        <w:tc>
          <w:tcPr>
            <w:tcW w:w="2276"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90" w:type="dxa"/>
            <w:tcBorders/>
            <w:shd w:fill="FFFFFF" w:val="clear"/>
            <w:vAlign w:val="center"/>
          </w:tcPr>
          <w:p>
            <w:pPr>
              <w:pStyle w:val="TableContents"/>
              <w:spacing w:before="0" w:after="0"/>
              <w:ind w:left="0" w:right="0" w:hanging="0"/>
              <w:rPr/>
            </w:pPr>
            <w:r>
              <w:rPr/>
              <w:t> </w:t>
            </w:r>
          </w:p>
        </w:tc>
        <w:tc>
          <w:tcPr>
            <w:tcW w:w="799"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0"/>
              <w:ind w:left="0" w:right="0" w:hanging="0"/>
              <w:rPr/>
            </w:pPr>
            <w:r>
              <w:rPr/>
              <w:t> </w:t>
            </w:r>
          </w:p>
        </w:tc>
        <w:tc>
          <w:tcPr>
            <w:tcW w:w="93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9"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20" w:type="dxa"/>
            <w:tcBorders/>
            <w:shd w:fill="FFFFFF" w:val="clear"/>
            <w:vAlign w:val="center"/>
          </w:tcPr>
          <w:p>
            <w:pPr>
              <w:pStyle w:val="TableContents"/>
              <w:spacing w:before="0" w:after="0"/>
              <w:ind w:left="0" w:right="0" w:hanging="0"/>
              <w:rPr/>
            </w:pPr>
            <w:r>
              <w:rPr/>
              <w:t> </w:t>
            </w:r>
          </w:p>
        </w:tc>
        <w:tc>
          <w:tcPr>
            <w:tcW w:w="797" w:type="dxa"/>
            <w:tcBorders/>
            <w:shd w:fill="FFFFFF" w:val="clear"/>
            <w:vAlign w:val="center"/>
          </w:tcPr>
          <w:p>
            <w:pPr>
              <w:pStyle w:val="TableContents"/>
              <w:spacing w:before="0" w:after="0"/>
              <w:ind w:left="0" w:right="0" w:hanging="0"/>
              <w:rPr/>
            </w:pPr>
            <w:r>
              <w:rPr/>
              <w:t> </w:t>
            </w:r>
          </w:p>
        </w:tc>
        <w:tc>
          <w:tcPr>
            <w:tcW w:w="295" w:type="dxa"/>
            <w:tcBorders/>
            <w:shd w:fill="FFFFFF" w:val="clear"/>
            <w:vAlign w:val="center"/>
          </w:tcPr>
          <w:p>
            <w:pPr>
              <w:pStyle w:val="TableContents"/>
              <w:spacing w:before="0" w:after="0"/>
              <w:ind w:left="0" w:right="0" w:hanging="0"/>
              <w:rPr/>
            </w:pPr>
            <w:r>
              <w:rPr/>
              <w:t> </w:t>
            </w:r>
          </w:p>
        </w:tc>
      </w:tr>
      <w:tr>
        <w:trPr/>
        <w:tc>
          <w:tcPr>
            <w:tcW w:w="227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Political subdivisions of States, Territories and Possessions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498,638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0" w:type="dxa"/>
            <w:tcBorders/>
            <w:shd w:fill="CCEEFF" w:val="clear"/>
            <w:vAlign w:val="center"/>
          </w:tcPr>
          <w:p>
            <w:pPr>
              <w:pStyle w:val="TableContents"/>
              <w:spacing w:before="0" w:after="0"/>
              <w:ind w:left="0" w:right="0" w:hanging="0"/>
              <w:rPr/>
            </w:pPr>
            <w:r>
              <w:rPr/>
              <w:t> </w:t>
            </w:r>
          </w:p>
        </w:tc>
        <w:tc>
          <w:tcPr>
            <w:tcW w:w="799" w:type="dxa"/>
            <w:tcBorders/>
            <w:shd w:fill="CCEEFF" w:val="clear"/>
            <w:vAlign w:val="center"/>
          </w:tcPr>
          <w:p>
            <w:pPr>
              <w:pStyle w:val="TableContents"/>
              <w:spacing w:before="0" w:after="283"/>
              <w:jc w:val="right"/>
              <w:rPr/>
            </w:pPr>
            <w:r>
              <w:rPr/>
              <w:t>2,092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0"/>
              <w:ind w:left="0" w:right="0" w:hanging="0"/>
              <w:rPr/>
            </w:pPr>
            <w:r>
              <w:rPr/>
              <w:t> </w:t>
            </w:r>
          </w:p>
        </w:tc>
        <w:tc>
          <w:tcPr>
            <w:tcW w:w="935"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9"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500,730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20" w:type="dxa"/>
            <w:tcBorders/>
            <w:shd w:fill="CCEEFF" w:val="clear"/>
            <w:vAlign w:val="center"/>
          </w:tcPr>
          <w:p>
            <w:pPr>
              <w:pStyle w:val="TableContents"/>
              <w:spacing w:before="0" w:after="0"/>
              <w:ind w:left="0" w:right="0" w:hanging="0"/>
              <w:rPr/>
            </w:pPr>
            <w:r>
              <w:rPr/>
              <w:t> </w:t>
            </w:r>
          </w:p>
        </w:tc>
        <w:tc>
          <w:tcPr>
            <w:tcW w:w="797" w:type="dxa"/>
            <w:tcBorders/>
            <w:shd w:fill="CCEEFF" w:val="clear"/>
            <w:vAlign w:val="center"/>
          </w:tcPr>
          <w:p>
            <w:pPr>
              <w:pStyle w:val="TableContents"/>
              <w:spacing w:before="0" w:after="283"/>
              <w:jc w:val="right"/>
              <w:rPr/>
            </w:pPr>
            <w:r>
              <w:rPr/>
              <w:t>7.6</w:t>
            </w:r>
          </w:p>
        </w:tc>
        <w:tc>
          <w:tcPr>
            <w:tcW w:w="295" w:type="dxa"/>
            <w:tcBorders/>
            <w:shd w:fill="CCEEFF" w:val="clear"/>
            <w:vAlign w:val="center"/>
          </w:tcPr>
          <w:p>
            <w:pPr>
              <w:pStyle w:val="TableContents"/>
              <w:spacing w:before="0" w:after="283"/>
              <w:rPr/>
            </w:pPr>
            <w:r>
              <w:rPr/>
              <w:t>%</w:t>
            </w:r>
          </w:p>
        </w:tc>
      </w:tr>
      <w:tr>
        <w:trPr/>
        <w:tc>
          <w:tcPr>
            <w:tcW w:w="2276"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90" w:type="dxa"/>
            <w:tcBorders/>
            <w:shd w:fill="FFFFFF" w:val="clear"/>
            <w:vAlign w:val="center"/>
          </w:tcPr>
          <w:p>
            <w:pPr>
              <w:pStyle w:val="TableContents"/>
              <w:spacing w:before="0" w:after="0"/>
              <w:ind w:left="0" w:right="0" w:hanging="0"/>
              <w:rPr/>
            </w:pPr>
            <w:r>
              <w:rPr/>
              <w:t> </w:t>
            </w:r>
          </w:p>
        </w:tc>
        <w:tc>
          <w:tcPr>
            <w:tcW w:w="799"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0"/>
              <w:ind w:left="0" w:right="0" w:hanging="0"/>
              <w:rPr/>
            </w:pPr>
            <w:r>
              <w:rPr/>
              <w:t> </w:t>
            </w:r>
          </w:p>
        </w:tc>
        <w:tc>
          <w:tcPr>
            <w:tcW w:w="93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9"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20" w:type="dxa"/>
            <w:tcBorders/>
            <w:shd w:fill="FFFFFF" w:val="clear"/>
            <w:vAlign w:val="center"/>
          </w:tcPr>
          <w:p>
            <w:pPr>
              <w:pStyle w:val="TableContents"/>
              <w:spacing w:before="0" w:after="0"/>
              <w:ind w:left="0" w:right="0" w:hanging="0"/>
              <w:rPr/>
            </w:pPr>
            <w:r>
              <w:rPr/>
              <w:t> </w:t>
            </w:r>
          </w:p>
        </w:tc>
        <w:tc>
          <w:tcPr>
            <w:tcW w:w="797" w:type="dxa"/>
            <w:tcBorders/>
            <w:shd w:fill="FFFFFF" w:val="clear"/>
            <w:vAlign w:val="center"/>
          </w:tcPr>
          <w:p>
            <w:pPr>
              <w:pStyle w:val="TableContents"/>
              <w:spacing w:before="0" w:after="0"/>
              <w:ind w:left="0" w:right="0" w:hanging="0"/>
              <w:rPr/>
            </w:pPr>
            <w:r>
              <w:rPr/>
              <w:t> </w:t>
            </w:r>
          </w:p>
        </w:tc>
        <w:tc>
          <w:tcPr>
            <w:tcW w:w="295" w:type="dxa"/>
            <w:tcBorders/>
            <w:shd w:fill="FFFFFF" w:val="clear"/>
            <w:vAlign w:val="center"/>
          </w:tcPr>
          <w:p>
            <w:pPr>
              <w:pStyle w:val="TableContents"/>
              <w:spacing w:before="0" w:after="0"/>
              <w:ind w:left="0" w:right="0" w:hanging="0"/>
              <w:rPr/>
            </w:pPr>
            <w:r>
              <w:rPr/>
              <w:t> </w:t>
            </w:r>
          </w:p>
        </w:tc>
      </w:tr>
      <w:tr>
        <w:trPr/>
        <w:tc>
          <w:tcPr>
            <w:tcW w:w="227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Exchange traded debt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304,111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0" w:type="dxa"/>
            <w:tcBorders/>
            <w:shd w:fill="CCEEFF" w:val="clear"/>
            <w:vAlign w:val="center"/>
          </w:tcPr>
          <w:p>
            <w:pPr>
              <w:pStyle w:val="TableContents"/>
              <w:spacing w:before="0" w:after="0"/>
              <w:ind w:left="0" w:right="0" w:hanging="0"/>
              <w:rPr/>
            </w:pPr>
            <w:r>
              <w:rPr/>
              <w:t> </w:t>
            </w:r>
          </w:p>
        </w:tc>
        <w:tc>
          <w:tcPr>
            <w:tcW w:w="799"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0"/>
              <w:ind w:left="0" w:right="0" w:hanging="0"/>
              <w:rPr/>
            </w:pPr>
            <w:r>
              <w:rPr/>
              <w:t> </w:t>
            </w:r>
          </w:p>
        </w:tc>
        <w:tc>
          <w:tcPr>
            <w:tcW w:w="935" w:type="dxa"/>
            <w:tcBorders/>
            <w:shd w:fill="CCEEFF" w:val="clear"/>
            <w:vAlign w:val="center"/>
          </w:tcPr>
          <w:p>
            <w:pPr>
              <w:pStyle w:val="TableContents"/>
              <w:spacing w:before="0" w:after="283"/>
              <w:jc w:val="right"/>
              <w:rPr/>
            </w:pPr>
            <w:r>
              <w:rPr/>
              <w:t>(29,111</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89"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275,000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20" w:type="dxa"/>
            <w:tcBorders/>
            <w:shd w:fill="CCEEFF" w:val="clear"/>
            <w:vAlign w:val="center"/>
          </w:tcPr>
          <w:p>
            <w:pPr>
              <w:pStyle w:val="TableContents"/>
              <w:spacing w:before="0" w:after="0"/>
              <w:ind w:left="0" w:right="0" w:hanging="0"/>
              <w:rPr/>
            </w:pPr>
            <w:r>
              <w:rPr/>
              <w:t> </w:t>
            </w:r>
          </w:p>
        </w:tc>
        <w:tc>
          <w:tcPr>
            <w:tcW w:w="797" w:type="dxa"/>
            <w:tcBorders/>
            <w:shd w:fill="CCEEFF" w:val="clear"/>
            <w:vAlign w:val="center"/>
          </w:tcPr>
          <w:p>
            <w:pPr>
              <w:pStyle w:val="TableContents"/>
              <w:spacing w:before="0" w:after="283"/>
              <w:jc w:val="right"/>
              <w:rPr/>
            </w:pPr>
            <w:r>
              <w:rPr/>
              <w:t>4.2</w:t>
            </w:r>
          </w:p>
        </w:tc>
        <w:tc>
          <w:tcPr>
            <w:tcW w:w="295" w:type="dxa"/>
            <w:tcBorders/>
            <w:shd w:fill="CCEEFF" w:val="clear"/>
            <w:vAlign w:val="center"/>
          </w:tcPr>
          <w:p>
            <w:pPr>
              <w:pStyle w:val="TableContents"/>
              <w:spacing w:before="0" w:after="283"/>
              <w:rPr/>
            </w:pPr>
            <w:r>
              <w:rPr/>
              <w:t>%</w:t>
            </w:r>
          </w:p>
        </w:tc>
      </w:tr>
      <w:tr>
        <w:trPr/>
        <w:tc>
          <w:tcPr>
            <w:tcW w:w="2276"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90" w:type="dxa"/>
            <w:tcBorders/>
            <w:shd w:fill="FFFFFF" w:val="clear"/>
            <w:vAlign w:val="center"/>
          </w:tcPr>
          <w:p>
            <w:pPr>
              <w:pStyle w:val="TableContents"/>
              <w:spacing w:before="0" w:after="0"/>
              <w:ind w:left="0" w:right="0" w:hanging="0"/>
              <w:rPr/>
            </w:pPr>
            <w:r>
              <w:rPr/>
              <w:t> </w:t>
            </w:r>
          </w:p>
        </w:tc>
        <w:tc>
          <w:tcPr>
            <w:tcW w:w="799"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0"/>
              <w:ind w:left="0" w:right="0" w:hanging="0"/>
              <w:rPr/>
            </w:pPr>
            <w:r>
              <w:rPr/>
              <w:t> </w:t>
            </w:r>
          </w:p>
        </w:tc>
        <w:tc>
          <w:tcPr>
            <w:tcW w:w="93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9"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20" w:type="dxa"/>
            <w:tcBorders/>
            <w:shd w:fill="FFFFFF" w:val="clear"/>
            <w:vAlign w:val="center"/>
          </w:tcPr>
          <w:p>
            <w:pPr>
              <w:pStyle w:val="TableContents"/>
              <w:spacing w:before="0" w:after="0"/>
              <w:ind w:left="0" w:right="0" w:hanging="0"/>
              <w:rPr/>
            </w:pPr>
            <w:r>
              <w:rPr/>
              <w:t> </w:t>
            </w:r>
          </w:p>
        </w:tc>
        <w:tc>
          <w:tcPr>
            <w:tcW w:w="797" w:type="dxa"/>
            <w:tcBorders/>
            <w:shd w:fill="FFFFFF" w:val="clear"/>
            <w:vAlign w:val="center"/>
          </w:tcPr>
          <w:p>
            <w:pPr>
              <w:pStyle w:val="TableContents"/>
              <w:spacing w:before="0" w:after="0"/>
              <w:ind w:left="0" w:right="0" w:hanging="0"/>
              <w:rPr/>
            </w:pPr>
            <w:r>
              <w:rPr/>
              <w:t> </w:t>
            </w:r>
          </w:p>
        </w:tc>
        <w:tc>
          <w:tcPr>
            <w:tcW w:w="295" w:type="dxa"/>
            <w:tcBorders/>
            <w:shd w:fill="FFFFFF" w:val="clear"/>
            <w:vAlign w:val="center"/>
          </w:tcPr>
          <w:p>
            <w:pPr>
              <w:pStyle w:val="TableContents"/>
              <w:spacing w:before="0" w:after="0"/>
              <w:ind w:left="0" w:right="0" w:hanging="0"/>
              <w:rPr/>
            </w:pPr>
            <w:r>
              <w:rPr/>
              <w:t> </w:t>
            </w:r>
          </w:p>
        </w:tc>
      </w:tr>
      <w:tr>
        <w:trPr/>
        <w:tc>
          <w:tcPr>
            <w:tcW w:w="227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Corporate and other bonds Industrial and miscellaneous</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5,734,831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9" w:type="dxa"/>
            <w:tcBorders>
              <w:bottom w:val="single" w:sz="2" w:space="0" w:color="000000"/>
            </w:tcBorders>
            <w:shd w:fill="CCEEFF" w:val="clear"/>
            <w:tcMar>
              <w:bottom w:w="28" w:type="dxa"/>
            </w:tcMar>
            <w:vAlign w:val="center"/>
          </w:tcPr>
          <w:p>
            <w:pPr>
              <w:pStyle w:val="TableContents"/>
              <w:spacing w:before="0" w:after="283"/>
              <w:jc w:val="right"/>
              <w:rPr/>
            </w:pPr>
            <w:r>
              <w:rPr/>
              <w:t>36,968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5" w:type="dxa"/>
            <w:tcBorders>
              <w:bottom w:val="single" w:sz="2" w:space="0" w:color="000000"/>
            </w:tcBorders>
            <w:shd w:fill="CCEEFF" w:val="clear"/>
            <w:tcMar>
              <w:bottom w:w="28" w:type="dxa"/>
            </w:tcMar>
            <w:vAlign w:val="center"/>
          </w:tcPr>
          <w:p>
            <w:pPr>
              <w:pStyle w:val="TableContents"/>
              <w:spacing w:before="0" w:after="283"/>
              <w:jc w:val="right"/>
              <w:rPr/>
            </w:pPr>
            <w:r>
              <w:rPr/>
              <w:t>(809,746</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8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(360,278</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4,601,775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2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7" w:type="dxa"/>
            <w:tcBorders>
              <w:bottom w:val="single" w:sz="2" w:space="0" w:color="000000"/>
            </w:tcBorders>
            <w:shd w:fill="CCEEFF" w:val="clear"/>
            <w:tcMar>
              <w:bottom w:w="28" w:type="dxa"/>
            </w:tcMar>
            <w:vAlign w:val="center"/>
          </w:tcPr>
          <w:p>
            <w:pPr>
              <w:pStyle w:val="TableContents"/>
              <w:spacing w:before="0" w:after="283"/>
              <w:jc w:val="right"/>
              <w:rPr/>
            </w:pPr>
            <w:r>
              <w:rPr/>
              <w:t>69.7</w:t>
            </w:r>
          </w:p>
        </w:tc>
        <w:tc>
          <w:tcPr>
            <w:tcW w:w="295" w:type="dxa"/>
            <w:tcBorders/>
            <w:shd w:fill="CCEEFF" w:val="clear"/>
            <w:vAlign w:val="center"/>
          </w:tcPr>
          <w:p>
            <w:pPr>
              <w:pStyle w:val="TableContents"/>
              <w:spacing w:before="0" w:after="283"/>
              <w:rPr/>
            </w:pPr>
            <w:r>
              <w:rPr/>
              <w:t>%</w:t>
            </w:r>
          </w:p>
        </w:tc>
      </w:tr>
      <w:tr>
        <w:trPr/>
        <w:tc>
          <w:tcPr>
            <w:tcW w:w="2276"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90" w:type="dxa"/>
            <w:tcBorders/>
            <w:shd w:fill="FFFFFF" w:val="clear"/>
            <w:vAlign w:val="center"/>
          </w:tcPr>
          <w:p>
            <w:pPr>
              <w:pStyle w:val="TableContents"/>
              <w:spacing w:before="0" w:after="0"/>
              <w:ind w:left="0" w:right="0" w:hanging="0"/>
              <w:rPr/>
            </w:pPr>
            <w:r>
              <w:rPr/>
              <w:t> </w:t>
            </w:r>
          </w:p>
        </w:tc>
        <w:tc>
          <w:tcPr>
            <w:tcW w:w="799"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0"/>
              <w:ind w:left="0" w:right="0" w:hanging="0"/>
              <w:rPr/>
            </w:pPr>
            <w:r>
              <w:rPr/>
              <w:t> </w:t>
            </w:r>
          </w:p>
        </w:tc>
        <w:tc>
          <w:tcPr>
            <w:tcW w:w="93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9"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20" w:type="dxa"/>
            <w:tcBorders/>
            <w:shd w:fill="FFFFFF" w:val="clear"/>
            <w:vAlign w:val="center"/>
          </w:tcPr>
          <w:p>
            <w:pPr>
              <w:pStyle w:val="TableContents"/>
              <w:spacing w:before="0" w:after="0"/>
              <w:ind w:left="0" w:right="0" w:hanging="0"/>
              <w:rPr/>
            </w:pPr>
            <w:r>
              <w:rPr/>
              <w:t> </w:t>
            </w:r>
          </w:p>
        </w:tc>
        <w:tc>
          <w:tcPr>
            <w:tcW w:w="797" w:type="dxa"/>
            <w:tcBorders/>
            <w:shd w:fill="FFFFFF" w:val="clear"/>
            <w:vAlign w:val="center"/>
          </w:tcPr>
          <w:p>
            <w:pPr>
              <w:pStyle w:val="TableContents"/>
              <w:spacing w:before="0" w:after="0"/>
              <w:ind w:left="0" w:right="0" w:hanging="0"/>
              <w:rPr/>
            </w:pPr>
            <w:r>
              <w:rPr/>
              <w:t> </w:t>
            </w:r>
          </w:p>
        </w:tc>
        <w:tc>
          <w:tcPr>
            <w:tcW w:w="295" w:type="dxa"/>
            <w:tcBorders/>
            <w:shd w:fill="FFFFFF" w:val="clear"/>
            <w:vAlign w:val="center"/>
          </w:tcPr>
          <w:p>
            <w:pPr>
              <w:pStyle w:val="TableContents"/>
              <w:spacing w:before="0" w:after="0"/>
              <w:ind w:left="0" w:right="0" w:hanging="0"/>
              <w:rPr/>
            </w:pPr>
            <w:r>
              <w:rPr/>
              <w:t> </w:t>
            </w:r>
          </w:p>
        </w:tc>
      </w:tr>
      <w:tr>
        <w:trPr/>
        <w:tc>
          <w:tcPr>
            <w:tcW w:w="227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Total</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6" w:space="0" w:color="000000"/>
            </w:tcBorders>
            <w:shd w:fill="CCEEFF" w:val="clear"/>
            <w:tcMar>
              <w:bottom w:w="28" w:type="dxa"/>
            </w:tcMar>
            <w:vAlign w:val="center"/>
          </w:tcPr>
          <w:p>
            <w:pPr>
              <w:pStyle w:val="TableContents"/>
              <w:spacing w:before="0" w:after="283"/>
              <w:jc w:val="right"/>
              <w:rPr/>
            </w:pPr>
            <w:r>
              <w:rPr/>
              <w:t>7,766,140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0" w:type="dxa"/>
            <w:tcBorders>
              <w:bottom w:val="double" w:sz="6" w:space="0" w:color="000000"/>
            </w:tcBorders>
            <w:shd w:fill="CCEEFF" w:val="clear"/>
            <w:tcMar>
              <w:bottom w:w="28" w:type="dxa"/>
            </w:tcMar>
            <w:vAlign w:val="center"/>
          </w:tcPr>
          <w:p>
            <w:pPr>
              <w:pStyle w:val="TableContents"/>
              <w:spacing w:before="0" w:after="283"/>
              <w:rPr/>
            </w:pPr>
            <w:r>
              <w:rPr/>
              <w:t>$</w:t>
            </w:r>
          </w:p>
        </w:tc>
        <w:tc>
          <w:tcPr>
            <w:tcW w:w="799" w:type="dxa"/>
            <w:tcBorders>
              <w:bottom w:val="double" w:sz="6" w:space="0" w:color="000000"/>
            </w:tcBorders>
            <w:shd w:fill="CCEEFF" w:val="clear"/>
            <w:tcMar>
              <w:bottom w:w="28" w:type="dxa"/>
            </w:tcMar>
            <w:vAlign w:val="center"/>
          </w:tcPr>
          <w:p>
            <w:pPr>
              <w:pStyle w:val="TableContents"/>
              <w:spacing w:before="0" w:after="283"/>
              <w:jc w:val="right"/>
              <w:rPr/>
            </w:pPr>
            <w:r>
              <w:rPr/>
              <w:t>67,460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bottom w:val="double" w:sz="6" w:space="0" w:color="000000"/>
            </w:tcBorders>
            <w:shd w:fill="CCEEFF" w:val="clear"/>
            <w:tcMar>
              <w:bottom w:w="28" w:type="dxa"/>
            </w:tcMar>
            <w:vAlign w:val="center"/>
          </w:tcPr>
          <w:p>
            <w:pPr>
              <w:pStyle w:val="TableContents"/>
              <w:spacing w:before="0" w:after="283"/>
              <w:rPr/>
            </w:pPr>
            <w:r>
              <w:rPr/>
              <w:t>$</w:t>
            </w:r>
          </w:p>
        </w:tc>
        <w:tc>
          <w:tcPr>
            <w:tcW w:w="935" w:type="dxa"/>
            <w:tcBorders>
              <w:bottom w:val="double" w:sz="6" w:space="0" w:color="000000"/>
            </w:tcBorders>
            <w:shd w:fill="CCEEFF" w:val="clear"/>
            <w:tcMar>
              <w:bottom w:w="28" w:type="dxa"/>
            </w:tcMar>
            <w:vAlign w:val="center"/>
          </w:tcPr>
          <w:p>
            <w:pPr>
              <w:pStyle w:val="TableContents"/>
              <w:spacing w:before="0" w:after="283"/>
              <w:jc w:val="right"/>
              <w:rPr/>
            </w:pPr>
            <w:r>
              <w:rPr/>
              <w:t>(872,934</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89" w:type="dxa"/>
            <w:tcBorders>
              <w:bottom w:val="double" w:sz="6"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6" w:space="0" w:color="000000"/>
            </w:tcBorders>
            <w:shd w:fill="CCEEFF" w:val="clear"/>
            <w:tcMar>
              <w:bottom w:w="28" w:type="dxa"/>
            </w:tcMar>
            <w:vAlign w:val="center"/>
          </w:tcPr>
          <w:p>
            <w:pPr>
              <w:pStyle w:val="TableContents"/>
              <w:spacing w:before="0" w:after="283"/>
              <w:jc w:val="right"/>
              <w:rPr/>
            </w:pPr>
            <w:r>
              <w:rPr/>
              <w:t>(360,278</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6" w:space="0" w:color="000000"/>
            </w:tcBorders>
            <w:shd w:fill="CCEEFF" w:val="clear"/>
            <w:tcMar>
              <w:bottom w:w="28" w:type="dxa"/>
            </w:tcMar>
            <w:vAlign w:val="center"/>
          </w:tcPr>
          <w:p>
            <w:pPr>
              <w:pStyle w:val="TableContents"/>
              <w:spacing w:before="0" w:after="283"/>
              <w:jc w:val="right"/>
              <w:rPr/>
            </w:pPr>
            <w:r>
              <w:rPr/>
              <w:t>6,600,388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20"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797" w:type="dxa"/>
            <w:tcBorders>
              <w:bottom w:val="double" w:sz="6" w:space="0" w:color="000000"/>
            </w:tcBorders>
            <w:shd w:fill="CCEEFF" w:val="clear"/>
            <w:tcMar>
              <w:bottom w:w="28" w:type="dxa"/>
            </w:tcMar>
            <w:vAlign w:val="center"/>
          </w:tcPr>
          <w:p>
            <w:pPr>
              <w:pStyle w:val="TableContents"/>
              <w:spacing w:before="0" w:after="283"/>
              <w:jc w:val="right"/>
              <w:rPr/>
            </w:pPr>
            <w:r>
              <w:rPr/>
              <w:t>100.0</w:t>
            </w:r>
          </w:p>
        </w:tc>
        <w:tc>
          <w:tcPr>
            <w:tcW w:w="295" w:type="dxa"/>
            <w:tcBorders/>
            <w:shd w:fill="CCEEFF" w:val="clear"/>
            <w:vAlign w:val="center"/>
          </w:tcPr>
          <w:p>
            <w:pPr>
              <w:pStyle w:val="TableContents"/>
              <w:spacing w:before="0" w:after="283"/>
              <w:rPr/>
            </w:pPr>
            <w:r>
              <w:rPr/>
              <w:t>%</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2212"/>
        <w:gridCol w:w="90"/>
        <w:gridCol w:w="170"/>
        <w:gridCol w:w="1010"/>
        <w:gridCol w:w="90"/>
        <w:gridCol w:w="90"/>
        <w:gridCol w:w="170"/>
        <w:gridCol w:w="834"/>
        <w:gridCol w:w="90"/>
        <w:gridCol w:w="90"/>
        <w:gridCol w:w="258"/>
        <w:gridCol w:w="915"/>
        <w:gridCol w:w="138"/>
        <w:gridCol w:w="99"/>
        <w:gridCol w:w="690"/>
        <w:gridCol w:w="508"/>
        <w:gridCol w:w="90"/>
        <w:gridCol w:w="90"/>
        <w:gridCol w:w="170"/>
        <w:gridCol w:w="1010"/>
        <w:gridCol w:w="90"/>
        <w:gridCol w:w="90"/>
        <w:gridCol w:w="120"/>
        <w:gridCol w:w="796"/>
        <w:gridCol w:w="295"/>
      </w:tblGrid>
      <w:tr>
        <w:trPr/>
        <w:tc>
          <w:tcPr>
            <w:tcW w:w="2212"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608" w:type="dxa"/>
            <w:gridSpan w:val="2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2021</w:t>
            </w:r>
          </w:p>
        </w:tc>
        <w:tc>
          <w:tcPr>
            <w:tcW w:w="295" w:type="dxa"/>
            <w:tcBorders/>
            <w:shd w:fill="auto" w:val="clear"/>
            <w:vAlign w:val="center"/>
          </w:tcPr>
          <w:p>
            <w:pPr>
              <w:pStyle w:val="TableContents"/>
              <w:spacing w:before="0" w:after="0"/>
              <w:ind w:left="0" w:right="0" w:hanging="0"/>
              <w:rPr/>
            </w:pPr>
            <w:r>
              <w:rPr/>
              <w:t> </w:t>
            </w:r>
          </w:p>
        </w:tc>
      </w:tr>
      <w:tr>
        <w:trPr/>
        <w:tc>
          <w:tcPr>
            <w:tcW w:w="2212"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4"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73" w:type="dxa"/>
            <w:gridSpan w:val="2"/>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0"/>
              <w:ind w:left="0" w:right="0" w:hanging="0"/>
              <w:rPr/>
            </w:pPr>
            <w:r>
              <w:rPr/>
              <w:t> </w:t>
            </w:r>
          </w:p>
        </w:tc>
        <w:tc>
          <w:tcPr>
            <w:tcW w:w="99" w:type="dxa"/>
            <w:tcBorders/>
            <w:shd w:fill="auto" w:val="clear"/>
            <w:vAlign w:val="center"/>
          </w:tcPr>
          <w:p>
            <w:pPr>
              <w:pStyle w:val="TableContents"/>
              <w:spacing w:before="0" w:after="0"/>
              <w:ind w:left="0" w:right="0" w:hanging="0"/>
              <w:rPr/>
            </w:pPr>
            <w:r>
              <w:rPr/>
              <w:t> </w:t>
            </w:r>
          </w:p>
        </w:tc>
        <w:tc>
          <w:tcPr>
            <w:tcW w:w="1198"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16" w:type="dxa"/>
            <w:gridSpan w:val="2"/>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0"/>
              <w:ind w:left="0" w:right="0" w:hanging="0"/>
              <w:rPr/>
            </w:pPr>
            <w:r>
              <w:rPr/>
              <w:t> </w:t>
            </w:r>
          </w:p>
        </w:tc>
      </w:tr>
      <w:tr>
        <w:trPr/>
        <w:tc>
          <w:tcPr>
            <w:tcW w:w="2212"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Cost or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4"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Gross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608"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Gross Unrealized Losses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Estimated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16"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of</w:t>
            </w:r>
          </w:p>
        </w:tc>
        <w:tc>
          <w:tcPr>
            <w:tcW w:w="295" w:type="dxa"/>
            <w:tcBorders/>
            <w:shd w:fill="auto" w:val="clear"/>
            <w:vAlign w:val="center"/>
          </w:tcPr>
          <w:p>
            <w:pPr>
              <w:pStyle w:val="TableContents"/>
              <w:spacing w:before="0" w:after="0"/>
              <w:ind w:left="0" w:right="0" w:hanging="0"/>
              <w:rPr/>
            </w:pPr>
            <w:r>
              <w:rPr/>
              <w:t> </w:t>
            </w:r>
          </w:p>
        </w:tc>
      </w:tr>
      <w:tr>
        <w:trPr/>
        <w:tc>
          <w:tcPr>
            <w:tcW w:w="2212"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Amortized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4"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Unrealized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73"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Less than 12 </w:t>
            </w:r>
          </w:p>
        </w:tc>
        <w:tc>
          <w:tcPr>
            <w:tcW w:w="138" w:type="dxa"/>
            <w:tcBorders/>
            <w:shd w:fill="auto" w:val="clear"/>
            <w:vAlign w:val="center"/>
          </w:tcPr>
          <w:p>
            <w:pPr>
              <w:pStyle w:val="TableContents"/>
              <w:spacing w:before="0" w:after="0"/>
              <w:ind w:left="0" w:right="0" w:hanging="0"/>
              <w:rPr/>
            </w:pPr>
            <w:r>
              <w:rPr/>
              <w:t> </w:t>
            </w:r>
          </w:p>
        </w:tc>
        <w:tc>
          <w:tcPr>
            <w:tcW w:w="99" w:type="dxa"/>
            <w:tcBorders/>
            <w:shd w:fill="auto" w:val="clear"/>
            <w:vAlign w:val="center"/>
          </w:tcPr>
          <w:p>
            <w:pPr>
              <w:pStyle w:val="TableContents"/>
              <w:spacing w:before="0" w:after="0"/>
              <w:ind w:left="0" w:right="0" w:hanging="0"/>
              <w:rPr/>
            </w:pPr>
            <w:r>
              <w:rPr/>
              <w:t> </w:t>
            </w:r>
          </w:p>
        </w:tc>
        <w:tc>
          <w:tcPr>
            <w:tcW w:w="1198"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More than 12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Fair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16"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Estimated</w:t>
            </w:r>
          </w:p>
        </w:tc>
        <w:tc>
          <w:tcPr>
            <w:tcW w:w="295" w:type="dxa"/>
            <w:tcBorders/>
            <w:shd w:fill="auto" w:val="clear"/>
            <w:vAlign w:val="center"/>
          </w:tcPr>
          <w:p>
            <w:pPr>
              <w:pStyle w:val="TableContents"/>
              <w:spacing w:before="0" w:after="0"/>
              <w:ind w:left="0" w:right="0" w:hanging="0"/>
              <w:rPr/>
            </w:pPr>
            <w:r>
              <w:rPr/>
              <w:t> </w:t>
            </w:r>
          </w:p>
        </w:tc>
      </w:tr>
      <w:tr>
        <w:trPr/>
        <w:tc>
          <w:tcPr>
            <w:tcW w:w="2212"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Fonts w:ascii="times new roman" w:hAnsi="times new roman"/>
                <w:sz w:val="20"/>
              </w:rPr>
              <w:t xml:space="preserve">Category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Cost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Gains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7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Months </w:t>
            </w:r>
          </w:p>
        </w:tc>
        <w:tc>
          <w:tcPr>
            <w:tcW w:w="138" w:type="dxa"/>
            <w:tcBorders/>
            <w:shd w:fill="auto" w:val="clear"/>
            <w:vAlign w:val="center"/>
          </w:tcPr>
          <w:p>
            <w:pPr>
              <w:pStyle w:val="TableContents"/>
              <w:spacing w:before="0" w:after="0"/>
              <w:ind w:left="0" w:right="0" w:hanging="0"/>
              <w:rPr/>
            </w:pPr>
            <w:r>
              <w:rPr/>
              <w:t> </w:t>
            </w:r>
          </w:p>
        </w:tc>
        <w:tc>
          <w:tcPr>
            <w:tcW w:w="99" w:type="dxa"/>
            <w:tcBorders/>
            <w:shd w:fill="auto" w:val="clear"/>
            <w:vAlign w:val="center"/>
          </w:tcPr>
          <w:p>
            <w:pPr>
              <w:pStyle w:val="TableContents"/>
              <w:spacing w:before="0" w:after="0"/>
              <w:ind w:left="0" w:right="0" w:hanging="0"/>
              <w:rPr/>
            </w:pPr>
            <w:r>
              <w:rPr/>
              <w:t> </w:t>
            </w:r>
          </w:p>
        </w:tc>
        <w:tc>
          <w:tcPr>
            <w:tcW w:w="119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Months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Value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1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Fair Value</w:t>
            </w:r>
          </w:p>
        </w:tc>
        <w:tc>
          <w:tcPr>
            <w:tcW w:w="295" w:type="dxa"/>
            <w:tcBorders/>
            <w:shd w:fill="auto" w:val="clear"/>
            <w:vAlign w:val="center"/>
          </w:tcPr>
          <w:p>
            <w:pPr>
              <w:pStyle w:val="TableContents"/>
              <w:spacing w:before="0" w:after="0"/>
              <w:ind w:left="0" w:right="0" w:hanging="0"/>
              <w:rPr/>
            </w:pPr>
            <w:r>
              <w:rPr/>
              <w:t> </w:t>
            </w:r>
          </w:p>
        </w:tc>
      </w:tr>
      <w:tr>
        <w:trPr/>
        <w:tc>
          <w:tcPr>
            <w:tcW w:w="2212"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4"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58" w:type="dxa"/>
            <w:tcBorders/>
            <w:shd w:fill="auto" w:val="clear"/>
            <w:vAlign w:val="center"/>
          </w:tcPr>
          <w:p>
            <w:pPr>
              <w:pStyle w:val="TableContents"/>
              <w:spacing w:before="0" w:after="0"/>
              <w:ind w:left="0" w:right="0" w:hanging="0"/>
              <w:rPr/>
            </w:pPr>
            <w:r>
              <w:rPr/>
              <w:t> </w:t>
            </w:r>
          </w:p>
        </w:tc>
        <w:tc>
          <w:tcPr>
            <w:tcW w:w="915" w:type="dxa"/>
            <w:tcBorders/>
            <w:shd w:fill="auto" w:val="clear"/>
            <w:vAlign w:val="center"/>
          </w:tcPr>
          <w:p>
            <w:pPr>
              <w:pStyle w:val="TableContents"/>
              <w:spacing w:before="0" w:after="0"/>
              <w:ind w:left="0" w:right="0" w:hanging="0"/>
              <w:rPr/>
            </w:pPr>
            <w:r>
              <w:rPr/>
              <w:t> </w:t>
            </w:r>
          </w:p>
        </w:tc>
        <w:tc>
          <w:tcPr>
            <w:tcW w:w="4186" w:type="dxa"/>
            <w:gridSpan w:val="13"/>
            <w:tcBorders/>
            <w:shd w:fill="auto" w:val="clear"/>
            <w:vAlign w:val="center"/>
          </w:tcPr>
          <w:p>
            <w:pPr>
              <w:pStyle w:val="TableContents"/>
              <w:spacing w:before="0" w:after="0"/>
              <w:ind w:left="0" w:right="0" w:hanging="0"/>
              <w:rPr/>
            </w:pPr>
            <w:r>
              <w:rPr/>
              <w:t> </w:t>
            </w:r>
          </w:p>
        </w:tc>
      </w:tr>
      <w:tr>
        <w:trPr/>
        <w:tc>
          <w:tcPr>
            <w:tcW w:w="2212" w:type="dxa"/>
            <w:tcBorders/>
            <w:shd w:fill="auto" w:val="clear"/>
            <w:vAlign w:val="center"/>
          </w:tcPr>
          <w:p>
            <w:pPr>
              <w:pStyle w:val="TableContents"/>
              <w:spacing w:before="0" w:after="0"/>
              <w:ind w:left="0" w:right="0" w:hanging="0"/>
              <w:rPr/>
            </w:pPr>
            <w:r>
              <w:rPr>
                <w:rStyle w:val="StrongEmphasis"/>
                <w:rFonts w:ascii="times new roman" w:hAnsi="times new roman"/>
                <w:sz w:val="20"/>
              </w:rPr>
              <w:t xml:space="preserve">Held-to-Maturity Securities: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4"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73" w:type="dxa"/>
            <w:gridSpan w:val="2"/>
            <w:tcBorders/>
            <w:shd w:fill="auto" w:val="clear"/>
            <w:vAlign w:val="center"/>
          </w:tcPr>
          <w:p>
            <w:pPr>
              <w:pStyle w:val="TableContents"/>
              <w:spacing w:before="0" w:after="0"/>
              <w:ind w:left="0" w:right="0" w:hanging="0"/>
              <w:rPr/>
            </w:pPr>
            <w:r>
              <w:rPr/>
              <w:t> </w:t>
            </w:r>
          </w:p>
        </w:tc>
        <w:tc>
          <w:tcPr>
            <w:tcW w:w="138" w:type="dxa"/>
            <w:tcBorders/>
            <w:shd w:fill="auto" w:val="clear"/>
            <w:vAlign w:val="center"/>
          </w:tcPr>
          <w:p>
            <w:pPr>
              <w:pStyle w:val="TableContents"/>
              <w:spacing w:before="0" w:after="0"/>
              <w:ind w:left="0" w:right="0" w:hanging="0"/>
              <w:rPr/>
            </w:pPr>
            <w:r>
              <w:rPr/>
              <w:t> </w:t>
            </w:r>
          </w:p>
        </w:tc>
        <w:tc>
          <w:tcPr>
            <w:tcW w:w="99" w:type="dxa"/>
            <w:tcBorders/>
            <w:shd w:fill="auto" w:val="clear"/>
            <w:vAlign w:val="center"/>
          </w:tcPr>
          <w:p>
            <w:pPr>
              <w:pStyle w:val="TableContents"/>
              <w:spacing w:before="0" w:after="0"/>
              <w:ind w:left="0" w:right="0" w:hanging="0"/>
              <w:rPr/>
            </w:pPr>
            <w:r>
              <w:rPr/>
              <w:t> </w:t>
            </w:r>
          </w:p>
        </w:tc>
        <w:tc>
          <w:tcPr>
            <w:tcW w:w="1198"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16" w:type="dxa"/>
            <w:gridSpan w:val="2"/>
            <w:tcBorders/>
            <w:shd w:fill="auto" w:val="clear"/>
            <w:vAlign w:val="center"/>
          </w:tcPr>
          <w:p>
            <w:pPr>
              <w:pStyle w:val="TableContents"/>
              <w:spacing w:before="0" w:after="0"/>
              <w:ind w:left="0" w:right="0" w:hanging="0"/>
              <w:rPr/>
            </w:pPr>
            <w:r>
              <w:rPr/>
              <w:t> </w:t>
            </w:r>
          </w:p>
        </w:tc>
        <w:tc>
          <w:tcPr>
            <w:tcW w:w="295" w:type="dxa"/>
            <w:tcBorders/>
            <w:shd w:fill="auto" w:val="clear"/>
            <w:vAlign w:val="center"/>
          </w:tcPr>
          <w:p>
            <w:pPr>
              <w:pStyle w:val="TableContents"/>
              <w:spacing w:before="0" w:after="0"/>
              <w:ind w:left="0" w:right="0" w:hanging="0"/>
              <w:rPr/>
            </w:pPr>
            <w:r>
              <w:rPr/>
              <w:t> </w:t>
            </w:r>
          </w:p>
        </w:tc>
      </w:tr>
      <w:tr>
        <w:trPr/>
        <w:tc>
          <w:tcPr>
            <w:tcW w:w="221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U.S. Treasury securities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729,642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834" w:type="dxa"/>
            <w:tcBorders/>
            <w:shd w:fill="CCEEFF" w:val="clear"/>
            <w:vAlign w:val="center"/>
          </w:tcPr>
          <w:p>
            <w:pPr>
              <w:pStyle w:val="TableContents"/>
              <w:spacing w:before="0" w:after="283"/>
              <w:jc w:val="right"/>
              <w:rPr/>
            </w:pPr>
            <w:r>
              <w:rPr/>
              <w:t>209,633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58" w:type="dxa"/>
            <w:tcBorders/>
            <w:shd w:fill="CCEEFF" w:val="clear"/>
            <w:vAlign w:val="center"/>
          </w:tcPr>
          <w:p>
            <w:pPr>
              <w:pStyle w:val="TableContents"/>
              <w:spacing w:before="0" w:after="283"/>
              <w:rPr/>
            </w:pPr>
            <w:r>
              <w:rPr/>
              <w:t>$</w:t>
            </w:r>
          </w:p>
        </w:tc>
        <w:tc>
          <w:tcPr>
            <w:tcW w:w="915" w:type="dxa"/>
            <w:tcBorders/>
            <w:shd w:fill="CCEEFF" w:val="clear"/>
            <w:vAlign w:val="center"/>
          </w:tcPr>
          <w:p>
            <w:pPr>
              <w:pStyle w:val="TableContents"/>
              <w:spacing w:before="0" w:after="283"/>
              <w:jc w:val="right"/>
              <w:rPr/>
            </w:pPr>
            <w:r>
              <w:rPr/>
              <w:t>-</w:t>
            </w:r>
          </w:p>
        </w:tc>
        <w:tc>
          <w:tcPr>
            <w:tcW w:w="138" w:type="dxa"/>
            <w:tcBorders/>
            <w:shd w:fill="CCEEFF" w:val="clear"/>
            <w:vAlign w:val="center"/>
          </w:tcPr>
          <w:p>
            <w:pPr>
              <w:pStyle w:val="TableContents"/>
              <w:spacing w:before="0" w:after="0"/>
              <w:ind w:left="0" w:right="0" w:hanging="0"/>
              <w:rPr/>
            </w:pPr>
            <w:r>
              <w:rPr/>
              <w:t> </w:t>
            </w:r>
          </w:p>
        </w:tc>
        <w:tc>
          <w:tcPr>
            <w:tcW w:w="99" w:type="dxa"/>
            <w:tcBorders/>
            <w:shd w:fill="CCEEFF" w:val="clear"/>
            <w:vAlign w:val="center"/>
          </w:tcPr>
          <w:p>
            <w:pPr>
              <w:pStyle w:val="TableContents"/>
              <w:spacing w:before="0" w:after="0"/>
              <w:ind w:left="0" w:right="0" w:hanging="0"/>
              <w:rPr/>
            </w:pPr>
            <w:r>
              <w:rPr/>
              <w:t> </w:t>
            </w:r>
          </w:p>
        </w:tc>
        <w:tc>
          <w:tcPr>
            <w:tcW w:w="690" w:type="dxa"/>
            <w:tcBorders/>
            <w:shd w:fill="CCEEFF" w:val="clear"/>
            <w:vAlign w:val="center"/>
          </w:tcPr>
          <w:p>
            <w:pPr>
              <w:pStyle w:val="TableContents"/>
              <w:spacing w:before="0" w:after="283"/>
              <w:rPr/>
            </w:pPr>
            <w:r>
              <w:rPr/>
              <w:t>$</w:t>
            </w:r>
          </w:p>
        </w:tc>
        <w:tc>
          <w:tcPr>
            <w:tcW w:w="508"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939,275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20"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283"/>
              <w:jc w:val="right"/>
              <w:rPr/>
            </w:pPr>
            <w:r>
              <w:rPr/>
              <w:t>10.7</w:t>
            </w:r>
          </w:p>
        </w:tc>
        <w:tc>
          <w:tcPr>
            <w:tcW w:w="295" w:type="dxa"/>
            <w:tcBorders/>
            <w:shd w:fill="CCEEFF" w:val="clear"/>
            <w:vAlign w:val="center"/>
          </w:tcPr>
          <w:p>
            <w:pPr>
              <w:pStyle w:val="TableContents"/>
              <w:spacing w:before="0" w:after="283"/>
              <w:rPr/>
            </w:pPr>
            <w:r>
              <w:rPr/>
              <w:t>%</w:t>
            </w:r>
          </w:p>
        </w:tc>
      </w:tr>
      <w:tr>
        <w:trPr/>
        <w:tc>
          <w:tcPr>
            <w:tcW w:w="2212"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4"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58" w:type="dxa"/>
            <w:tcBorders/>
            <w:shd w:fill="FFFFFF" w:val="clear"/>
            <w:vAlign w:val="center"/>
          </w:tcPr>
          <w:p>
            <w:pPr>
              <w:pStyle w:val="TableContents"/>
              <w:spacing w:before="0" w:after="0"/>
              <w:ind w:left="0" w:right="0" w:hanging="0"/>
              <w:rPr/>
            </w:pPr>
            <w:r>
              <w:rPr/>
              <w:t> </w:t>
            </w:r>
          </w:p>
        </w:tc>
        <w:tc>
          <w:tcPr>
            <w:tcW w:w="915" w:type="dxa"/>
            <w:tcBorders/>
            <w:shd w:fill="FFFFFF" w:val="clear"/>
            <w:vAlign w:val="center"/>
          </w:tcPr>
          <w:p>
            <w:pPr>
              <w:pStyle w:val="TableContents"/>
              <w:spacing w:before="0" w:after="0"/>
              <w:ind w:left="0" w:right="0" w:hanging="0"/>
              <w:rPr/>
            </w:pPr>
            <w:r>
              <w:rPr/>
              <w:t> </w:t>
            </w:r>
          </w:p>
        </w:tc>
        <w:tc>
          <w:tcPr>
            <w:tcW w:w="138" w:type="dxa"/>
            <w:tcBorders/>
            <w:shd w:fill="FFFFFF" w:val="clear"/>
            <w:vAlign w:val="center"/>
          </w:tcPr>
          <w:p>
            <w:pPr>
              <w:pStyle w:val="TableContents"/>
              <w:spacing w:before="0" w:after="0"/>
              <w:ind w:left="0" w:right="0" w:hanging="0"/>
              <w:rPr/>
            </w:pPr>
            <w:r>
              <w:rPr/>
              <w:t> </w:t>
            </w:r>
          </w:p>
        </w:tc>
        <w:tc>
          <w:tcPr>
            <w:tcW w:w="99" w:type="dxa"/>
            <w:tcBorders/>
            <w:shd w:fill="FFFFFF" w:val="clear"/>
            <w:vAlign w:val="center"/>
          </w:tcPr>
          <w:p>
            <w:pPr>
              <w:pStyle w:val="TableContents"/>
              <w:spacing w:before="0" w:after="0"/>
              <w:ind w:left="0" w:right="0" w:hanging="0"/>
              <w:rPr/>
            </w:pPr>
            <w:r>
              <w:rPr/>
              <w:t> </w:t>
            </w:r>
          </w:p>
        </w:tc>
        <w:tc>
          <w:tcPr>
            <w:tcW w:w="690" w:type="dxa"/>
            <w:tcBorders/>
            <w:shd w:fill="FFFFFF" w:val="clear"/>
            <w:vAlign w:val="center"/>
          </w:tcPr>
          <w:p>
            <w:pPr>
              <w:pStyle w:val="TableContents"/>
              <w:spacing w:before="0" w:after="0"/>
              <w:ind w:left="0" w:right="0" w:hanging="0"/>
              <w:rPr/>
            </w:pPr>
            <w:r>
              <w:rPr/>
              <w:t> </w:t>
            </w:r>
          </w:p>
        </w:tc>
        <w:tc>
          <w:tcPr>
            <w:tcW w:w="50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20" w:type="dxa"/>
            <w:tcBorders/>
            <w:shd w:fill="FFFFFF" w:val="clear"/>
            <w:vAlign w:val="center"/>
          </w:tcPr>
          <w:p>
            <w:pPr>
              <w:pStyle w:val="TableContents"/>
              <w:spacing w:before="0" w:after="0"/>
              <w:ind w:left="0" w:right="0" w:hanging="0"/>
              <w:rPr/>
            </w:pPr>
            <w:r>
              <w:rPr/>
              <w:t> </w:t>
            </w:r>
          </w:p>
        </w:tc>
        <w:tc>
          <w:tcPr>
            <w:tcW w:w="796" w:type="dxa"/>
            <w:tcBorders/>
            <w:shd w:fill="FFFFFF" w:val="clear"/>
            <w:vAlign w:val="center"/>
          </w:tcPr>
          <w:p>
            <w:pPr>
              <w:pStyle w:val="TableContents"/>
              <w:spacing w:before="0" w:after="0"/>
              <w:ind w:left="0" w:right="0" w:hanging="0"/>
              <w:rPr/>
            </w:pPr>
            <w:r>
              <w:rPr/>
              <w:t> </w:t>
            </w:r>
          </w:p>
        </w:tc>
        <w:tc>
          <w:tcPr>
            <w:tcW w:w="295" w:type="dxa"/>
            <w:tcBorders/>
            <w:shd w:fill="FFFFFF" w:val="clear"/>
            <w:vAlign w:val="center"/>
          </w:tcPr>
          <w:p>
            <w:pPr>
              <w:pStyle w:val="TableContents"/>
              <w:spacing w:before="0" w:after="0"/>
              <w:ind w:left="0" w:right="0" w:hanging="0"/>
              <w:rPr/>
            </w:pPr>
            <w:r>
              <w:rPr/>
              <w:t> </w:t>
            </w:r>
          </w:p>
        </w:tc>
      </w:tr>
      <w:tr>
        <w:trPr/>
        <w:tc>
          <w:tcPr>
            <w:tcW w:w="221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Political subdivisions of States, Territories and Possessions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998,239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4" w:type="dxa"/>
            <w:tcBorders/>
            <w:shd w:fill="CCEEFF" w:val="clear"/>
            <w:vAlign w:val="center"/>
          </w:tcPr>
          <w:p>
            <w:pPr>
              <w:pStyle w:val="TableContents"/>
              <w:spacing w:before="0" w:after="283"/>
              <w:jc w:val="right"/>
              <w:rPr/>
            </w:pPr>
            <w:r>
              <w:rPr/>
              <w:t>22,856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58" w:type="dxa"/>
            <w:tcBorders/>
            <w:shd w:fill="CCEEFF" w:val="clear"/>
            <w:vAlign w:val="center"/>
          </w:tcPr>
          <w:p>
            <w:pPr>
              <w:pStyle w:val="TableContents"/>
              <w:spacing w:before="0" w:after="0"/>
              <w:ind w:left="0" w:right="0" w:hanging="0"/>
              <w:rPr/>
            </w:pPr>
            <w:r>
              <w:rPr/>
              <w:t> </w:t>
            </w:r>
          </w:p>
        </w:tc>
        <w:tc>
          <w:tcPr>
            <w:tcW w:w="915" w:type="dxa"/>
            <w:tcBorders/>
            <w:shd w:fill="CCEEFF" w:val="clear"/>
            <w:vAlign w:val="center"/>
          </w:tcPr>
          <w:p>
            <w:pPr>
              <w:pStyle w:val="TableContents"/>
              <w:spacing w:before="0" w:after="283"/>
              <w:jc w:val="right"/>
              <w:rPr/>
            </w:pPr>
            <w:r>
              <w:rPr/>
              <w:t>-</w:t>
            </w:r>
          </w:p>
        </w:tc>
        <w:tc>
          <w:tcPr>
            <w:tcW w:w="138" w:type="dxa"/>
            <w:tcBorders/>
            <w:shd w:fill="CCEEFF" w:val="clear"/>
            <w:vAlign w:val="center"/>
          </w:tcPr>
          <w:p>
            <w:pPr>
              <w:pStyle w:val="TableContents"/>
              <w:spacing w:before="0" w:after="0"/>
              <w:ind w:left="0" w:right="0" w:hanging="0"/>
              <w:rPr/>
            </w:pPr>
            <w:r>
              <w:rPr/>
              <w:t> </w:t>
            </w:r>
          </w:p>
        </w:tc>
        <w:tc>
          <w:tcPr>
            <w:tcW w:w="99" w:type="dxa"/>
            <w:tcBorders/>
            <w:shd w:fill="CCEEFF" w:val="clear"/>
            <w:vAlign w:val="center"/>
          </w:tcPr>
          <w:p>
            <w:pPr>
              <w:pStyle w:val="TableContents"/>
              <w:spacing w:before="0" w:after="0"/>
              <w:ind w:left="0" w:right="0" w:hanging="0"/>
              <w:rPr/>
            </w:pPr>
            <w:r>
              <w:rPr/>
              <w:t> </w:t>
            </w:r>
          </w:p>
        </w:tc>
        <w:tc>
          <w:tcPr>
            <w:tcW w:w="690" w:type="dxa"/>
            <w:tcBorders/>
            <w:shd w:fill="CCEEFF" w:val="clear"/>
            <w:vAlign w:val="center"/>
          </w:tcPr>
          <w:p>
            <w:pPr>
              <w:pStyle w:val="TableContents"/>
              <w:spacing w:before="0" w:after="0"/>
              <w:ind w:left="0" w:right="0" w:hanging="0"/>
              <w:rPr/>
            </w:pPr>
            <w:r>
              <w:rPr/>
              <w:t> </w:t>
            </w:r>
          </w:p>
        </w:tc>
        <w:tc>
          <w:tcPr>
            <w:tcW w:w="508"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1,021,095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20"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283"/>
              <w:jc w:val="right"/>
              <w:rPr/>
            </w:pPr>
            <w:r>
              <w:rPr/>
              <w:t>11.7</w:t>
            </w:r>
          </w:p>
        </w:tc>
        <w:tc>
          <w:tcPr>
            <w:tcW w:w="295" w:type="dxa"/>
            <w:tcBorders/>
            <w:shd w:fill="CCEEFF" w:val="clear"/>
            <w:vAlign w:val="center"/>
          </w:tcPr>
          <w:p>
            <w:pPr>
              <w:pStyle w:val="TableContents"/>
              <w:spacing w:before="0" w:after="283"/>
              <w:rPr/>
            </w:pPr>
            <w:r>
              <w:rPr/>
              <w:t>%</w:t>
            </w:r>
          </w:p>
        </w:tc>
      </w:tr>
      <w:tr>
        <w:trPr/>
        <w:tc>
          <w:tcPr>
            <w:tcW w:w="2212"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4"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58" w:type="dxa"/>
            <w:tcBorders/>
            <w:shd w:fill="FFFFFF" w:val="clear"/>
            <w:vAlign w:val="center"/>
          </w:tcPr>
          <w:p>
            <w:pPr>
              <w:pStyle w:val="TableContents"/>
              <w:spacing w:before="0" w:after="0"/>
              <w:ind w:left="0" w:right="0" w:hanging="0"/>
              <w:rPr/>
            </w:pPr>
            <w:r>
              <w:rPr/>
              <w:t> </w:t>
            </w:r>
          </w:p>
        </w:tc>
        <w:tc>
          <w:tcPr>
            <w:tcW w:w="915" w:type="dxa"/>
            <w:tcBorders/>
            <w:shd w:fill="FFFFFF" w:val="clear"/>
            <w:vAlign w:val="center"/>
          </w:tcPr>
          <w:p>
            <w:pPr>
              <w:pStyle w:val="TableContents"/>
              <w:spacing w:before="0" w:after="0"/>
              <w:ind w:left="0" w:right="0" w:hanging="0"/>
              <w:rPr/>
            </w:pPr>
            <w:r>
              <w:rPr/>
              <w:t> </w:t>
            </w:r>
          </w:p>
        </w:tc>
        <w:tc>
          <w:tcPr>
            <w:tcW w:w="138" w:type="dxa"/>
            <w:tcBorders/>
            <w:shd w:fill="FFFFFF" w:val="clear"/>
            <w:vAlign w:val="center"/>
          </w:tcPr>
          <w:p>
            <w:pPr>
              <w:pStyle w:val="TableContents"/>
              <w:spacing w:before="0" w:after="0"/>
              <w:ind w:left="0" w:right="0" w:hanging="0"/>
              <w:rPr/>
            </w:pPr>
            <w:r>
              <w:rPr/>
              <w:t> </w:t>
            </w:r>
          </w:p>
        </w:tc>
        <w:tc>
          <w:tcPr>
            <w:tcW w:w="99" w:type="dxa"/>
            <w:tcBorders/>
            <w:shd w:fill="FFFFFF" w:val="clear"/>
            <w:vAlign w:val="center"/>
          </w:tcPr>
          <w:p>
            <w:pPr>
              <w:pStyle w:val="TableContents"/>
              <w:spacing w:before="0" w:after="0"/>
              <w:ind w:left="0" w:right="0" w:hanging="0"/>
              <w:rPr/>
            </w:pPr>
            <w:r>
              <w:rPr/>
              <w:t> </w:t>
            </w:r>
          </w:p>
        </w:tc>
        <w:tc>
          <w:tcPr>
            <w:tcW w:w="690" w:type="dxa"/>
            <w:tcBorders/>
            <w:shd w:fill="FFFFFF" w:val="clear"/>
            <w:vAlign w:val="center"/>
          </w:tcPr>
          <w:p>
            <w:pPr>
              <w:pStyle w:val="TableContents"/>
              <w:spacing w:before="0" w:after="0"/>
              <w:ind w:left="0" w:right="0" w:hanging="0"/>
              <w:rPr/>
            </w:pPr>
            <w:r>
              <w:rPr/>
              <w:t> </w:t>
            </w:r>
          </w:p>
        </w:tc>
        <w:tc>
          <w:tcPr>
            <w:tcW w:w="50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20" w:type="dxa"/>
            <w:tcBorders/>
            <w:shd w:fill="FFFFFF" w:val="clear"/>
            <w:vAlign w:val="center"/>
          </w:tcPr>
          <w:p>
            <w:pPr>
              <w:pStyle w:val="TableContents"/>
              <w:spacing w:before="0" w:after="0"/>
              <w:ind w:left="0" w:right="0" w:hanging="0"/>
              <w:rPr/>
            </w:pPr>
            <w:r>
              <w:rPr/>
              <w:t> </w:t>
            </w:r>
          </w:p>
        </w:tc>
        <w:tc>
          <w:tcPr>
            <w:tcW w:w="796" w:type="dxa"/>
            <w:tcBorders/>
            <w:shd w:fill="FFFFFF" w:val="clear"/>
            <w:vAlign w:val="center"/>
          </w:tcPr>
          <w:p>
            <w:pPr>
              <w:pStyle w:val="TableContents"/>
              <w:spacing w:before="0" w:after="0"/>
              <w:ind w:left="0" w:right="0" w:hanging="0"/>
              <w:rPr/>
            </w:pPr>
            <w:r>
              <w:rPr/>
              <w:t> </w:t>
            </w:r>
          </w:p>
        </w:tc>
        <w:tc>
          <w:tcPr>
            <w:tcW w:w="295" w:type="dxa"/>
            <w:tcBorders/>
            <w:shd w:fill="FFFFFF" w:val="clear"/>
            <w:vAlign w:val="center"/>
          </w:tcPr>
          <w:p>
            <w:pPr>
              <w:pStyle w:val="TableContents"/>
              <w:spacing w:before="0" w:after="0"/>
              <w:ind w:left="0" w:right="0" w:hanging="0"/>
              <w:rPr/>
            </w:pPr>
            <w:r>
              <w:rPr/>
              <w:t> </w:t>
            </w:r>
          </w:p>
        </w:tc>
      </w:tr>
      <w:tr>
        <w:trPr/>
        <w:tc>
          <w:tcPr>
            <w:tcW w:w="221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Exchange traded debt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304,111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4" w:type="dxa"/>
            <w:tcBorders/>
            <w:shd w:fill="CCEEFF" w:val="clear"/>
            <w:vAlign w:val="center"/>
          </w:tcPr>
          <w:p>
            <w:pPr>
              <w:pStyle w:val="TableContents"/>
              <w:spacing w:before="0" w:after="283"/>
              <w:jc w:val="right"/>
              <w:rPr/>
            </w:pPr>
            <w:r>
              <w:rPr/>
              <w:t>85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58" w:type="dxa"/>
            <w:tcBorders/>
            <w:shd w:fill="CCEEFF" w:val="clear"/>
            <w:vAlign w:val="center"/>
          </w:tcPr>
          <w:p>
            <w:pPr>
              <w:pStyle w:val="TableContents"/>
              <w:spacing w:before="0" w:after="0"/>
              <w:ind w:left="0" w:right="0" w:hanging="0"/>
              <w:rPr/>
            </w:pPr>
            <w:r>
              <w:rPr/>
              <w:t> </w:t>
            </w:r>
          </w:p>
        </w:tc>
        <w:tc>
          <w:tcPr>
            <w:tcW w:w="915" w:type="dxa"/>
            <w:tcBorders/>
            <w:shd w:fill="CCEEFF" w:val="clear"/>
            <w:vAlign w:val="center"/>
          </w:tcPr>
          <w:p>
            <w:pPr>
              <w:pStyle w:val="TableContents"/>
              <w:spacing w:before="0" w:after="283"/>
              <w:jc w:val="right"/>
              <w:rPr/>
            </w:pPr>
            <w:r>
              <w:rPr/>
              <w:t>(13,921</w:t>
            </w:r>
          </w:p>
        </w:tc>
        <w:tc>
          <w:tcPr>
            <w:tcW w:w="138" w:type="dxa"/>
            <w:tcBorders/>
            <w:shd w:fill="CCEEFF" w:val="clear"/>
            <w:vAlign w:val="center"/>
          </w:tcPr>
          <w:p>
            <w:pPr>
              <w:pStyle w:val="TableContents"/>
              <w:spacing w:before="0" w:after="283"/>
              <w:rPr/>
            </w:pPr>
            <w:r>
              <w:rPr/>
              <w:t>)</w:t>
            </w:r>
          </w:p>
        </w:tc>
        <w:tc>
          <w:tcPr>
            <w:tcW w:w="99" w:type="dxa"/>
            <w:tcBorders/>
            <w:shd w:fill="CCEEFF" w:val="clear"/>
            <w:vAlign w:val="center"/>
          </w:tcPr>
          <w:p>
            <w:pPr>
              <w:pStyle w:val="TableContents"/>
              <w:spacing w:before="0" w:after="0"/>
              <w:ind w:left="0" w:right="0" w:hanging="0"/>
              <w:rPr/>
            </w:pPr>
            <w:r>
              <w:rPr/>
              <w:t> </w:t>
            </w:r>
          </w:p>
        </w:tc>
        <w:tc>
          <w:tcPr>
            <w:tcW w:w="690" w:type="dxa"/>
            <w:tcBorders/>
            <w:shd w:fill="CCEEFF" w:val="clear"/>
            <w:vAlign w:val="center"/>
          </w:tcPr>
          <w:p>
            <w:pPr>
              <w:pStyle w:val="TableContents"/>
              <w:spacing w:before="0" w:after="0"/>
              <w:ind w:left="0" w:right="0" w:hanging="0"/>
              <w:rPr/>
            </w:pPr>
            <w:r>
              <w:rPr/>
              <w:t> </w:t>
            </w:r>
          </w:p>
        </w:tc>
        <w:tc>
          <w:tcPr>
            <w:tcW w:w="508"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290,275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20"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283"/>
              <w:jc w:val="right"/>
              <w:rPr/>
            </w:pPr>
            <w:r>
              <w:rPr/>
              <w:t>3.3</w:t>
            </w:r>
          </w:p>
        </w:tc>
        <w:tc>
          <w:tcPr>
            <w:tcW w:w="295" w:type="dxa"/>
            <w:tcBorders/>
            <w:shd w:fill="CCEEFF" w:val="clear"/>
            <w:vAlign w:val="center"/>
          </w:tcPr>
          <w:p>
            <w:pPr>
              <w:pStyle w:val="TableContents"/>
              <w:spacing w:before="0" w:after="283"/>
              <w:rPr/>
            </w:pPr>
            <w:r>
              <w:rPr/>
              <w:t>%</w:t>
            </w:r>
          </w:p>
        </w:tc>
      </w:tr>
      <w:tr>
        <w:trPr/>
        <w:tc>
          <w:tcPr>
            <w:tcW w:w="2212"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4"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58" w:type="dxa"/>
            <w:tcBorders/>
            <w:shd w:fill="FFFFFF" w:val="clear"/>
            <w:vAlign w:val="center"/>
          </w:tcPr>
          <w:p>
            <w:pPr>
              <w:pStyle w:val="TableContents"/>
              <w:spacing w:before="0" w:after="0"/>
              <w:ind w:left="0" w:right="0" w:hanging="0"/>
              <w:rPr/>
            </w:pPr>
            <w:r>
              <w:rPr/>
              <w:t> </w:t>
            </w:r>
          </w:p>
        </w:tc>
        <w:tc>
          <w:tcPr>
            <w:tcW w:w="915" w:type="dxa"/>
            <w:tcBorders/>
            <w:shd w:fill="FFFFFF" w:val="clear"/>
            <w:vAlign w:val="center"/>
          </w:tcPr>
          <w:p>
            <w:pPr>
              <w:pStyle w:val="TableContents"/>
              <w:spacing w:before="0" w:after="0"/>
              <w:ind w:left="0" w:right="0" w:hanging="0"/>
              <w:rPr/>
            </w:pPr>
            <w:r>
              <w:rPr/>
              <w:t> </w:t>
            </w:r>
          </w:p>
        </w:tc>
        <w:tc>
          <w:tcPr>
            <w:tcW w:w="138" w:type="dxa"/>
            <w:tcBorders/>
            <w:shd w:fill="FFFFFF" w:val="clear"/>
            <w:vAlign w:val="center"/>
          </w:tcPr>
          <w:p>
            <w:pPr>
              <w:pStyle w:val="TableContents"/>
              <w:spacing w:before="0" w:after="0"/>
              <w:ind w:left="0" w:right="0" w:hanging="0"/>
              <w:rPr/>
            </w:pPr>
            <w:r>
              <w:rPr/>
              <w:t> </w:t>
            </w:r>
          </w:p>
        </w:tc>
        <w:tc>
          <w:tcPr>
            <w:tcW w:w="99" w:type="dxa"/>
            <w:tcBorders/>
            <w:shd w:fill="FFFFFF" w:val="clear"/>
            <w:vAlign w:val="center"/>
          </w:tcPr>
          <w:p>
            <w:pPr>
              <w:pStyle w:val="TableContents"/>
              <w:spacing w:before="0" w:after="0"/>
              <w:ind w:left="0" w:right="0" w:hanging="0"/>
              <w:rPr/>
            </w:pPr>
            <w:r>
              <w:rPr/>
              <w:t> </w:t>
            </w:r>
          </w:p>
        </w:tc>
        <w:tc>
          <w:tcPr>
            <w:tcW w:w="690" w:type="dxa"/>
            <w:tcBorders/>
            <w:shd w:fill="FFFFFF" w:val="clear"/>
            <w:vAlign w:val="center"/>
          </w:tcPr>
          <w:p>
            <w:pPr>
              <w:pStyle w:val="TableContents"/>
              <w:spacing w:before="0" w:after="0"/>
              <w:ind w:left="0" w:right="0" w:hanging="0"/>
              <w:rPr/>
            </w:pPr>
            <w:r>
              <w:rPr/>
              <w:t> </w:t>
            </w:r>
          </w:p>
        </w:tc>
        <w:tc>
          <w:tcPr>
            <w:tcW w:w="50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20" w:type="dxa"/>
            <w:tcBorders/>
            <w:shd w:fill="FFFFFF" w:val="clear"/>
            <w:vAlign w:val="center"/>
          </w:tcPr>
          <w:p>
            <w:pPr>
              <w:pStyle w:val="TableContents"/>
              <w:spacing w:before="0" w:after="0"/>
              <w:ind w:left="0" w:right="0" w:hanging="0"/>
              <w:rPr/>
            </w:pPr>
            <w:r>
              <w:rPr/>
              <w:t> </w:t>
            </w:r>
          </w:p>
        </w:tc>
        <w:tc>
          <w:tcPr>
            <w:tcW w:w="796" w:type="dxa"/>
            <w:tcBorders/>
            <w:shd w:fill="FFFFFF" w:val="clear"/>
            <w:vAlign w:val="center"/>
          </w:tcPr>
          <w:p>
            <w:pPr>
              <w:pStyle w:val="TableContents"/>
              <w:spacing w:before="0" w:after="0"/>
              <w:ind w:left="0" w:right="0" w:hanging="0"/>
              <w:rPr/>
            </w:pPr>
            <w:r>
              <w:rPr/>
              <w:t> </w:t>
            </w:r>
          </w:p>
        </w:tc>
        <w:tc>
          <w:tcPr>
            <w:tcW w:w="295" w:type="dxa"/>
            <w:tcBorders/>
            <w:shd w:fill="FFFFFF" w:val="clear"/>
            <w:vAlign w:val="center"/>
          </w:tcPr>
          <w:p>
            <w:pPr>
              <w:pStyle w:val="TableContents"/>
              <w:spacing w:before="0" w:after="0"/>
              <w:ind w:left="0" w:right="0" w:hanging="0"/>
              <w:rPr/>
            </w:pPr>
            <w:r>
              <w:rPr/>
              <w:t> </w:t>
            </w:r>
          </w:p>
        </w:tc>
      </w:tr>
      <w:tr>
        <w:trPr/>
        <w:tc>
          <w:tcPr>
            <w:tcW w:w="221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Corporate and other bonds Industrial and miscellaneous</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6,234,342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4" w:type="dxa"/>
            <w:tcBorders>
              <w:bottom w:val="single" w:sz="2" w:space="0" w:color="000000"/>
            </w:tcBorders>
            <w:shd w:fill="CCEEFF" w:val="clear"/>
            <w:tcMar>
              <w:bottom w:w="28" w:type="dxa"/>
            </w:tcMar>
            <w:vAlign w:val="center"/>
          </w:tcPr>
          <w:p>
            <w:pPr>
              <w:pStyle w:val="TableContents"/>
              <w:spacing w:before="0" w:after="283"/>
              <w:jc w:val="right"/>
              <w:rPr/>
            </w:pPr>
            <w:r>
              <w:rPr/>
              <w:t>280,951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5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15" w:type="dxa"/>
            <w:tcBorders>
              <w:bottom w:val="single" w:sz="2" w:space="0" w:color="000000"/>
            </w:tcBorders>
            <w:shd w:fill="CCEEFF" w:val="clear"/>
            <w:tcMar>
              <w:bottom w:w="28" w:type="dxa"/>
            </w:tcMar>
            <w:vAlign w:val="center"/>
          </w:tcPr>
          <w:p>
            <w:pPr>
              <w:pStyle w:val="TableContents"/>
              <w:spacing w:before="0" w:after="283"/>
              <w:jc w:val="right"/>
              <w:rPr/>
            </w:pPr>
            <w:r>
              <w:rPr/>
              <w:t>(12,779</w:t>
            </w:r>
          </w:p>
        </w:tc>
        <w:tc>
          <w:tcPr>
            <w:tcW w:w="138" w:type="dxa"/>
            <w:tcBorders/>
            <w:shd w:fill="CCEEFF" w:val="clear"/>
            <w:vAlign w:val="center"/>
          </w:tcPr>
          <w:p>
            <w:pPr>
              <w:pStyle w:val="TableContents"/>
              <w:spacing w:before="0" w:after="283"/>
              <w:rPr/>
            </w:pPr>
            <w:r>
              <w:rPr/>
              <w:t>)</w:t>
            </w:r>
          </w:p>
        </w:tc>
        <w:tc>
          <w:tcPr>
            <w:tcW w:w="99" w:type="dxa"/>
            <w:tcBorders/>
            <w:shd w:fill="CCEEFF" w:val="clear"/>
            <w:vAlign w:val="center"/>
          </w:tcPr>
          <w:p>
            <w:pPr>
              <w:pStyle w:val="TableContents"/>
              <w:spacing w:before="0" w:after="0"/>
              <w:ind w:left="0" w:right="0" w:hanging="0"/>
              <w:rPr/>
            </w:pPr>
            <w:r>
              <w:rPr/>
              <w:t> </w:t>
            </w:r>
          </w:p>
        </w:tc>
        <w:tc>
          <w:tcPr>
            <w:tcW w:w="69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08"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6,502,514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2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283"/>
              <w:jc w:val="right"/>
              <w:rPr/>
            </w:pPr>
            <w:r>
              <w:rPr/>
              <w:t>74.3</w:t>
            </w:r>
          </w:p>
        </w:tc>
        <w:tc>
          <w:tcPr>
            <w:tcW w:w="295" w:type="dxa"/>
            <w:tcBorders/>
            <w:shd w:fill="CCEEFF" w:val="clear"/>
            <w:vAlign w:val="center"/>
          </w:tcPr>
          <w:p>
            <w:pPr>
              <w:pStyle w:val="TableContents"/>
              <w:spacing w:before="0" w:after="283"/>
              <w:rPr/>
            </w:pPr>
            <w:r>
              <w:rPr/>
              <w:t>%</w:t>
            </w:r>
          </w:p>
        </w:tc>
      </w:tr>
      <w:tr>
        <w:trPr/>
        <w:tc>
          <w:tcPr>
            <w:tcW w:w="2212"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4"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58" w:type="dxa"/>
            <w:tcBorders/>
            <w:shd w:fill="FFFFFF" w:val="clear"/>
            <w:vAlign w:val="center"/>
          </w:tcPr>
          <w:p>
            <w:pPr>
              <w:pStyle w:val="TableContents"/>
              <w:spacing w:before="0" w:after="0"/>
              <w:ind w:left="0" w:right="0" w:hanging="0"/>
              <w:rPr/>
            </w:pPr>
            <w:r>
              <w:rPr/>
              <w:t> </w:t>
            </w:r>
          </w:p>
        </w:tc>
        <w:tc>
          <w:tcPr>
            <w:tcW w:w="915" w:type="dxa"/>
            <w:tcBorders/>
            <w:shd w:fill="FFFFFF" w:val="clear"/>
            <w:vAlign w:val="center"/>
          </w:tcPr>
          <w:p>
            <w:pPr>
              <w:pStyle w:val="TableContents"/>
              <w:spacing w:before="0" w:after="0"/>
              <w:ind w:left="0" w:right="0" w:hanging="0"/>
              <w:rPr/>
            </w:pPr>
            <w:r>
              <w:rPr/>
              <w:t> </w:t>
            </w:r>
          </w:p>
        </w:tc>
        <w:tc>
          <w:tcPr>
            <w:tcW w:w="138" w:type="dxa"/>
            <w:tcBorders/>
            <w:shd w:fill="FFFFFF" w:val="clear"/>
            <w:vAlign w:val="center"/>
          </w:tcPr>
          <w:p>
            <w:pPr>
              <w:pStyle w:val="TableContents"/>
              <w:spacing w:before="0" w:after="0"/>
              <w:ind w:left="0" w:right="0" w:hanging="0"/>
              <w:rPr/>
            </w:pPr>
            <w:r>
              <w:rPr/>
              <w:t> </w:t>
            </w:r>
          </w:p>
        </w:tc>
        <w:tc>
          <w:tcPr>
            <w:tcW w:w="99" w:type="dxa"/>
            <w:tcBorders/>
            <w:shd w:fill="FFFFFF" w:val="clear"/>
            <w:vAlign w:val="center"/>
          </w:tcPr>
          <w:p>
            <w:pPr>
              <w:pStyle w:val="TableContents"/>
              <w:spacing w:before="0" w:after="0"/>
              <w:ind w:left="0" w:right="0" w:hanging="0"/>
              <w:rPr/>
            </w:pPr>
            <w:r>
              <w:rPr/>
              <w:t> </w:t>
            </w:r>
          </w:p>
        </w:tc>
        <w:tc>
          <w:tcPr>
            <w:tcW w:w="690" w:type="dxa"/>
            <w:tcBorders/>
            <w:shd w:fill="FFFFFF" w:val="clear"/>
            <w:vAlign w:val="center"/>
          </w:tcPr>
          <w:p>
            <w:pPr>
              <w:pStyle w:val="TableContents"/>
              <w:spacing w:before="0" w:after="0"/>
              <w:ind w:left="0" w:right="0" w:hanging="0"/>
              <w:rPr/>
            </w:pPr>
            <w:r>
              <w:rPr/>
              <w:t> </w:t>
            </w:r>
          </w:p>
        </w:tc>
        <w:tc>
          <w:tcPr>
            <w:tcW w:w="50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20" w:type="dxa"/>
            <w:tcBorders/>
            <w:shd w:fill="FFFFFF" w:val="clear"/>
            <w:vAlign w:val="center"/>
          </w:tcPr>
          <w:p>
            <w:pPr>
              <w:pStyle w:val="TableContents"/>
              <w:spacing w:before="0" w:after="0"/>
              <w:ind w:left="0" w:right="0" w:hanging="0"/>
              <w:rPr/>
            </w:pPr>
            <w:r>
              <w:rPr/>
              <w:t> </w:t>
            </w:r>
          </w:p>
        </w:tc>
        <w:tc>
          <w:tcPr>
            <w:tcW w:w="796" w:type="dxa"/>
            <w:tcBorders/>
            <w:shd w:fill="FFFFFF" w:val="clear"/>
            <w:vAlign w:val="center"/>
          </w:tcPr>
          <w:p>
            <w:pPr>
              <w:pStyle w:val="TableContents"/>
              <w:spacing w:before="0" w:after="0"/>
              <w:ind w:left="0" w:right="0" w:hanging="0"/>
              <w:rPr/>
            </w:pPr>
            <w:r>
              <w:rPr/>
              <w:t> </w:t>
            </w:r>
          </w:p>
        </w:tc>
        <w:tc>
          <w:tcPr>
            <w:tcW w:w="295" w:type="dxa"/>
            <w:tcBorders/>
            <w:shd w:fill="FFFFFF" w:val="clear"/>
            <w:vAlign w:val="center"/>
          </w:tcPr>
          <w:p>
            <w:pPr>
              <w:pStyle w:val="TableContents"/>
              <w:spacing w:before="0" w:after="0"/>
              <w:ind w:left="0" w:right="0" w:hanging="0"/>
              <w:rPr/>
            </w:pPr>
            <w:r>
              <w:rPr/>
              <w:t> </w:t>
            </w:r>
          </w:p>
        </w:tc>
      </w:tr>
      <w:tr>
        <w:trPr/>
        <w:tc>
          <w:tcPr>
            <w:tcW w:w="221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Total</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6" w:space="0" w:color="000000"/>
            </w:tcBorders>
            <w:shd w:fill="CCEEFF" w:val="clear"/>
            <w:tcMar>
              <w:bottom w:w="28" w:type="dxa"/>
            </w:tcMar>
            <w:vAlign w:val="center"/>
          </w:tcPr>
          <w:p>
            <w:pPr>
              <w:pStyle w:val="TableContents"/>
              <w:spacing w:before="0" w:after="283"/>
              <w:jc w:val="right"/>
              <w:rPr/>
            </w:pPr>
            <w:r>
              <w:rPr/>
              <w:t>8,266,334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834" w:type="dxa"/>
            <w:tcBorders>
              <w:bottom w:val="double" w:sz="6" w:space="0" w:color="000000"/>
            </w:tcBorders>
            <w:shd w:fill="CCEEFF" w:val="clear"/>
            <w:tcMar>
              <w:bottom w:w="28" w:type="dxa"/>
            </w:tcMar>
            <w:vAlign w:val="center"/>
          </w:tcPr>
          <w:p>
            <w:pPr>
              <w:pStyle w:val="TableContents"/>
              <w:spacing w:before="0" w:after="283"/>
              <w:jc w:val="right"/>
              <w:rPr/>
            </w:pPr>
            <w:r>
              <w:rPr/>
              <w:t>513,525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58" w:type="dxa"/>
            <w:tcBorders>
              <w:bottom w:val="double" w:sz="6" w:space="0" w:color="000000"/>
            </w:tcBorders>
            <w:shd w:fill="CCEEFF" w:val="clear"/>
            <w:tcMar>
              <w:bottom w:w="28" w:type="dxa"/>
            </w:tcMar>
            <w:vAlign w:val="center"/>
          </w:tcPr>
          <w:p>
            <w:pPr>
              <w:pStyle w:val="TableContents"/>
              <w:spacing w:before="0" w:after="283"/>
              <w:rPr/>
            </w:pPr>
            <w:r>
              <w:rPr/>
              <w:t>$</w:t>
            </w:r>
          </w:p>
        </w:tc>
        <w:tc>
          <w:tcPr>
            <w:tcW w:w="915" w:type="dxa"/>
            <w:tcBorders>
              <w:bottom w:val="double" w:sz="6" w:space="0" w:color="000000"/>
            </w:tcBorders>
            <w:shd w:fill="CCEEFF" w:val="clear"/>
            <w:tcMar>
              <w:bottom w:w="28" w:type="dxa"/>
            </w:tcMar>
            <w:vAlign w:val="center"/>
          </w:tcPr>
          <w:p>
            <w:pPr>
              <w:pStyle w:val="TableContents"/>
              <w:spacing w:before="0" w:after="283"/>
              <w:jc w:val="right"/>
              <w:rPr/>
            </w:pPr>
            <w:r>
              <w:rPr/>
              <w:t>(26,700</w:t>
            </w:r>
          </w:p>
        </w:tc>
        <w:tc>
          <w:tcPr>
            <w:tcW w:w="138" w:type="dxa"/>
            <w:tcBorders/>
            <w:shd w:fill="CCEEFF" w:val="clear"/>
            <w:vAlign w:val="center"/>
          </w:tcPr>
          <w:p>
            <w:pPr>
              <w:pStyle w:val="TableContents"/>
              <w:spacing w:before="0" w:after="283"/>
              <w:rPr/>
            </w:pPr>
            <w:r>
              <w:rPr/>
              <w:t>)</w:t>
            </w:r>
          </w:p>
        </w:tc>
        <w:tc>
          <w:tcPr>
            <w:tcW w:w="99" w:type="dxa"/>
            <w:tcBorders/>
            <w:shd w:fill="CCEEFF" w:val="clear"/>
            <w:vAlign w:val="center"/>
          </w:tcPr>
          <w:p>
            <w:pPr>
              <w:pStyle w:val="TableContents"/>
              <w:spacing w:before="0" w:after="0"/>
              <w:ind w:left="0" w:right="0" w:hanging="0"/>
              <w:rPr/>
            </w:pPr>
            <w:r>
              <w:rPr/>
              <w:t> </w:t>
            </w:r>
          </w:p>
        </w:tc>
        <w:tc>
          <w:tcPr>
            <w:tcW w:w="690" w:type="dxa"/>
            <w:tcBorders>
              <w:bottom w:val="double" w:sz="6" w:space="0" w:color="000000"/>
            </w:tcBorders>
            <w:shd w:fill="CCEEFF" w:val="clear"/>
            <w:tcMar>
              <w:bottom w:w="28" w:type="dxa"/>
            </w:tcMar>
            <w:vAlign w:val="center"/>
          </w:tcPr>
          <w:p>
            <w:pPr>
              <w:pStyle w:val="TableContents"/>
              <w:spacing w:before="0" w:after="283"/>
              <w:rPr/>
            </w:pPr>
            <w:r>
              <w:rPr/>
              <w:t>$</w:t>
            </w:r>
          </w:p>
        </w:tc>
        <w:tc>
          <w:tcPr>
            <w:tcW w:w="508" w:type="dxa"/>
            <w:tcBorders>
              <w:bottom w:val="double" w:sz="6" w:space="0" w:color="000000"/>
            </w:tcBorders>
            <w:shd w:fill="CCEEFF" w:val="clear"/>
            <w:tcMar>
              <w:bottom w:w="28" w:type="dxa"/>
            </w:tcM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6" w:space="0" w:color="000000"/>
            </w:tcBorders>
            <w:shd w:fill="CCEEFF" w:val="clear"/>
            <w:tcMar>
              <w:bottom w:w="28" w:type="dxa"/>
            </w:tcMar>
            <w:vAlign w:val="center"/>
          </w:tcPr>
          <w:p>
            <w:pPr>
              <w:pStyle w:val="TableContents"/>
              <w:spacing w:before="0" w:after="283"/>
              <w:jc w:val="right"/>
              <w:rPr/>
            </w:pPr>
            <w:r>
              <w:rPr/>
              <w:t>8,753,159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20"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796" w:type="dxa"/>
            <w:tcBorders>
              <w:bottom w:val="double" w:sz="6" w:space="0" w:color="000000"/>
            </w:tcBorders>
            <w:shd w:fill="CCEEFF" w:val="clear"/>
            <w:tcMar>
              <w:bottom w:w="28" w:type="dxa"/>
            </w:tcMar>
            <w:vAlign w:val="center"/>
          </w:tcPr>
          <w:p>
            <w:pPr>
              <w:pStyle w:val="TableContents"/>
              <w:spacing w:before="0" w:after="283"/>
              <w:jc w:val="right"/>
              <w:rPr/>
            </w:pPr>
            <w:r>
              <w:rPr/>
              <w:t>100.0</w:t>
            </w:r>
          </w:p>
        </w:tc>
        <w:tc>
          <w:tcPr>
            <w:tcW w:w="295" w:type="dxa"/>
            <w:tcBorders/>
            <w:shd w:fill="CCEEFF" w:val="clear"/>
            <w:vAlign w:val="center"/>
          </w:tcPr>
          <w:p>
            <w:pPr>
              <w:pStyle w:val="TableContents"/>
              <w:spacing w:before="0" w:after="283"/>
              <w:rPr/>
            </w:pPr>
            <w:r>
              <w:rPr/>
              <w:t>%</w:t>
            </w:r>
          </w:p>
        </w:tc>
      </w:tr>
    </w:tbl>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Held-to-maturity U.S. Treasury securities are held in trust pursuant to various states’ minimum fund requirements.</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49</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 summary of the amortized cost and estimated fair value of our investments in held-to-maturity securities by contractual maturity as of December 31, 2022 and 2021 is shown below:</w:t>
      </w:r>
    </w:p>
    <w:p>
      <w:pPr>
        <w:pStyle w:val="TextBody"/>
        <w:spacing w:before="0" w:after="0"/>
        <w:ind w:left="0" w:right="0" w:firstLine="720"/>
        <w:jc w:val="both"/>
        <w:rPr/>
      </w:pPr>
      <w:r>
        <w:rPr/>
        <w:t> </w:t>
      </w:r>
    </w:p>
    <w:tbl>
      <w:tblPr>
        <w:tblW w:w="8040" w:type="dxa"/>
        <w:jc w:val="left"/>
        <w:tblInd w:w="0" w:type="dxa"/>
        <w:tblCellMar>
          <w:top w:w="0" w:type="dxa"/>
          <w:left w:w="0" w:type="dxa"/>
          <w:bottom w:w="0" w:type="dxa"/>
          <w:right w:w="0" w:type="dxa"/>
        </w:tblCellMar>
      </w:tblPr>
      <w:tblGrid>
        <w:gridCol w:w="2555"/>
        <w:gridCol w:w="90"/>
        <w:gridCol w:w="170"/>
        <w:gridCol w:w="1010"/>
        <w:gridCol w:w="90"/>
        <w:gridCol w:w="90"/>
        <w:gridCol w:w="170"/>
        <w:gridCol w:w="1010"/>
        <w:gridCol w:w="90"/>
        <w:gridCol w:w="90"/>
        <w:gridCol w:w="170"/>
        <w:gridCol w:w="1010"/>
        <w:gridCol w:w="90"/>
        <w:gridCol w:w="90"/>
        <w:gridCol w:w="170"/>
        <w:gridCol w:w="1010"/>
        <w:gridCol w:w="135"/>
      </w:tblGrid>
      <w:tr>
        <w:trPr/>
        <w:tc>
          <w:tcPr>
            <w:tcW w:w="255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180" w:type="dxa"/>
            <w:gridSpan w:val="2"/>
            <w:tcBorders/>
            <w:shd w:fill="auto" w:val="clear"/>
            <w:vAlign w:val="center"/>
          </w:tcPr>
          <w:p>
            <w:pPr>
              <w:pStyle w:val="TableContents"/>
              <w:spacing w:before="0" w:after="283"/>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180" w:type="dxa"/>
            <w:gridSpan w:val="2"/>
            <w:tcBorders/>
            <w:shd w:fill="auto" w:val="clear"/>
            <w:vAlign w:val="center"/>
          </w:tcPr>
          <w:p>
            <w:pPr>
              <w:pStyle w:val="TableContents"/>
              <w:spacing w:before="0" w:after="283"/>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180" w:type="dxa"/>
            <w:gridSpan w:val="2"/>
            <w:tcBorders/>
            <w:shd w:fill="auto" w:val="clear"/>
            <w:vAlign w:val="center"/>
          </w:tcPr>
          <w:p>
            <w:pPr>
              <w:pStyle w:val="TableContents"/>
              <w:spacing w:before="0" w:after="283"/>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180" w:type="dxa"/>
            <w:gridSpan w:val="2"/>
            <w:tcBorders/>
            <w:shd w:fill="auto" w:val="clear"/>
            <w:vAlign w:val="center"/>
          </w:tcPr>
          <w:p>
            <w:pPr>
              <w:pStyle w:val="TableContents"/>
              <w:spacing w:before="0" w:after="283"/>
              <w:rPr/>
            </w:pPr>
            <w:r>
              <w:rPr>
                <w:rStyle w:val="StrongEmphasis"/>
              </w:rPr>
              <w:t> </w:t>
            </w:r>
          </w:p>
        </w:tc>
        <w:tc>
          <w:tcPr>
            <w:tcW w:w="135" w:type="dxa"/>
            <w:tcBorders/>
            <w:shd w:fill="auto" w:val="clear"/>
            <w:vAlign w:val="center"/>
          </w:tcPr>
          <w:p>
            <w:pPr>
              <w:pStyle w:val="TableContents"/>
              <w:spacing w:before="0" w:after="0"/>
              <w:ind w:left="0" w:right="0" w:hanging="0"/>
              <w:rPr/>
            </w:pPr>
            <w:r>
              <w:rPr>
                <w:rStyle w:val="StrongEmphasis"/>
              </w:rPr>
              <w:t> </w:t>
            </w:r>
          </w:p>
        </w:tc>
      </w:tr>
      <w:tr>
        <w:trPr/>
        <w:tc>
          <w:tcPr>
            <w:tcW w:w="255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2540" w:type="dxa"/>
            <w:gridSpan w:val="6"/>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2022</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2540" w:type="dxa"/>
            <w:gridSpan w:val="6"/>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2021</w:t>
            </w:r>
          </w:p>
        </w:tc>
        <w:tc>
          <w:tcPr>
            <w:tcW w:w="135" w:type="dxa"/>
            <w:tcBorders/>
            <w:shd w:fill="auto" w:val="clear"/>
            <w:vAlign w:val="center"/>
          </w:tcPr>
          <w:p>
            <w:pPr>
              <w:pStyle w:val="TableContents"/>
              <w:spacing w:before="0" w:after="0"/>
              <w:ind w:left="0" w:right="0" w:hanging="0"/>
              <w:rPr/>
            </w:pPr>
            <w:r>
              <w:rPr>
                <w:rStyle w:val="StrongEmphasis"/>
              </w:rPr>
              <w:t> </w:t>
            </w:r>
          </w:p>
        </w:tc>
      </w:tr>
      <w:tr>
        <w:trPr/>
        <w:tc>
          <w:tcPr>
            <w:tcW w:w="255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Amortized</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Estimated</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Amortized</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Estimated</w:t>
            </w:r>
          </w:p>
        </w:tc>
        <w:tc>
          <w:tcPr>
            <w:tcW w:w="135" w:type="dxa"/>
            <w:tcBorders/>
            <w:shd w:fill="auto" w:val="clear"/>
            <w:vAlign w:val="center"/>
          </w:tcPr>
          <w:p>
            <w:pPr>
              <w:pStyle w:val="TableContents"/>
              <w:spacing w:before="0" w:after="0"/>
              <w:ind w:left="0" w:right="0" w:hanging="0"/>
              <w:rPr/>
            </w:pPr>
            <w:r>
              <w:rPr>
                <w:rStyle w:val="StrongEmphasis"/>
              </w:rPr>
              <w:t> </w:t>
            </w:r>
          </w:p>
        </w:tc>
      </w:tr>
      <w:tr>
        <w:trPr/>
        <w:tc>
          <w:tcPr>
            <w:tcW w:w="2555" w:type="dxa"/>
            <w:tcBorders>
              <w:bottom w:val="single" w:sz="8" w:space="0" w:color="000000"/>
            </w:tcBorders>
            <w:shd w:fill="auto" w:val="clear"/>
            <w:tcMar>
              <w:bottom w:w="28" w:type="dxa"/>
            </w:tcMar>
            <w:vAlign w:val="center"/>
          </w:tcPr>
          <w:p>
            <w:pPr>
              <w:pStyle w:val="TableContents"/>
              <w:spacing w:before="0" w:after="0"/>
              <w:ind w:left="0" w:right="0" w:hanging="0"/>
              <w:jc w:val="left"/>
              <w:rPr/>
            </w:pPr>
            <w:r>
              <w:rPr>
                <w:rStyle w:val="StrongEmphasis"/>
                <w:rFonts w:ascii="times new roman" w:hAnsi="times new roman"/>
                <w:sz w:val="20"/>
              </w:rPr>
              <w:t xml:space="preserve">Remaining Time to Maturity </w:t>
            </w:r>
          </w:p>
        </w:tc>
        <w:tc>
          <w:tcPr>
            <w:tcW w:w="90" w:type="dxa"/>
            <w:tcBorders/>
            <w:shd w:fill="auto" w:val="clear"/>
            <w:vAlign w:val="center"/>
          </w:tcPr>
          <w:p>
            <w:pPr>
              <w:pStyle w:val="TableContents"/>
              <w:spacing w:before="0" w:after="0"/>
              <w:ind w:left="0" w:right="0" w:hanging="0"/>
              <w:rPr/>
            </w:pPr>
            <w:r>
              <w:rPr>
                <w:rStyle w:val="StrongEmphasis"/>
              </w:rPr>
              <w:t> </w:t>
            </w:r>
          </w:p>
        </w:tc>
        <w:tc>
          <w:tcPr>
            <w:tcW w:w="118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Cost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18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Fair Value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18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Cost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18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Fair Value </w:t>
            </w:r>
          </w:p>
        </w:tc>
        <w:tc>
          <w:tcPr>
            <w:tcW w:w="135" w:type="dxa"/>
            <w:tcBorders/>
            <w:shd w:fill="auto" w:val="clear"/>
            <w:vAlign w:val="center"/>
          </w:tcPr>
          <w:p>
            <w:pPr>
              <w:pStyle w:val="TableContents"/>
              <w:spacing w:before="0" w:after="0"/>
              <w:ind w:left="0" w:right="0" w:hanging="0"/>
              <w:rPr/>
            </w:pPr>
            <w:r>
              <w:rPr/>
              <w:t> </w:t>
            </w:r>
          </w:p>
        </w:tc>
      </w:tr>
      <w:tr>
        <w:trPr/>
        <w:tc>
          <w:tcPr>
            <w:tcW w:w="255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675" w:type="dxa"/>
            <w:gridSpan w:val="7"/>
            <w:tcBorders/>
            <w:shd w:fill="auto" w:val="clear"/>
            <w:vAlign w:val="center"/>
          </w:tcPr>
          <w:p>
            <w:pPr>
              <w:pStyle w:val="TableContents"/>
              <w:spacing w:before="0" w:after="0"/>
              <w:ind w:left="0" w:right="0" w:hanging="0"/>
              <w:rPr/>
            </w:pPr>
            <w:r>
              <w:rPr/>
              <w:t> </w:t>
            </w:r>
          </w:p>
        </w:tc>
      </w:tr>
      <w:tr>
        <w:trPr/>
        <w:tc>
          <w:tcPr>
            <w:tcW w:w="2555"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Less than one year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708,535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743,575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994,712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1,008,180</w:t>
            </w:r>
          </w:p>
        </w:tc>
        <w:tc>
          <w:tcPr>
            <w:tcW w:w="135" w:type="dxa"/>
            <w:tcBorders/>
            <w:shd w:fill="CCEEFF" w:val="clear"/>
            <w:vAlign w:val="center"/>
          </w:tcPr>
          <w:p>
            <w:pPr>
              <w:pStyle w:val="TableContents"/>
              <w:spacing w:before="0" w:after="0"/>
              <w:ind w:left="0" w:right="0" w:hanging="0"/>
              <w:rPr/>
            </w:pPr>
            <w:r>
              <w:rPr/>
              <w:t> </w:t>
            </w:r>
          </w:p>
        </w:tc>
      </w:tr>
      <w:tr>
        <w:trPr/>
        <w:tc>
          <w:tcPr>
            <w:tcW w:w="2555"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One to five years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1,120,507</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1,088,522</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1,205,829</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1,290,465</w:t>
            </w:r>
          </w:p>
        </w:tc>
        <w:tc>
          <w:tcPr>
            <w:tcW w:w="135" w:type="dxa"/>
            <w:tcBorders/>
            <w:shd w:fill="FFFFFF" w:val="clear"/>
            <w:vAlign w:val="center"/>
          </w:tcPr>
          <w:p>
            <w:pPr>
              <w:pStyle w:val="TableContents"/>
              <w:spacing w:before="0" w:after="0"/>
              <w:ind w:left="0" w:right="0" w:hanging="0"/>
              <w:rPr/>
            </w:pPr>
            <w:r>
              <w:rPr/>
              <w:t> </w:t>
            </w:r>
          </w:p>
        </w:tc>
      </w:tr>
      <w:tr>
        <w:trPr/>
        <w:tc>
          <w:tcPr>
            <w:tcW w:w="2555"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Five to ten years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1,402,704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1,200,720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1,513,942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1,648,808</w:t>
            </w:r>
          </w:p>
        </w:tc>
        <w:tc>
          <w:tcPr>
            <w:tcW w:w="135" w:type="dxa"/>
            <w:tcBorders/>
            <w:shd w:fill="CCEEFF" w:val="clear"/>
            <w:vAlign w:val="center"/>
          </w:tcPr>
          <w:p>
            <w:pPr>
              <w:pStyle w:val="TableContents"/>
              <w:spacing w:before="0" w:after="0"/>
              <w:ind w:left="0" w:right="0" w:hanging="0"/>
              <w:rPr/>
            </w:pPr>
            <w:r>
              <w:rPr/>
              <w:t> </w:t>
            </w:r>
          </w:p>
        </w:tc>
      </w:tr>
      <w:tr>
        <w:trPr/>
        <w:tc>
          <w:tcPr>
            <w:tcW w:w="2555"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More than 10 years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4,534,394</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3,567,571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4,551,851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4,805,706</w:t>
            </w:r>
          </w:p>
        </w:tc>
        <w:tc>
          <w:tcPr>
            <w:tcW w:w="135" w:type="dxa"/>
            <w:tcBorders/>
            <w:shd w:fill="FFFFFF" w:val="clear"/>
            <w:vAlign w:val="center"/>
          </w:tcPr>
          <w:p>
            <w:pPr>
              <w:pStyle w:val="TableContents"/>
              <w:spacing w:before="0" w:after="0"/>
              <w:ind w:left="0" w:right="0" w:hanging="0"/>
              <w:rPr/>
            </w:pPr>
            <w:r>
              <w:rPr/>
              <w:t> </w:t>
            </w:r>
          </w:p>
        </w:tc>
      </w:tr>
      <w:tr>
        <w:trPr/>
        <w:tc>
          <w:tcPr>
            <w:tcW w:w="2555"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Total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5" w:space="0" w:color="000000"/>
            </w:tcBorders>
            <w:shd w:fill="CCEEFF" w:val="clear"/>
            <w:tcMar>
              <w:bottom w:w="28" w:type="dxa"/>
            </w:tcMar>
            <w:vAlign w:val="center"/>
          </w:tcPr>
          <w:p>
            <w:pPr>
              <w:pStyle w:val="TableContents"/>
              <w:spacing w:before="0" w:after="283"/>
              <w:jc w:val="right"/>
              <w:rPr/>
            </w:pPr>
            <w:r>
              <w:rPr/>
              <w:t>7,766,140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5" w:space="0" w:color="000000"/>
            </w:tcBorders>
            <w:shd w:fill="CCEEFF" w:val="clear"/>
            <w:tcMar>
              <w:bottom w:w="28" w:type="dxa"/>
            </w:tcMar>
            <w:vAlign w:val="center"/>
          </w:tcPr>
          <w:p>
            <w:pPr>
              <w:pStyle w:val="TableContents"/>
              <w:spacing w:before="0" w:after="283"/>
              <w:jc w:val="right"/>
              <w:rPr/>
            </w:pPr>
            <w:r>
              <w:rPr/>
              <w:t>6,600,388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5" w:space="0" w:color="000000"/>
            </w:tcBorders>
            <w:shd w:fill="CCEEFF" w:val="clear"/>
            <w:tcMar>
              <w:bottom w:w="28" w:type="dxa"/>
            </w:tcMar>
            <w:vAlign w:val="center"/>
          </w:tcPr>
          <w:p>
            <w:pPr>
              <w:pStyle w:val="TableContents"/>
              <w:spacing w:before="0" w:after="283"/>
              <w:jc w:val="right"/>
              <w:rPr/>
            </w:pPr>
            <w:r>
              <w:rPr/>
              <w:t>8,266,334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5" w:space="0" w:color="000000"/>
            </w:tcBorders>
            <w:shd w:fill="CCEEFF" w:val="clear"/>
            <w:tcMar>
              <w:bottom w:w="28" w:type="dxa"/>
            </w:tcMar>
            <w:vAlign w:val="center"/>
          </w:tcPr>
          <w:p>
            <w:pPr>
              <w:pStyle w:val="TableContents"/>
              <w:spacing w:before="0" w:after="283"/>
              <w:jc w:val="right"/>
              <w:rPr/>
            </w:pPr>
            <w:r>
              <w:rPr/>
              <w:t>8,753,159</w:t>
            </w:r>
          </w:p>
        </w:tc>
        <w:tc>
          <w:tcPr>
            <w:tcW w:w="135"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firstLine="720"/>
        <w:jc w:val="both"/>
        <w:rPr/>
      </w:pPr>
      <w:r>
        <w:rPr>
          <w:rStyle w:val="Emphasis"/>
          <w:rFonts w:ascii="times new roman" w:hAnsi="times new roman"/>
          <w:sz w:val="20"/>
        </w:rPr>
        <w:t>Credit Rating of Fixed-Maturity Securities</w:t>
      </w:r>
      <w:r>
        <w:rPr>
          <w:rStyle w:val="Emphasis"/>
          <w:rFonts w:ascii="times new roman" w:hAnsi="times new roman"/>
          <w:sz w:val="20"/>
        </w:rPr>
        <w:t xml:space="preserve">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table below summarizes the credit quality of our available-for-sale fixed-maturity securities as of December 31, 2022 and 2021 as rated by Standard and Poor’s (or, if unavailable from Standard and Poor’s, then Moody’s, Fitch, or Kroll):</w:t>
      </w:r>
    </w:p>
    <w:p>
      <w:pPr>
        <w:pStyle w:val="TextBody"/>
        <w:spacing w:before="0" w:after="0"/>
        <w:ind w:left="0" w:right="0" w:firstLine="720"/>
        <w:jc w:val="both"/>
        <w:rPr/>
      </w:pPr>
      <w:r>
        <w:rPr/>
        <w:t> </w:t>
      </w:r>
    </w:p>
    <w:tbl>
      <w:tblPr>
        <w:tblW w:w="10205" w:type="dxa"/>
        <w:jc w:val="left"/>
        <w:tblInd w:w="0" w:type="dxa"/>
        <w:tblCellMar>
          <w:top w:w="0" w:type="dxa"/>
          <w:left w:w="0" w:type="dxa"/>
          <w:bottom w:w="0" w:type="dxa"/>
          <w:right w:w="0" w:type="dxa"/>
        </w:tblCellMar>
      </w:tblPr>
      <w:tblGrid>
        <w:gridCol w:w="4049"/>
        <w:gridCol w:w="90"/>
        <w:gridCol w:w="170"/>
        <w:gridCol w:w="1250"/>
        <w:gridCol w:w="90"/>
        <w:gridCol w:w="90"/>
        <w:gridCol w:w="147"/>
        <w:gridCol w:w="972"/>
        <w:gridCol w:w="245"/>
        <w:gridCol w:w="90"/>
        <w:gridCol w:w="170"/>
        <w:gridCol w:w="1250"/>
        <w:gridCol w:w="90"/>
        <w:gridCol w:w="90"/>
        <w:gridCol w:w="147"/>
        <w:gridCol w:w="972"/>
        <w:gridCol w:w="293"/>
      </w:tblGrid>
      <w:tr>
        <w:trPr/>
        <w:tc>
          <w:tcPr>
            <w:tcW w:w="4049"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719"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2022</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719"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2021</w:t>
            </w:r>
          </w:p>
        </w:tc>
        <w:tc>
          <w:tcPr>
            <w:tcW w:w="293" w:type="dxa"/>
            <w:tcBorders/>
            <w:shd w:fill="auto" w:val="clear"/>
            <w:vAlign w:val="center"/>
          </w:tcPr>
          <w:p>
            <w:pPr>
              <w:pStyle w:val="TableContents"/>
              <w:spacing w:before="0" w:after="0"/>
              <w:ind w:left="0" w:right="0" w:hanging="0"/>
              <w:rPr/>
            </w:pPr>
            <w:r>
              <w:rPr/>
              <w:t> </w:t>
            </w:r>
          </w:p>
        </w:tc>
      </w:tr>
      <w:tr>
        <w:trPr/>
        <w:tc>
          <w:tcPr>
            <w:tcW w:w="4049"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Estimated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19"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Percentage of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Estimated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19"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Percentage of </w:t>
            </w:r>
          </w:p>
        </w:tc>
        <w:tc>
          <w:tcPr>
            <w:tcW w:w="293" w:type="dxa"/>
            <w:tcBorders/>
            <w:shd w:fill="auto" w:val="clear"/>
            <w:vAlign w:val="center"/>
          </w:tcPr>
          <w:p>
            <w:pPr>
              <w:pStyle w:val="TableContents"/>
              <w:spacing w:before="0" w:after="0"/>
              <w:ind w:left="0" w:right="0" w:hanging="0"/>
              <w:rPr/>
            </w:pPr>
            <w:r>
              <w:rPr/>
              <w:t> </w:t>
            </w:r>
          </w:p>
        </w:tc>
      </w:tr>
      <w:tr>
        <w:trPr/>
        <w:tc>
          <w:tcPr>
            <w:tcW w:w="4049"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Fair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19"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Estimated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Fair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19"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Estimated </w:t>
            </w:r>
          </w:p>
        </w:tc>
        <w:tc>
          <w:tcPr>
            <w:tcW w:w="293" w:type="dxa"/>
            <w:tcBorders/>
            <w:shd w:fill="auto" w:val="clear"/>
            <w:vAlign w:val="center"/>
          </w:tcPr>
          <w:p>
            <w:pPr>
              <w:pStyle w:val="TableContents"/>
              <w:spacing w:before="0" w:after="0"/>
              <w:ind w:left="0" w:right="0" w:hanging="0"/>
              <w:rPr/>
            </w:pPr>
            <w:r>
              <w:rPr/>
              <w:t> </w:t>
            </w:r>
          </w:p>
        </w:tc>
      </w:tr>
      <w:tr>
        <w:trPr/>
        <w:tc>
          <w:tcPr>
            <w:tcW w:w="4049"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Value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1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Fair Value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Value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1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Fair Value </w:t>
            </w:r>
          </w:p>
        </w:tc>
        <w:tc>
          <w:tcPr>
            <w:tcW w:w="293" w:type="dxa"/>
            <w:tcBorders/>
            <w:shd w:fill="auto" w:val="clear"/>
            <w:vAlign w:val="center"/>
          </w:tcPr>
          <w:p>
            <w:pPr>
              <w:pStyle w:val="TableContents"/>
              <w:spacing w:before="0" w:after="0"/>
              <w:ind w:left="0" w:right="0" w:hanging="0"/>
              <w:rPr/>
            </w:pPr>
            <w:r>
              <w:rPr/>
              <w:t> </w:t>
            </w:r>
          </w:p>
        </w:tc>
      </w:tr>
      <w:tr>
        <w:trPr/>
        <w:tc>
          <w:tcPr>
            <w:tcW w:w="4049"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19"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012" w:type="dxa"/>
            <w:gridSpan w:val="7"/>
            <w:tcBorders/>
            <w:shd w:fill="auto" w:val="clear"/>
            <w:vAlign w:val="center"/>
          </w:tcPr>
          <w:p>
            <w:pPr>
              <w:pStyle w:val="TableContents"/>
              <w:spacing w:before="0" w:after="0"/>
              <w:ind w:left="0" w:right="0" w:hanging="0"/>
              <w:rPr/>
            </w:pPr>
            <w:r>
              <w:rPr/>
              <w:t> </w:t>
            </w:r>
          </w:p>
        </w:tc>
      </w:tr>
      <w:tr>
        <w:trPr/>
        <w:tc>
          <w:tcPr>
            <w:tcW w:w="4049" w:type="dxa"/>
            <w:tcBorders/>
            <w:shd w:fill="auto" w:val="clear"/>
            <w:vAlign w:val="center"/>
          </w:tcPr>
          <w:p>
            <w:pPr>
              <w:pStyle w:val="TableContents"/>
              <w:spacing w:before="0" w:after="0"/>
              <w:ind w:left="0" w:right="0" w:hanging="0"/>
              <w:rPr/>
            </w:pPr>
            <w:r>
              <w:rPr>
                <w:rStyle w:val="StrongEmphasis"/>
                <w:rFonts w:ascii="times new roman" w:hAnsi="times new roman"/>
                <w:sz w:val="20"/>
              </w:rPr>
              <w:t xml:space="preserve">Rating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19"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19" w:type="dxa"/>
            <w:gridSpan w:val="2"/>
            <w:tcBorders/>
            <w:shd w:fill="auto" w:val="clear"/>
            <w:vAlign w:val="center"/>
          </w:tcPr>
          <w:p>
            <w:pPr>
              <w:pStyle w:val="TableContents"/>
              <w:spacing w:before="0" w:after="0"/>
              <w:ind w:left="0" w:right="0" w:hanging="0"/>
              <w:rPr/>
            </w:pPr>
            <w:r>
              <w:rPr/>
              <w:t> </w:t>
            </w:r>
          </w:p>
        </w:tc>
        <w:tc>
          <w:tcPr>
            <w:tcW w:w="293" w:type="dxa"/>
            <w:tcBorders/>
            <w:shd w:fill="auto" w:val="clear"/>
            <w:vAlign w:val="center"/>
          </w:tcPr>
          <w:p>
            <w:pPr>
              <w:pStyle w:val="TableContents"/>
              <w:spacing w:before="0" w:after="0"/>
              <w:ind w:left="0" w:right="0" w:hanging="0"/>
              <w:rPr/>
            </w:pPr>
            <w:r>
              <w:rPr/>
              <w:t> </w:t>
            </w:r>
          </w:p>
        </w:tc>
      </w:tr>
      <w:tr>
        <w:trPr/>
        <w:tc>
          <w:tcPr>
            <w:tcW w:w="4049"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U.S. Treasury securities</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283"/>
              <w:rPr/>
            </w:pPr>
            <w:r>
              <w:rPr/>
              <w:t>$</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23,869,096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72" w:type="dxa"/>
            <w:tcBorders>
              <w:bottom w:val="single" w:sz="2" w:space="0" w:color="000000"/>
            </w:tcBorders>
            <w:shd w:fill="CCEEFF" w:val="clear"/>
            <w:tcMar>
              <w:bottom w:w="28" w:type="dxa"/>
            </w:tcMar>
            <w:vAlign w:val="center"/>
          </w:tcPr>
          <w:p>
            <w:pPr>
              <w:pStyle w:val="TableContents"/>
              <w:spacing w:before="0" w:after="283"/>
              <w:jc w:val="right"/>
              <w:rPr/>
            </w:pPr>
            <w:r>
              <w:rPr/>
              <w:t>15.4</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283"/>
              <w:rPr/>
            </w:pPr>
            <w:r>
              <w:rPr/>
              <w:t>$</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72" w:type="dxa"/>
            <w:tcBorders>
              <w:bottom w:val="single" w:sz="2" w:space="0" w:color="000000"/>
            </w:tcBorders>
            <w:shd w:fill="CCEEFF" w:val="clear"/>
            <w:tcMar>
              <w:bottom w:w="28" w:type="dxa"/>
            </w:tcMar>
            <w:vAlign w:val="center"/>
          </w:tcPr>
          <w:p>
            <w:pPr>
              <w:pStyle w:val="TableContents"/>
              <w:spacing w:before="0" w:after="283"/>
              <w:jc w:val="right"/>
              <w:rPr/>
            </w:pPr>
            <w:r>
              <w:rPr/>
              <w:t>0.0</w:t>
            </w:r>
          </w:p>
        </w:tc>
        <w:tc>
          <w:tcPr>
            <w:tcW w:w="293" w:type="dxa"/>
            <w:tcBorders/>
            <w:shd w:fill="CCEEFF" w:val="clear"/>
            <w:vAlign w:val="center"/>
          </w:tcPr>
          <w:p>
            <w:pPr>
              <w:pStyle w:val="TableContents"/>
              <w:spacing w:before="0" w:after="283"/>
              <w:rPr/>
            </w:pPr>
            <w:r>
              <w:rPr/>
              <w:t>%</w:t>
            </w:r>
          </w:p>
        </w:tc>
      </w:tr>
      <w:tr>
        <w:trPr/>
        <w:tc>
          <w:tcPr>
            <w:tcW w:w="4049"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7" w:type="dxa"/>
            <w:tcBorders/>
            <w:shd w:fill="FFFFFF" w:val="clear"/>
            <w:vAlign w:val="center"/>
          </w:tcPr>
          <w:p>
            <w:pPr>
              <w:pStyle w:val="TableContents"/>
              <w:spacing w:before="0" w:after="0"/>
              <w:ind w:left="0" w:right="0" w:hanging="0"/>
              <w:rPr/>
            </w:pPr>
            <w:r>
              <w:rPr/>
              <w:t> </w:t>
            </w:r>
          </w:p>
        </w:tc>
        <w:tc>
          <w:tcPr>
            <w:tcW w:w="972"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7" w:type="dxa"/>
            <w:tcBorders/>
            <w:shd w:fill="FFFFFF" w:val="clear"/>
            <w:vAlign w:val="center"/>
          </w:tcPr>
          <w:p>
            <w:pPr>
              <w:pStyle w:val="TableContents"/>
              <w:spacing w:before="0" w:after="0"/>
              <w:ind w:left="0" w:right="0" w:hanging="0"/>
              <w:rPr/>
            </w:pPr>
            <w:r>
              <w:rPr/>
              <w:t> </w:t>
            </w:r>
          </w:p>
        </w:tc>
        <w:tc>
          <w:tcPr>
            <w:tcW w:w="972" w:type="dxa"/>
            <w:tcBorders/>
            <w:shd w:fill="FFFFFF" w:val="clear"/>
            <w:vAlign w:val="center"/>
          </w:tcPr>
          <w:p>
            <w:pPr>
              <w:pStyle w:val="TableContents"/>
              <w:spacing w:before="0" w:after="0"/>
              <w:ind w:left="0" w:right="0" w:hanging="0"/>
              <w:rPr/>
            </w:pPr>
            <w:r>
              <w:rPr/>
              <w:t> </w:t>
            </w:r>
          </w:p>
        </w:tc>
        <w:tc>
          <w:tcPr>
            <w:tcW w:w="293" w:type="dxa"/>
            <w:tcBorders/>
            <w:shd w:fill="FFFFFF" w:val="clear"/>
            <w:vAlign w:val="center"/>
          </w:tcPr>
          <w:p>
            <w:pPr>
              <w:pStyle w:val="TableContents"/>
              <w:spacing w:before="0" w:after="0"/>
              <w:ind w:left="0" w:right="0" w:hanging="0"/>
              <w:rPr/>
            </w:pPr>
            <w:r>
              <w:rPr/>
              <w:t> </w:t>
            </w:r>
          </w:p>
        </w:tc>
      </w:tr>
      <w:tr>
        <w:trPr/>
        <w:tc>
          <w:tcPr>
            <w:tcW w:w="4049"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Corporate and municipal bonds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7" w:type="dxa"/>
            <w:tcBorders/>
            <w:shd w:fill="CCEEFF" w:val="clear"/>
            <w:vAlign w:val="center"/>
          </w:tcPr>
          <w:p>
            <w:pPr>
              <w:pStyle w:val="TableContents"/>
              <w:spacing w:before="0" w:after="0"/>
              <w:ind w:left="0" w:right="0" w:hanging="0"/>
              <w:rPr/>
            </w:pPr>
            <w:r>
              <w:rPr/>
              <w:t> </w:t>
            </w:r>
          </w:p>
        </w:tc>
        <w:tc>
          <w:tcPr>
            <w:tcW w:w="972"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7" w:type="dxa"/>
            <w:tcBorders/>
            <w:shd w:fill="CCEEFF" w:val="clear"/>
            <w:vAlign w:val="center"/>
          </w:tcPr>
          <w:p>
            <w:pPr>
              <w:pStyle w:val="TableContents"/>
              <w:spacing w:before="0" w:after="0"/>
              <w:ind w:left="0" w:right="0" w:hanging="0"/>
              <w:rPr/>
            </w:pPr>
            <w:r>
              <w:rPr/>
              <w:t> </w:t>
            </w:r>
          </w:p>
        </w:tc>
        <w:tc>
          <w:tcPr>
            <w:tcW w:w="972" w:type="dxa"/>
            <w:tcBorders/>
            <w:shd w:fill="CCEEFF" w:val="clear"/>
            <w:vAlign w:val="center"/>
          </w:tcPr>
          <w:p>
            <w:pPr>
              <w:pStyle w:val="TableContents"/>
              <w:spacing w:before="0" w:after="0"/>
              <w:ind w:left="0" w:right="0" w:hanging="0"/>
              <w:rPr/>
            </w:pPr>
            <w:r>
              <w:rPr/>
              <w:t> </w:t>
            </w:r>
          </w:p>
        </w:tc>
        <w:tc>
          <w:tcPr>
            <w:tcW w:w="293" w:type="dxa"/>
            <w:tcBorders/>
            <w:shd w:fill="CCEEFF" w:val="clear"/>
            <w:vAlign w:val="center"/>
          </w:tcPr>
          <w:p>
            <w:pPr>
              <w:pStyle w:val="TableContents"/>
              <w:spacing w:before="0" w:after="0"/>
              <w:ind w:left="0" w:right="0" w:hanging="0"/>
              <w:rPr/>
            </w:pPr>
            <w:r>
              <w:rPr/>
              <w:t> </w:t>
            </w:r>
          </w:p>
        </w:tc>
      </w:tr>
      <w:tr>
        <w:trPr/>
        <w:tc>
          <w:tcPr>
            <w:tcW w:w="4049"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AAA</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1,824,478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7" w:type="dxa"/>
            <w:tcBorders/>
            <w:shd w:fill="FFFFFF" w:val="clear"/>
            <w:vAlign w:val="center"/>
          </w:tcPr>
          <w:p>
            <w:pPr>
              <w:pStyle w:val="TableContents"/>
              <w:spacing w:before="0" w:after="0"/>
              <w:ind w:left="0" w:right="0" w:hanging="0"/>
              <w:rPr/>
            </w:pPr>
            <w:r>
              <w:rPr/>
              <w:t> </w:t>
            </w:r>
          </w:p>
        </w:tc>
        <w:tc>
          <w:tcPr>
            <w:tcW w:w="972" w:type="dxa"/>
            <w:tcBorders/>
            <w:shd w:fill="FFFFFF" w:val="clear"/>
            <w:vAlign w:val="center"/>
          </w:tcPr>
          <w:p>
            <w:pPr>
              <w:pStyle w:val="TableContents"/>
              <w:spacing w:before="0" w:after="283"/>
              <w:jc w:val="right"/>
              <w:rPr/>
            </w:pPr>
            <w:r>
              <w:rPr/>
              <w:t>1.2</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1,321,809</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7" w:type="dxa"/>
            <w:tcBorders/>
            <w:shd w:fill="FFFFFF" w:val="clear"/>
            <w:vAlign w:val="center"/>
          </w:tcPr>
          <w:p>
            <w:pPr>
              <w:pStyle w:val="TableContents"/>
              <w:spacing w:before="0" w:after="0"/>
              <w:ind w:left="0" w:right="0" w:hanging="0"/>
              <w:rPr/>
            </w:pPr>
            <w:r>
              <w:rPr/>
              <w:t> </w:t>
            </w:r>
          </w:p>
        </w:tc>
        <w:tc>
          <w:tcPr>
            <w:tcW w:w="972" w:type="dxa"/>
            <w:tcBorders/>
            <w:shd w:fill="FFFFFF" w:val="clear"/>
            <w:vAlign w:val="center"/>
          </w:tcPr>
          <w:p>
            <w:pPr>
              <w:pStyle w:val="TableContents"/>
              <w:spacing w:before="0" w:after="283"/>
              <w:jc w:val="right"/>
              <w:rPr/>
            </w:pPr>
            <w:r>
              <w:rPr/>
              <w:t>0.8</w:t>
            </w:r>
          </w:p>
        </w:tc>
        <w:tc>
          <w:tcPr>
            <w:tcW w:w="293" w:type="dxa"/>
            <w:tcBorders/>
            <w:shd w:fill="FFFFFF" w:val="clear"/>
            <w:vAlign w:val="center"/>
          </w:tcPr>
          <w:p>
            <w:pPr>
              <w:pStyle w:val="TableContents"/>
              <w:spacing w:before="0" w:after="283"/>
              <w:rPr/>
            </w:pPr>
            <w:r>
              <w:rPr/>
              <w:t>%</w:t>
            </w:r>
          </w:p>
        </w:tc>
      </w:tr>
      <w:tr>
        <w:trPr/>
        <w:tc>
          <w:tcPr>
            <w:tcW w:w="4049" w:type="dxa"/>
            <w:tcBorders/>
            <w:shd w:fill="CCEE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AA</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9,785,908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7" w:type="dxa"/>
            <w:tcBorders/>
            <w:shd w:fill="CCEEFF" w:val="clear"/>
            <w:vAlign w:val="center"/>
          </w:tcPr>
          <w:p>
            <w:pPr>
              <w:pStyle w:val="TableContents"/>
              <w:spacing w:before="0" w:after="0"/>
              <w:ind w:left="0" w:right="0" w:hanging="0"/>
              <w:rPr/>
            </w:pPr>
            <w:r>
              <w:rPr/>
              <w:t> </w:t>
            </w:r>
          </w:p>
        </w:tc>
        <w:tc>
          <w:tcPr>
            <w:tcW w:w="972" w:type="dxa"/>
            <w:tcBorders/>
            <w:shd w:fill="CCEEFF" w:val="clear"/>
            <w:vAlign w:val="center"/>
          </w:tcPr>
          <w:p>
            <w:pPr>
              <w:pStyle w:val="TableContents"/>
              <w:spacing w:before="0" w:after="283"/>
              <w:jc w:val="right"/>
              <w:rPr/>
            </w:pPr>
            <w:r>
              <w:rPr/>
              <w:t>6.3</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11,532,572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7" w:type="dxa"/>
            <w:tcBorders/>
            <w:shd w:fill="CCEEFF" w:val="clear"/>
            <w:vAlign w:val="center"/>
          </w:tcPr>
          <w:p>
            <w:pPr>
              <w:pStyle w:val="TableContents"/>
              <w:spacing w:before="0" w:after="0"/>
              <w:ind w:left="0" w:right="0" w:hanging="0"/>
              <w:rPr/>
            </w:pPr>
            <w:r>
              <w:rPr/>
              <w:t> </w:t>
            </w:r>
          </w:p>
        </w:tc>
        <w:tc>
          <w:tcPr>
            <w:tcW w:w="972" w:type="dxa"/>
            <w:tcBorders/>
            <w:shd w:fill="CCEEFF" w:val="clear"/>
            <w:vAlign w:val="center"/>
          </w:tcPr>
          <w:p>
            <w:pPr>
              <w:pStyle w:val="TableContents"/>
              <w:spacing w:before="0" w:after="283"/>
              <w:jc w:val="right"/>
              <w:rPr/>
            </w:pPr>
            <w:r>
              <w:rPr/>
              <w:t>7.3</w:t>
            </w:r>
          </w:p>
        </w:tc>
        <w:tc>
          <w:tcPr>
            <w:tcW w:w="293" w:type="dxa"/>
            <w:tcBorders/>
            <w:shd w:fill="CCEEFF" w:val="clear"/>
            <w:vAlign w:val="center"/>
          </w:tcPr>
          <w:p>
            <w:pPr>
              <w:pStyle w:val="TableContents"/>
              <w:spacing w:before="0" w:after="283"/>
              <w:rPr/>
            </w:pPr>
            <w:r>
              <w:rPr/>
              <w:t>%</w:t>
            </w:r>
          </w:p>
        </w:tc>
      </w:tr>
      <w:tr>
        <w:trPr/>
        <w:tc>
          <w:tcPr>
            <w:tcW w:w="4049"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A</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31,099,075</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7" w:type="dxa"/>
            <w:tcBorders/>
            <w:shd w:fill="FFFFFF" w:val="clear"/>
            <w:vAlign w:val="center"/>
          </w:tcPr>
          <w:p>
            <w:pPr>
              <w:pStyle w:val="TableContents"/>
              <w:spacing w:before="0" w:after="0"/>
              <w:ind w:left="0" w:right="0" w:hanging="0"/>
              <w:rPr/>
            </w:pPr>
            <w:r>
              <w:rPr/>
              <w:t> </w:t>
            </w:r>
          </w:p>
        </w:tc>
        <w:tc>
          <w:tcPr>
            <w:tcW w:w="972" w:type="dxa"/>
            <w:tcBorders/>
            <w:shd w:fill="FFFFFF" w:val="clear"/>
            <w:vAlign w:val="center"/>
          </w:tcPr>
          <w:p>
            <w:pPr>
              <w:pStyle w:val="TableContents"/>
              <w:spacing w:before="0" w:after="283"/>
              <w:jc w:val="right"/>
              <w:rPr/>
            </w:pPr>
            <w:r>
              <w:rPr/>
              <w:t>20.2</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38,272,571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7" w:type="dxa"/>
            <w:tcBorders/>
            <w:shd w:fill="FFFFFF" w:val="clear"/>
            <w:vAlign w:val="center"/>
          </w:tcPr>
          <w:p>
            <w:pPr>
              <w:pStyle w:val="TableContents"/>
              <w:spacing w:before="0" w:after="0"/>
              <w:ind w:left="0" w:right="0" w:hanging="0"/>
              <w:rPr/>
            </w:pPr>
            <w:r>
              <w:rPr/>
              <w:t> </w:t>
            </w:r>
          </w:p>
        </w:tc>
        <w:tc>
          <w:tcPr>
            <w:tcW w:w="972" w:type="dxa"/>
            <w:tcBorders/>
            <w:shd w:fill="FFFFFF" w:val="clear"/>
            <w:vAlign w:val="center"/>
          </w:tcPr>
          <w:p>
            <w:pPr>
              <w:pStyle w:val="TableContents"/>
              <w:spacing w:before="0" w:after="283"/>
              <w:jc w:val="right"/>
              <w:rPr/>
            </w:pPr>
            <w:r>
              <w:rPr/>
              <w:t>24.2</w:t>
            </w:r>
          </w:p>
        </w:tc>
        <w:tc>
          <w:tcPr>
            <w:tcW w:w="293" w:type="dxa"/>
            <w:tcBorders/>
            <w:shd w:fill="FFFFFF" w:val="clear"/>
            <w:vAlign w:val="center"/>
          </w:tcPr>
          <w:p>
            <w:pPr>
              <w:pStyle w:val="TableContents"/>
              <w:spacing w:before="0" w:after="283"/>
              <w:rPr/>
            </w:pPr>
            <w:r>
              <w:rPr/>
              <w:t>%</w:t>
            </w:r>
          </w:p>
        </w:tc>
      </w:tr>
      <w:tr>
        <w:trPr/>
        <w:tc>
          <w:tcPr>
            <w:tcW w:w="4049" w:type="dxa"/>
            <w:tcBorders/>
            <w:shd w:fill="CCEE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BBB+</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16,682,159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7" w:type="dxa"/>
            <w:tcBorders/>
            <w:shd w:fill="CCEEFF" w:val="clear"/>
            <w:vAlign w:val="center"/>
          </w:tcPr>
          <w:p>
            <w:pPr>
              <w:pStyle w:val="TableContents"/>
              <w:spacing w:before="0" w:after="0"/>
              <w:ind w:left="0" w:right="0" w:hanging="0"/>
              <w:rPr/>
            </w:pPr>
            <w:r>
              <w:rPr/>
              <w:t> </w:t>
            </w:r>
          </w:p>
        </w:tc>
        <w:tc>
          <w:tcPr>
            <w:tcW w:w="972" w:type="dxa"/>
            <w:tcBorders/>
            <w:shd w:fill="CCEEFF" w:val="clear"/>
            <w:vAlign w:val="center"/>
          </w:tcPr>
          <w:p>
            <w:pPr>
              <w:pStyle w:val="TableContents"/>
              <w:spacing w:before="0" w:after="283"/>
              <w:jc w:val="right"/>
              <w:rPr/>
            </w:pPr>
            <w:r>
              <w:rPr/>
              <w:t>10.8</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17,936,359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7" w:type="dxa"/>
            <w:tcBorders/>
            <w:shd w:fill="CCEEFF" w:val="clear"/>
            <w:vAlign w:val="center"/>
          </w:tcPr>
          <w:p>
            <w:pPr>
              <w:pStyle w:val="TableContents"/>
              <w:spacing w:before="0" w:after="0"/>
              <w:ind w:left="0" w:right="0" w:hanging="0"/>
              <w:rPr/>
            </w:pPr>
            <w:r>
              <w:rPr/>
              <w:t> </w:t>
            </w:r>
          </w:p>
        </w:tc>
        <w:tc>
          <w:tcPr>
            <w:tcW w:w="972" w:type="dxa"/>
            <w:tcBorders/>
            <w:shd w:fill="CCEEFF" w:val="clear"/>
            <w:vAlign w:val="center"/>
          </w:tcPr>
          <w:p>
            <w:pPr>
              <w:pStyle w:val="TableContents"/>
              <w:spacing w:before="0" w:after="283"/>
              <w:jc w:val="right"/>
              <w:rPr/>
            </w:pPr>
            <w:r>
              <w:rPr/>
              <w:t>11.3</w:t>
            </w:r>
          </w:p>
        </w:tc>
        <w:tc>
          <w:tcPr>
            <w:tcW w:w="293" w:type="dxa"/>
            <w:tcBorders/>
            <w:shd w:fill="CCEEFF" w:val="clear"/>
            <w:vAlign w:val="center"/>
          </w:tcPr>
          <w:p>
            <w:pPr>
              <w:pStyle w:val="TableContents"/>
              <w:spacing w:before="0" w:after="283"/>
              <w:rPr/>
            </w:pPr>
            <w:r>
              <w:rPr/>
              <w:t>%</w:t>
            </w:r>
          </w:p>
        </w:tc>
      </w:tr>
      <w:tr>
        <w:trPr/>
        <w:tc>
          <w:tcPr>
            <w:tcW w:w="4049"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BBB</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19,664,051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7" w:type="dxa"/>
            <w:tcBorders/>
            <w:shd w:fill="FFFFFF" w:val="clear"/>
            <w:vAlign w:val="center"/>
          </w:tcPr>
          <w:p>
            <w:pPr>
              <w:pStyle w:val="TableContents"/>
              <w:spacing w:before="0" w:after="0"/>
              <w:ind w:left="0" w:right="0" w:hanging="0"/>
              <w:rPr/>
            </w:pPr>
            <w:r>
              <w:rPr/>
              <w:t> </w:t>
            </w:r>
          </w:p>
        </w:tc>
        <w:tc>
          <w:tcPr>
            <w:tcW w:w="972" w:type="dxa"/>
            <w:tcBorders/>
            <w:shd w:fill="FFFFFF" w:val="clear"/>
            <w:vAlign w:val="center"/>
          </w:tcPr>
          <w:p>
            <w:pPr>
              <w:pStyle w:val="TableContents"/>
              <w:spacing w:before="0" w:after="283"/>
              <w:jc w:val="right"/>
              <w:rPr/>
            </w:pPr>
            <w:r>
              <w:rPr/>
              <w:t>12.7</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25,161,776</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7" w:type="dxa"/>
            <w:tcBorders/>
            <w:shd w:fill="FFFFFF" w:val="clear"/>
            <w:vAlign w:val="center"/>
          </w:tcPr>
          <w:p>
            <w:pPr>
              <w:pStyle w:val="TableContents"/>
              <w:spacing w:before="0" w:after="0"/>
              <w:ind w:left="0" w:right="0" w:hanging="0"/>
              <w:rPr/>
            </w:pPr>
            <w:r>
              <w:rPr/>
              <w:t> </w:t>
            </w:r>
          </w:p>
        </w:tc>
        <w:tc>
          <w:tcPr>
            <w:tcW w:w="972" w:type="dxa"/>
            <w:tcBorders/>
            <w:shd w:fill="FFFFFF" w:val="clear"/>
            <w:vAlign w:val="center"/>
          </w:tcPr>
          <w:p>
            <w:pPr>
              <w:pStyle w:val="TableContents"/>
              <w:spacing w:before="0" w:after="283"/>
              <w:jc w:val="right"/>
              <w:rPr/>
            </w:pPr>
            <w:r>
              <w:rPr/>
              <w:t>15.9</w:t>
            </w:r>
          </w:p>
        </w:tc>
        <w:tc>
          <w:tcPr>
            <w:tcW w:w="293" w:type="dxa"/>
            <w:tcBorders/>
            <w:shd w:fill="FFFFFF" w:val="clear"/>
            <w:vAlign w:val="center"/>
          </w:tcPr>
          <w:p>
            <w:pPr>
              <w:pStyle w:val="TableContents"/>
              <w:spacing w:before="0" w:after="283"/>
              <w:rPr/>
            </w:pPr>
            <w:r>
              <w:rPr/>
              <w:t>%</w:t>
            </w:r>
          </w:p>
        </w:tc>
      </w:tr>
      <w:tr>
        <w:trPr/>
        <w:tc>
          <w:tcPr>
            <w:tcW w:w="4049" w:type="dxa"/>
            <w:tcBorders/>
            <w:shd w:fill="CCEE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BBB-</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4,516,713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72" w:type="dxa"/>
            <w:tcBorders>
              <w:bottom w:val="single" w:sz="2" w:space="0" w:color="000000"/>
            </w:tcBorders>
            <w:shd w:fill="CCEEFF" w:val="clear"/>
            <w:tcMar>
              <w:bottom w:w="28" w:type="dxa"/>
            </w:tcMar>
            <w:vAlign w:val="center"/>
          </w:tcPr>
          <w:p>
            <w:pPr>
              <w:pStyle w:val="TableContents"/>
              <w:spacing w:before="0" w:after="283"/>
              <w:jc w:val="right"/>
              <w:rPr/>
            </w:pPr>
            <w:r>
              <w:rPr/>
              <w:t>2.9</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4,193,401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72" w:type="dxa"/>
            <w:tcBorders>
              <w:bottom w:val="single" w:sz="2" w:space="0" w:color="000000"/>
            </w:tcBorders>
            <w:shd w:fill="CCEEFF" w:val="clear"/>
            <w:tcMar>
              <w:bottom w:w="28" w:type="dxa"/>
            </w:tcMar>
            <w:vAlign w:val="center"/>
          </w:tcPr>
          <w:p>
            <w:pPr>
              <w:pStyle w:val="TableContents"/>
              <w:spacing w:before="0" w:after="283"/>
              <w:jc w:val="right"/>
              <w:rPr/>
            </w:pPr>
            <w:r>
              <w:rPr/>
              <w:t>2.7</w:t>
            </w:r>
          </w:p>
        </w:tc>
        <w:tc>
          <w:tcPr>
            <w:tcW w:w="293" w:type="dxa"/>
            <w:tcBorders/>
            <w:shd w:fill="CCEEFF" w:val="clear"/>
            <w:vAlign w:val="center"/>
          </w:tcPr>
          <w:p>
            <w:pPr>
              <w:pStyle w:val="TableContents"/>
              <w:spacing w:before="0" w:after="283"/>
              <w:rPr/>
            </w:pPr>
            <w:r>
              <w:rPr/>
              <w:t>%</w:t>
            </w:r>
          </w:p>
        </w:tc>
      </w:tr>
      <w:tr>
        <w:trPr/>
        <w:tc>
          <w:tcPr>
            <w:tcW w:w="4049" w:type="dxa"/>
            <w:tcBorders/>
            <w:shd w:fill="FFFFFF" w:val="clear"/>
            <w:vAlign w:val="center"/>
          </w:tcPr>
          <w:p>
            <w:pPr>
              <w:pStyle w:val="TableContents"/>
              <w:spacing w:before="0" w:after="0"/>
              <w:ind w:left="0" w:right="0" w:firstLine="360"/>
              <w:rPr>
                <w:rFonts w:ascii="times new roman" w:hAnsi="times new roman"/>
                <w:sz w:val="20"/>
              </w:rPr>
            </w:pPr>
            <w:r>
              <w:rPr>
                <w:rFonts w:ascii="times new roman" w:hAnsi="times new roman"/>
                <w:sz w:val="20"/>
              </w:rPr>
              <w:t>Total corporate and municipal bonds</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83,572,384</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7"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972" w:type="dxa"/>
            <w:tcBorders>
              <w:bottom w:val="single" w:sz="2" w:space="0" w:color="000000"/>
            </w:tcBorders>
            <w:shd w:fill="FFFFFF" w:val="clear"/>
            <w:tcMar>
              <w:bottom w:w="28" w:type="dxa"/>
            </w:tcMar>
            <w:vAlign w:val="center"/>
          </w:tcPr>
          <w:p>
            <w:pPr>
              <w:pStyle w:val="TableContents"/>
              <w:spacing w:before="0" w:after="283"/>
              <w:jc w:val="right"/>
              <w:rPr/>
            </w:pPr>
            <w:r>
              <w:rPr/>
              <w:t>54.1</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98,418,488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7"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972" w:type="dxa"/>
            <w:tcBorders>
              <w:bottom w:val="single" w:sz="2" w:space="0" w:color="000000"/>
            </w:tcBorders>
            <w:shd w:fill="FFFFFF" w:val="clear"/>
            <w:tcMar>
              <w:bottom w:w="28" w:type="dxa"/>
            </w:tcMar>
            <w:vAlign w:val="center"/>
          </w:tcPr>
          <w:p>
            <w:pPr>
              <w:pStyle w:val="TableContents"/>
              <w:spacing w:before="0" w:after="283"/>
              <w:jc w:val="right"/>
              <w:rPr/>
            </w:pPr>
            <w:r>
              <w:rPr/>
              <w:t>62.2</w:t>
            </w:r>
          </w:p>
        </w:tc>
        <w:tc>
          <w:tcPr>
            <w:tcW w:w="293" w:type="dxa"/>
            <w:tcBorders/>
            <w:shd w:fill="FFFFFF" w:val="clear"/>
            <w:vAlign w:val="center"/>
          </w:tcPr>
          <w:p>
            <w:pPr>
              <w:pStyle w:val="TableContents"/>
              <w:spacing w:before="0" w:after="283"/>
              <w:rPr/>
            </w:pPr>
            <w:r>
              <w:rPr/>
              <w:t>%</w:t>
            </w:r>
          </w:p>
        </w:tc>
      </w:tr>
      <w:tr>
        <w:trPr/>
        <w:tc>
          <w:tcPr>
            <w:tcW w:w="4049"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7" w:type="dxa"/>
            <w:tcBorders/>
            <w:shd w:fill="CCEEFF" w:val="clear"/>
            <w:vAlign w:val="center"/>
          </w:tcPr>
          <w:p>
            <w:pPr>
              <w:pStyle w:val="TableContents"/>
              <w:spacing w:before="0" w:after="0"/>
              <w:ind w:left="0" w:right="0" w:hanging="0"/>
              <w:rPr/>
            </w:pPr>
            <w:r>
              <w:rPr/>
              <w:t> </w:t>
            </w:r>
          </w:p>
        </w:tc>
        <w:tc>
          <w:tcPr>
            <w:tcW w:w="972"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7" w:type="dxa"/>
            <w:tcBorders/>
            <w:shd w:fill="CCEEFF" w:val="clear"/>
            <w:vAlign w:val="center"/>
          </w:tcPr>
          <w:p>
            <w:pPr>
              <w:pStyle w:val="TableContents"/>
              <w:spacing w:before="0" w:after="0"/>
              <w:ind w:left="0" w:right="0" w:hanging="0"/>
              <w:rPr/>
            </w:pPr>
            <w:r>
              <w:rPr/>
              <w:t> </w:t>
            </w:r>
          </w:p>
        </w:tc>
        <w:tc>
          <w:tcPr>
            <w:tcW w:w="972" w:type="dxa"/>
            <w:tcBorders/>
            <w:shd w:fill="CCEEFF" w:val="clear"/>
            <w:vAlign w:val="center"/>
          </w:tcPr>
          <w:p>
            <w:pPr>
              <w:pStyle w:val="TableContents"/>
              <w:spacing w:before="0" w:after="0"/>
              <w:ind w:left="0" w:right="0" w:hanging="0"/>
              <w:rPr/>
            </w:pPr>
            <w:r>
              <w:rPr/>
              <w:t> </w:t>
            </w:r>
          </w:p>
        </w:tc>
        <w:tc>
          <w:tcPr>
            <w:tcW w:w="293" w:type="dxa"/>
            <w:tcBorders/>
            <w:shd w:fill="CCEEFF" w:val="clear"/>
            <w:vAlign w:val="center"/>
          </w:tcPr>
          <w:p>
            <w:pPr>
              <w:pStyle w:val="TableContents"/>
              <w:spacing w:before="0" w:after="0"/>
              <w:ind w:left="0" w:right="0" w:hanging="0"/>
              <w:rPr/>
            </w:pPr>
            <w:r>
              <w:rPr/>
              <w:t> </w:t>
            </w:r>
          </w:p>
        </w:tc>
      </w:tr>
      <w:tr>
        <w:trPr/>
        <w:tc>
          <w:tcPr>
            <w:tcW w:w="4049"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Residential mortgage backed, asset backed, and other collateralized obligations</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7" w:type="dxa"/>
            <w:tcBorders/>
            <w:shd w:fill="FFFFFF" w:val="clear"/>
            <w:vAlign w:val="center"/>
          </w:tcPr>
          <w:p>
            <w:pPr>
              <w:pStyle w:val="TableContents"/>
              <w:spacing w:before="0" w:after="0"/>
              <w:ind w:left="0" w:right="0" w:hanging="0"/>
              <w:rPr/>
            </w:pPr>
            <w:r>
              <w:rPr/>
              <w:t> </w:t>
            </w:r>
          </w:p>
        </w:tc>
        <w:tc>
          <w:tcPr>
            <w:tcW w:w="972"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7" w:type="dxa"/>
            <w:tcBorders/>
            <w:shd w:fill="FFFFFF" w:val="clear"/>
            <w:vAlign w:val="center"/>
          </w:tcPr>
          <w:p>
            <w:pPr>
              <w:pStyle w:val="TableContents"/>
              <w:spacing w:before="0" w:after="0"/>
              <w:ind w:left="0" w:right="0" w:hanging="0"/>
              <w:rPr/>
            </w:pPr>
            <w:r>
              <w:rPr/>
              <w:t> </w:t>
            </w:r>
          </w:p>
        </w:tc>
        <w:tc>
          <w:tcPr>
            <w:tcW w:w="972" w:type="dxa"/>
            <w:tcBorders/>
            <w:shd w:fill="FFFFFF" w:val="clear"/>
            <w:vAlign w:val="center"/>
          </w:tcPr>
          <w:p>
            <w:pPr>
              <w:pStyle w:val="TableContents"/>
              <w:spacing w:before="0" w:after="0"/>
              <w:ind w:left="0" w:right="0" w:hanging="0"/>
              <w:rPr/>
            </w:pPr>
            <w:r>
              <w:rPr/>
              <w:t> </w:t>
            </w:r>
          </w:p>
        </w:tc>
        <w:tc>
          <w:tcPr>
            <w:tcW w:w="293" w:type="dxa"/>
            <w:tcBorders/>
            <w:shd w:fill="FFFFFF" w:val="clear"/>
            <w:vAlign w:val="center"/>
          </w:tcPr>
          <w:p>
            <w:pPr>
              <w:pStyle w:val="TableContents"/>
              <w:spacing w:before="0" w:after="0"/>
              <w:ind w:left="0" w:right="0" w:hanging="0"/>
              <w:rPr/>
            </w:pPr>
            <w:r>
              <w:rPr/>
              <w:t> </w:t>
            </w:r>
          </w:p>
        </w:tc>
      </w:tr>
      <w:tr>
        <w:trPr/>
        <w:tc>
          <w:tcPr>
            <w:tcW w:w="4049" w:type="dxa"/>
            <w:tcBorders/>
            <w:shd w:fill="CCEE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AAA</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16,497,621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7" w:type="dxa"/>
            <w:tcBorders/>
            <w:shd w:fill="CCEEFF" w:val="clear"/>
            <w:vAlign w:val="center"/>
          </w:tcPr>
          <w:p>
            <w:pPr>
              <w:pStyle w:val="TableContents"/>
              <w:spacing w:before="0" w:after="0"/>
              <w:ind w:left="0" w:right="0" w:hanging="0"/>
              <w:rPr/>
            </w:pPr>
            <w:r>
              <w:rPr/>
              <w:t> </w:t>
            </w:r>
          </w:p>
        </w:tc>
        <w:tc>
          <w:tcPr>
            <w:tcW w:w="972" w:type="dxa"/>
            <w:tcBorders/>
            <w:shd w:fill="CCEEFF" w:val="clear"/>
            <w:vAlign w:val="center"/>
          </w:tcPr>
          <w:p>
            <w:pPr>
              <w:pStyle w:val="TableContents"/>
              <w:spacing w:before="0" w:after="283"/>
              <w:jc w:val="right"/>
              <w:rPr/>
            </w:pPr>
            <w:r>
              <w:rPr/>
              <w:t>10.7</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17,350,192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7" w:type="dxa"/>
            <w:tcBorders/>
            <w:shd w:fill="CCEEFF" w:val="clear"/>
            <w:vAlign w:val="center"/>
          </w:tcPr>
          <w:p>
            <w:pPr>
              <w:pStyle w:val="TableContents"/>
              <w:spacing w:before="0" w:after="0"/>
              <w:ind w:left="0" w:right="0" w:hanging="0"/>
              <w:rPr/>
            </w:pPr>
            <w:r>
              <w:rPr/>
              <w:t> </w:t>
            </w:r>
          </w:p>
        </w:tc>
        <w:tc>
          <w:tcPr>
            <w:tcW w:w="972" w:type="dxa"/>
            <w:tcBorders/>
            <w:shd w:fill="CCEEFF" w:val="clear"/>
            <w:vAlign w:val="center"/>
          </w:tcPr>
          <w:p>
            <w:pPr>
              <w:pStyle w:val="TableContents"/>
              <w:spacing w:before="0" w:after="283"/>
              <w:jc w:val="right"/>
              <w:rPr/>
            </w:pPr>
            <w:r>
              <w:rPr/>
              <w:t>11.0</w:t>
            </w:r>
          </w:p>
        </w:tc>
        <w:tc>
          <w:tcPr>
            <w:tcW w:w="293" w:type="dxa"/>
            <w:tcBorders/>
            <w:shd w:fill="CCEEFF" w:val="clear"/>
            <w:vAlign w:val="center"/>
          </w:tcPr>
          <w:p>
            <w:pPr>
              <w:pStyle w:val="TableContents"/>
              <w:spacing w:before="0" w:after="283"/>
              <w:rPr/>
            </w:pPr>
            <w:r>
              <w:rPr/>
              <w:t>%</w:t>
            </w:r>
          </w:p>
        </w:tc>
      </w:tr>
      <w:tr>
        <w:trPr/>
        <w:tc>
          <w:tcPr>
            <w:tcW w:w="4049"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AA</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23,062,233</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7" w:type="dxa"/>
            <w:tcBorders/>
            <w:shd w:fill="FFFFFF" w:val="clear"/>
            <w:vAlign w:val="center"/>
          </w:tcPr>
          <w:p>
            <w:pPr>
              <w:pStyle w:val="TableContents"/>
              <w:spacing w:before="0" w:after="0"/>
              <w:ind w:left="0" w:right="0" w:hanging="0"/>
              <w:rPr/>
            </w:pPr>
            <w:r>
              <w:rPr/>
              <w:t> </w:t>
            </w:r>
          </w:p>
        </w:tc>
        <w:tc>
          <w:tcPr>
            <w:tcW w:w="972" w:type="dxa"/>
            <w:tcBorders/>
            <w:shd w:fill="FFFFFF" w:val="clear"/>
            <w:vAlign w:val="center"/>
          </w:tcPr>
          <w:p>
            <w:pPr>
              <w:pStyle w:val="TableContents"/>
              <w:spacing w:before="0" w:after="283"/>
              <w:jc w:val="right"/>
              <w:rPr/>
            </w:pPr>
            <w:r>
              <w:rPr/>
              <w:t>14.9</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34,241,907</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7" w:type="dxa"/>
            <w:tcBorders/>
            <w:shd w:fill="FFFFFF" w:val="clear"/>
            <w:vAlign w:val="center"/>
          </w:tcPr>
          <w:p>
            <w:pPr>
              <w:pStyle w:val="TableContents"/>
              <w:spacing w:before="0" w:after="0"/>
              <w:ind w:left="0" w:right="0" w:hanging="0"/>
              <w:rPr/>
            </w:pPr>
            <w:r>
              <w:rPr/>
              <w:t> </w:t>
            </w:r>
          </w:p>
        </w:tc>
        <w:tc>
          <w:tcPr>
            <w:tcW w:w="972" w:type="dxa"/>
            <w:tcBorders/>
            <w:shd w:fill="FFFFFF" w:val="clear"/>
            <w:vAlign w:val="center"/>
          </w:tcPr>
          <w:p>
            <w:pPr>
              <w:pStyle w:val="TableContents"/>
              <w:spacing w:before="0" w:after="283"/>
              <w:jc w:val="right"/>
              <w:rPr/>
            </w:pPr>
            <w:r>
              <w:rPr/>
              <w:t>21.7</w:t>
            </w:r>
          </w:p>
        </w:tc>
        <w:tc>
          <w:tcPr>
            <w:tcW w:w="293" w:type="dxa"/>
            <w:tcBorders/>
            <w:shd w:fill="FFFFFF" w:val="clear"/>
            <w:vAlign w:val="center"/>
          </w:tcPr>
          <w:p>
            <w:pPr>
              <w:pStyle w:val="TableContents"/>
              <w:spacing w:before="0" w:after="283"/>
              <w:rPr/>
            </w:pPr>
            <w:r>
              <w:rPr/>
              <w:t>%</w:t>
            </w:r>
          </w:p>
        </w:tc>
      </w:tr>
      <w:tr>
        <w:trPr/>
        <w:tc>
          <w:tcPr>
            <w:tcW w:w="4049" w:type="dxa"/>
            <w:tcBorders/>
            <w:shd w:fill="CCEE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A</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6,722,902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7" w:type="dxa"/>
            <w:tcBorders/>
            <w:shd w:fill="CCEEFF" w:val="clear"/>
            <w:vAlign w:val="center"/>
          </w:tcPr>
          <w:p>
            <w:pPr>
              <w:pStyle w:val="TableContents"/>
              <w:spacing w:before="0" w:after="0"/>
              <w:ind w:left="0" w:right="0" w:hanging="0"/>
              <w:rPr/>
            </w:pPr>
            <w:r>
              <w:rPr/>
              <w:t> </w:t>
            </w:r>
          </w:p>
        </w:tc>
        <w:tc>
          <w:tcPr>
            <w:tcW w:w="972" w:type="dxa"/>
            <w:tcBorders/>
            <w:shd w:fill="CCEEFF" w:val="clear"/>
            <w:vAlign w:val="center"/>
          </w:tcPr>
          <w:p>
            <w:pPr>
              <w:pStyle w:val="TableContents"/>
              <w:spacing w:before="0" w:after="283"/>
              <w:jc w:val="right"/>
              <w:rPr/>
            </w:pPr>
            <w:r>
              <w:rPr/>
              <w:t>4.3</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6,306,161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7" w:type="dxa"/>
            <w:tcBorders/>
            <w:shd w:fill="CCEEFF" w:val="clear"/>
            <w:vAlign w:val="center"/>
          </w:tcPr>
          <w:p>
            <w:pPr>
              <w:pStyle w:val="TableContents"/>
              <w:spacing w:before="0" w:after="0"/>
              <w:ind w:left="0" w:right="0" w:hanging="0"/>
              <w:rPr/>
            </w:pPr>
            <w:r>
              <w:rPr/>
              <w:t> </w:t>
            </w:r>
          </w:p>
        </w:tc>
        <w:tc>
          <w:tcPr>
            <w:tcW w:w="972" w:type="dxa"/>
            <w:tcBorders/>
            <w:shd w:fill="CCEEFF" w:val="clear"/>
            <w:vAlign w:val="center"/>
          </w:tcPr>
          <w:p>
            <w:pPr>
              <w:pStyle w:val="TableContents"/>
              <w:spacing w:before="0" w:after="283"/>
              <w:jc w:val="right"/>
              <w:rPr/>
            </w:pPr>
            <w:r>
              <w:rPr/>
              <w:t>4.0</w:t>
            </w:r>
          </w:p>
        </w:tc>
        <w:tc>
          <w:tcPr>
            <w:tcW w:w="293" w:type="dxa"/>
            <w:tcBorders/>
            <w:shd w:fill="CCEEFF" w:val="clear"/>
            <w:vAlign w:val="center"/>
          </w:tcPr>
          <w:p>
            <w:pPr>
              <w:pStyle w:val="TableContents"/>
              <w:spacing w:before="0" w:after="283"/>
              <w:rPr/>
            </w:pPr>
            <w:r>
              <w:rPr/>
              <w:t>%</w:t>
            </w:r>
          </w:p>
        </w:tc>
      </w:tr>
      <w:tr>
        <w:trPr/>
        <w:tc>
          <w:tcPr>
            <w:tcW w:w="4049"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BBB</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20,067</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7" w:type="dxa"/>
            <w:tcBorders/>
            <w:shd w:fill="FFFFFF" w:val="clear"/>
            <w:vAlign w:val="center"/>
          </w:tcPr>
          <w:p>
            <w:pPr>
              <w:pStyle w:val="TableContents"/>
              <w:spacing w:before="0" w:after="0"/>
              <w:ind w:left="0" w:right="0" w:hanging="0"/>
              <w:rPr/>
            </w:pPr>
            <w:r>
              <w:rPr/>
              <w:t> </w:t>
            </w:r>
          </w:p>
        </w:tc>
        <w:tc>
          <w:tcPr>
            <w:tcW w:w="972" w:type="dxa"/>
            <w:tcBorders/>
            <w:shd w:fill="FFFFFF" w:val="clear"/>
            <w:vAlign w:val="center"/>
          </w:tcPr>
          <w:p>
            <w:pPr>
              <w:pStyle w:val="TableContents"/>
              <w:spacing w:before="0" w:after="283"/>
              <w:jc w:val="right"/>
              <w:rPr/>
            </w:pPr>
            <w:r>
              <w:rPr/>
              <w:t>0.0</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24,254</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7" w:type="dxa"/>
            <w:tcBorders/>
            <w:shd w:fill="FFFFFF" w:val="clear"/>
            <w:vAlign w:val="center"/>
          </w:tcPr>
          <w:p>
            <w:pPr>
              <w:pStyle w:val="TableContents"/>
              <w:spacing w:before="0" w:after="0"/>
              <w:ind w:left="0" w:right="0" w:hanging="0"/>
              <w:rPr/>
            </w:pPr>
            <w:r>
              <w:rPr/>
              <w:t> </w:t>
            </w:r>
          </w:p>
        </w:tc>
        <w:tc>
          <w:tcPr>
            <w:tcW w:w="972" w:type="dxa"/>
            <w:tcBorders/>
            <w:shd w:fill="FFFFFF" w:val="clear"/>
            <w:vAlign w:val="center"/>
          </w:tcPr>
          <w:p>
            <w:pPr>
              <w:pStyle w:val="TableContents"/>
              <w:spacing w:before="0" w:after="283"/>
              <w:jc w:val="right"/>
              <w:rPr/>
            </w:pPr>
            <w:r>
              <w:rPr/>
              <w:t>0.0</w:t>
            </w:r>
          </w:p>
        </w:tc>
        <w:tc>
          <w:tcPr>
            <w:tcW w:w="293" w:type="dxa"/>
            <w:tcBorders/>
            <w:shd w:fill="FFFFFF" w:val="clear"/>
            <w:vAlign w:val="center"/>
          </w:tcPr>
          <w:p>
            <w:pPr>
              <w:pStyle w:val="TableContents"/>
              <w:spacing w:before="0" w:after="283"/>
              <w:rPr/>
            </w:pPr>
            <w:r>
              <w:rPr/>
              <w:t>%</w:t>
            </w:r>
          </w:p>
        </w:tc>
      </w:tr>
      <w:tr>
        <w:trPr/>
        <w:tc>
          <w:tcPr>
            <w:tcW w:w="4049" w:type="dxa"/>
            <w:tcBorders/>
            <w:shd w:fill="CCEE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CCC</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457,683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7" w:type="dxa"/>
            <w:tcBorders/>
            <w:shd w:fill="CCEEFF" w:val="clear"/>
            <w:vAlign w:val="center"/>
          </w:tcPr>
          <w:p>
            <w:pPr>
              <w:pStyle w:val="TableContents"/>
              <w:spacing w:before="0" w:after="0"/>
              <w:ind w:left="0" w:right="0" w:hanging="0"/>
              <w:rPr/>
            </w:pPr>
            <w:r>
              <w:rPr/>
              <w:t> </w:t>
            </w:r>
          </w:p>
        </w:tc>
        <w:tc>
          <w:tcPr>
            <w:tcW w:w="972" w:type="dxa"/>
            <w:tcBorders/>
            <w:shd w:fill="CCEEFF" w:val="clear"/>
            <w:vAlign w:val="center"/>
          </w:tcPr>
          <w:p>
            <w:pPr>
              <w:pStyle w:val="TableContents"/>
              <w:spacing w:before="0" w:after="283"/>
              <w:jc w:val="right"/>
              <w:rPr/>
            </w:pPr>
            <w:r>
              <w:rPr/>
              <w:t>0.3</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664,628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7" w:type="dxa"/>
            <w:tcBorders/>
            <w:shd w:fill="CCEEFF" w:val="clear"/>
            <w:vAlign w:val="center"/>
          </w:tcPr>
          <w:p>
            <w:pPr>
              <w:pStyle w:val="TableContents"/>
              <w:spacing w:before="0" w:after="0"/>
              <w:ind w:left="0" w:right="0" w:hanging="0"/>
              <w:rPr/>
            </w:pPr>
            <w:r>
              <w:rPr/>
              <w:t> </w:t>
            </w:r>
          </w:p>
        </w:tc>
        <w:tc>
          <w:tcPr>
            <w:tcW w:w="972" w:type="dxa"/>
            <w:tcBorders/>
            <w:shd w:fill="CCEEFF" w:val="clear"/>
            <w:vAlign w:val="center"/>
          </w:tcPr>
          <w:p>
            <w:pPr>
              <w:pStyle w:val="TableContents"/>
              <w:spacing w:before="0" w:after="283"/>
              <w:jc w:val="right"/>
              <w:rPr/>
            </w:pPr>
            <w:r>
              <w:rPr/>
              <w:t>0.4</w:t>
            </w:r>
          </w:p>
        </w:tc>
        <w:tc>
          <w:tcPr>
            <w:tcW w:w="293" w:type="dxa"/>
            <w:tcBorders/>
            <w:shd w:fill="CCEEFF" w:val="clear"/>
            <w:vAlign w:val="center"/>
          </w:tcPr>
          <w:p>
            <w:pPr>
              <w:pStyle w:val="TableContents"/>
              <w:spacing w:before="0" w:after="283"/>
              <w:rPr/>
            </w:pPr>
            <w:r>
              <w:rPr/>
              <w:t>%</w:t>
            </w:r>
          </w:p>
        </w:tc>
      </w:tr>
      <w:tr>
        <w:trPr/>
        <w:tc>
          <w:tcPr>
            <w:tcW w:w="4049"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CC</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99,600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7" w:type="dxa"/>
            <w:tcBorders/>
            <w:shd w:fill="FFFFFF" w:val="clear"/>
            <w:vAlign w:val="center"/>
          </w:tcPr>
          <w:p>
            <w:pPr>
              <w:pStyle w:val="TableContents"/>
              <w:spacing w:before="0" w:after="0"/>
              <w:ind w:left="0" w:right="0" w:hanging="0"/>
              <w:rPr/>
            </w:pPr>
            <w:r>
              <w:rPr/>
              <w:t> </w:t>
            </w:r>
          </w:p>
        </w:tc>
        <w:tc>
          <w:tcPr>
            <w:tcW w:w="972" w:type="dxa"/>
            <w:tcBorders/>
            <w:shd w:fill="FFFFFF" w:val="clear"/>
            <w:vAlign w:val="center"/>
          </w:tcPr>
          <w:p>
            <w:pPr>
              <w:pStyle w:val="TableContents"/>
              <w:spacing w:before="0" w:after="283"/>
              <w:jc w:val="right"/>
              <w:rPr/>
            </w:pPr>
            <w:r>
              <w:rPr/>
              <w:t>0.1</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125,412</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7" w:type="dxa"/>
            <w:tcBorders/>
            <w:shd w:fill="FFFFFF" w:val="clear"/>
            <w:vAlign w:val="center"/>
          </w:tcPr>
          <w:p>
            <w:pPr>
              <w:pStyle w:val="TableContents"/>
              <w:spacing w:before="0" w:after="0"/>
              <w:ind w:left="0" w:right="0" w:hanging="0"/>
              <w:rPr/>
            </w:pPr>
            <w:r>
              <w:rPr/>
              <w:t> </w:t>
            </w:r>
          </w:p>
        </w:tc>
        <w:tc>
          <w:tcPr>
            <w:tcW w:w="972" w:type="dxa"/>
            <w:tcBorders/>
            <w:shd w:fill="FFFFFF" w:val="clear"/>
            <w:vAlign w:val="center"/>
          </w:tcPr>
          <w:p>
            <w:pPr>
              <w:pStyle w:val="TableContents"/>
              <w:spacing w:before="0" w:after="283"/>
              <w:jc w:val="right"/>
              <w:rPr/>
            </w:pPr>
            <w:r>
              <w:rPr/>
              <w:t>0.1</w:t>
            </w:r>
          </w:p>
        </w:tc>
        <w:tc>
          <w:tcPr>
            <w:tcW w:w="293" w:type="dxa"/>
            <w:tcBorders/>
            <w:shd w:fill="FFFFFF" w:val="clear"/>
            <w:vAlign w:val="center"/>
          </w:tcPr>
          <w:p>
            <w:pPr>
              <w:pStyle w:val="TableContents"/>
              <w:spacing w:before="0" w:after="283"/>
              <w:rPr/>
            </w:pPr>
            <w:r>
              <w:rPr/>
              <w:t>%</w:t>
            </w:r>
          </w:p>
        </w:tc>
      </w:tr>
      <w:tr>
        <w:trPr/>
        <w:tc>
          <w:tcPr>
            <w:tcW w:w="4049" w:type="dxa"/>
            <w:tcBorders/>
            <w:shd w:fill="CCEE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D</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40,474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7" w:type="dxa"/>
            <w:tcBorders/>
            <w:shd w:fill="CCEEFF" w:val="clear"/>
            <w:vAlign w:val="center"/>
          </w:tcPr>
          <w:p>
            <w:pPr>
              <w:pStyle w:val="TableContents"/>
              <w:spacing w:before="0" w:after="0"/>
              <w:ind w:left="0" w:right="0" w:hanging="0"/>
              <w:rPr/>
            </w:pPr>
            <w:r>
              <w:rPr/>
              <w:t> </w:t>
            </w:r>
          </w:p>
        </w:tc>
        <w:tc>
          <w:tcPr>
            <w:tcW w:w="972" w:type="dxa"/>
            <w:tcBorders/>
            <w:shd w:fill="CCEEFF" w:val="clear"/>
            <w:vAlign w:val="center"/>
          </w:tcPr>
          <w:p>
            <w:pPr>
              <w:pStyle w:val="TableContents"/>
              <w:spacing w:before="0" w:after="283"/>
              <w:jc w:val="right"/>
              <w:rPr/>
            </w:pPr>
            <w:r>
              <w:rPr/>
              <w:t>0.0</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55,306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7" w:type="dxa"/>
            <w:tcBorders/>
            <w:shd w:fill="CCEEFF" w:val="clear"/>
            <w:vAlign w:val="center"/>
          </w:tcPr>
          <w:p>
            <w:pPr>
              <w:pStyle w:val="TableContents"/>
              <w:spacing w:before="0" w:after="0"/>
              <w:ind w:left="0" w:right="0" w:hanging="0"/>
              <w:rPr/>
            </w:pPr>
            <w:r>
              <w:rPr/>
              <w:t> </w:t>
            </w:r>
          </w:p>
        </w:tc>
        <w:tc>
          <w:tcPr>
            <w:tcW w:w="972" w:type="dxa"/>
            <w:tcBorders/>
            <w:shd w:fill="CCEEFF" w:val="clear"/>
            <w:vAlign w:val="center"/>
          </w:tcPr>
          <w:p>
            <w:pPr>
              <w:pStyle w:val="TableContents"/>
              <w:spacing w:before="0" w:after="283"/>
              <w:jc w:val="right"/>
              <w:rPr/>
            </w:pPr>
            <w:r>
              <w:rPr/>
              <w:t>0.0</w:t>
            </w:r>
          </w:p>
        </w:tc>
        <w:tc>
          <w:tcPr>
            <w:tcW w:w="293" w:type="dxa"/>
            <w:tcBorders/>
            <w:shd w:fill="CCEEFF" w:val="clear"/>
            <w:vAlign w:val="center"/>
          </w:tcPr>
          <w:p>
            <w:pPr>
              <w:pStyle w:val="TableContents"/>
              <w:spacing w:before="0" w:after="283"/>
              <w:rPr/>
            </w:pPr>
            <w:r>
              <w:rPr/>
              <w:t>%</w:t>
            </w:r>
          </w:p>
        </w:tc>
      </w:tr>
      <w:tr>
        <w:trPr/>
        <w:tc>
          <w:tcPr>
            <w:tcW w:w="4049" w:type="dxa"/>
            <w:tcBorders/>
            <w:shd w:fill="FFFF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Non rated</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373,103</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7"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972" w:type="dxa"/>
            <w:tcBorders>
              <w:bottom w:val="single" w:sz="2" w:space="0" w:color="000000"/>
            </w:tcBorders>
            <w:shd w:fill="FFFFFF" w:val="clear"/>
            <w:tcMar>
              <w:bottom w:w="28" w:type="dxa"/>
            </w:tcMar>
            <w:vAlign w:val="center"/>
          </w:tcPr>
          <w:p>
            <w:pPr>
              <w:pStyle w:val="TableContents"/>
              <w:spacing w:before="0" w:after="283"/>
              <w:jc w:val="right"/>
              <w:rPr/>
            </w:pPr>
            <w:r>
              <w:rPr/>
              <w:t>0.2</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893,762</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7"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972" w:type="dxa"/>
            <w:tcBorders>
              <w:bottom w:val="single" w:sz="2" w:space="0" w:color="000000"/>
            </w:tcBorders>
            <w:shd w:fill="FFFFFF" w:val="clear"/>
            <w:tcMar>
              <w:bottom w:w="28" w:type="dxa"/>
            </w:tcMar>
            <w:vAlign w:val="center"/>
          </w:tcPr>
          <w:p>
            <w:pPr>
              <w:pStyle w:val="TableContents"/>
              <w:spacing w:before="0" w:after="283"/>
              <w:jc w:val="right"/>
              <w:rPr/>
            </w:pPr>
            <w:r>
              <w:rPr/>
              <w:t>0.6</w:t>
            </w:r>
          </w:p>
        </w:tc>
        <w:tc>
          <w:tcPr>
            <w:tcW w:w="293" w:type="dxa"/>
            <w:tcBorders/>
            <w:shd w:fill="FFFFFF" w:val="clear"/>
            <w:vAlign w:val="center"/>
          </w:tcPr>
          <w:p>
            <w:pPr>
              <w:pStyle w:val="TableContents"/>
              <w:spacing w:before="0" w:after="283"/>
              <w:rPr/>
            </w:pPr>
            <w:r>
              <w:rPr/>
              <w:t>%</w:t>
            </w:r>
          </w:p>
        </w:tc>
      </w:tr>
      <w:tr>
        <w:trPr/>
        <w:tc>
          <w:tcPr>
            <w:tcW w:w="4049" w:type="dxa"/>
            <w:tcBorders/>
            <w:shd w:fill="CCEEFF" w:val="clear"/>
            <w:vAlign w:val="center"/>
          </w:tcPr>
          <w:p>
            <w:pPr>
              <w:pStyle w:val="TableContents"/>
              <w:spacing w:before="0" w:after="0"/>
              <w:ind w:left="450" w:right="0" w:hanging="0"/>
              <w:rPr>
                <w:rFonts w:ascii="times new roman" w:hAnsi="times new roman"/>
                <w:sz w:val="20"/>
              </w:rPr>
            </w:pPr>
            <w:r>
              <w:rPr>
                <w:rFonts w:ascii="times new roman" w:hAnsi="times new roman"/>
                <w:sz w:val="20"/>
              </w:rPr>
              <w:t>Total residential mortgage backed, asset backed, and other collateralized obligations</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47,273,683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72" w:type="dxa"/>
            <w:tcBorders>
              <w:bottom w:val="single" w:sz="2" w:space="0" w:color="000000"/>
            </w:tcBorders>
            <w:shd w:fill="CCEEFF" w:val="clear"/>
            <w:tcMar>
              <w:bottom w:w="28" w:type="dxa"/>
            </w:tcMar>
            <w:vAlign w:val="center"/>
          </w:tcPr>
          <w:p>
            <w:pPr>
              <w:pStyle w:val="TableContents"/>
              <w:spacing w:before="0" w:after="283"/>
              <w:jc w:val="right"/>
              <w:rPr/>
            </w:pPr>
            <w:r>
              <w:rPr/>
              <w:t>30.5</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59,661,622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72" w:type="dxa"/>
            <w:tcBorders>
              <w:bottom w:val="single" w:sz="2" w:space="0" w:color="000000"/>
            </w:tcBorders>
            <w:shd w:fill="CCEEFF" w:val="clear"/>
            <w:tcMar>
              <w:bottom w:w="28" w:type="dxa"/>
            </w:tcMar>
            <w:vAlign w:val="center"/>
          </w:tcPr>
          <w:p>
            <w:pPr>
              <w:pStyle w:val="TableContents"/>
              <w:spacing w:before="0" w:after="283"/>
              <w:jc w:val="right"/>
              <w:rPr/>
            </w:pPr>
            <w:r>
              <w:rPr/>
              <w:t>37.8</w:t>
            </w:r>
          </w:p>
        </w:tc>
        <w:tc>
          <w:tcPr>
            <w:tcW w:w="293" w:type="dxa"/>
            <w:tcBorders/>
            <w:shd w:fill="CCEEFF" w:val="clear"/>
            <w:vAlign w:val="center"/>
          </w:tcPr>
          <w:p>
            <w:pPr>
              <w:pStyle w:val="TableContents"/>
              <w:spacing w:before="0" w:after="283"/>
              <w:rPr/>
            </w:pPr>
            <w:r>
              <w:rPr/>
              <w:t>%</w:t>
            </w:r>
          </w:p>
        </w:tc>
      </w:tr>
      <w:tr>
        <w:trPr/>
        <w:tc>
          <w:tcPr>
            <w:tcW w:w="4049" w:type="dxa"/>
            <w:tcBorders/>
            <w:shd w:fill="FFFFFF" w:val="clear"/>
            <w:vAlign w:val="center"/>
          </w:tcPr>
          <w:p>
            <w:pPr>
              <w:pStyle w:val="TableContents"/>
              <w:spacing w:before="0" w:after="0"/>
              <w:ind w:left="0" w:right="0" w:firstLine="180"/>
              <w:rPr/>
            </w:pPr>
            <w:r>
              <w:rPr>
                <w:rStyle w:val="StrongEmphasis"/>
                <w:rFonts w:ascii="times new roman" w:hAnsi="times new roman"/>
                <w:sz w:val="20"/>
              </w:rPr>
              <w:t xml:space="preserve">Total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154,715,163</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7" w:type="dxa"/>
            <w:tcBorders>
              <w:bottom w:val="double" w:sz="6" w:space="0" w:color="000000"/>
            </w:tcBorders>
            <w:shd w:fill="FFFFFF" w:val="clear"/>
            <w:tcMar>
              <w:bottom w:w="28" w:type="dxa"/>
            </w:tcMar>
            <w:vAlign w:val="center"/>
          </w:tcPr>
          <w:p>
            <w:pPr>
              <w:pStyle w:val="TableContents"/>
              <w:spacing w:before="0" w:after="0"/>
              <w:ind w:left="0" w:right="0" w:hanging="0"/>
              <w:rPr/>
            </w:pPr>
            <w:r>
              <w:rPr/>
              <w:t> </w:t>
            </w:r>
          </w:p>
        </w:tc>
        <w:tc>
          <w:tcPr>
            <w:tcW w:w="972" w:type="dxa"/>
            <w:tcBorders>
              <w:bottom w:val="double" w:sz="6" w:space="0" w:color="000000"/>
            </w:tcBorders>
            <w:shd w:fill="FFFFFF" w:val="clear"/>
            <w:tcMar>
              <w:bottom w:w="28" w:type="dxa"/>
            </w:tcMar>
            <w:vAlign w:val="center"/>
          </w:tcPr>
          <w:p>
            <w:pPr>
              <w:pStyle w:val="TableContents"/>
              <w:spacing w:before="0" w:after="283"/>
              <w:jc w:val="right"/>
              <w:rPr/>
            </w:pPr>
            <w:r>
              <w:rPr/>
              <w:t>100.0</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158,080,110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7" w:type="dxa"/>
            <w:tcBorders>
              <w:bottom w:val="double" w:sz="6" w:space="0" w:color="000000"/>
            </w:tcBorders>
            <w:shd w:fill="FFFFFF" w:val="clear"/>
            <w:tcMar>
              <w:bottom w:w="28" w:type="dxa"/>
            </w:tcMar>
            <w:vAlign w:val="center"/>
          </w:tcPr>
          <w:p>
            <w:pPr>
              <w:pStyle w:val="TableContents"/>
              <w:spacing w:before="0" w:after="0"/>
              <w:ind w:left="0" w:right="0" w:hanging="0"/>
              <w:rPr/>
            </w:pPr>
            <w:r>
              <w:rPr/>
              <w:t> </w:t>
            </w:r>
          </w:p>
        </w:tc>
        <w:tc>
          <w:tcPr>
            <w:tcW w:w="972" w:type="dxa"/>
            <w:tcBorders>
              <w:bottom w:val="double" w:sz="6" w:space="0" w:color="000000"/>
            </w:tcBorders>
            <w:shd w:fill="FFFFFF" w:val="clear"/>
            <w:tcMar>
              <w:bottom w:w="28" w:type="dxa"/>
            </w:tcMar>
            <w:vAlign w:val="center"/>
          </w:tcPr>
          <w:p>
            <w:pPr>
              <w:pStyle w:val="TableContents"/>
              <w:spacing w:before="0" w:after="283"/>
              <w:jc w:val="right"/>
              <w:rPr/>
            </w:pPr>
            <w:r>
              <w:rPr/>
              <w:t>100.0</w:t>
            </w:r>
          </w:p>
        </w:tc>
        <w:tc>
          <w:tcPr>
            <w:tcW w:w="293" w:type="dxa"/>
            <w:tcBorders/>
            <w:shd w:fill="FFFFFF" w:val="clear"/>
            <w:vAlign w:val="center"/>
          </w:tcPr>
          <w:p>
            <w:pPr>
              <w:pStyle w:val="TableContents"/>
              <w:spacing w:before="0" w:after="283"/>
              <w:rPr/>
            </w:pPr>
            <w:r>
              <w:rPr/>
              <w:t>%</w:t>
            </w:r>
          </w:p>
        </w:tc>
      </w:tr>
    </w:tbl>
    <w:p>
      <w:pPr>
        <w:pStyle w:val="TextBody"/>
        <w:spacing w:before="0" w:after="0"/>
        <w:ind w:left="0" w:right="0" w:hanging="0"/>
        <w:jc w:val="center"/>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50</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The table below details the average yield by type of fixed-maturity security as of December 31, 2022 and 2021: </w:t>
      </w:r>
    </w:p>
    <w:p>
      <w:pPr>
        <w:pStyle w:val="TextBody"/>
        <w:spacing w:before="0" w:after="0"/>
        <w:ind w:left="0" w:right="0" w:firstLine="720"/>
        <w:jc w:val="both"/>
        <w:rPr/>
      </w:pPr>
      <w:r>
        <w:rPr/>
        <w:t> </w:t>
      </w:r>
    </w:p>
    <w:tbl>
      <w:tblPr>
        <w:tblW w:w="10205" w:type="dxa"/>
        <w:jc w:val="left"/>
        <w:tblInd w:w="0" w:type="dxa"/>
        <w:tblCellMar>
          <w:top w:w="0" w:type="dxa"/>
          <w:left w:w="0" w:type="dxa"/>
          <w:bottom w:w="28" w:type="dxa"/>
          <w:right w:w="0" w:type="dxa"/>
        </w:tblCellMar>
      </w:tblPr>
      <w:tblGrid>
        <w:gridCol w:w="6150"/>
        <w:gridCol w:w="90"/>
        <w:gridCol w:w="268"/>
        <w:gridCol w:w="1402"/>
        <w:gridCol w:w="245"/>
        <w:gridCol w:w="90"/>
        <w:gridCol w:w="268"/>
        <w:gridCol w:w="1402"/>
        <w:gridCol w:w="290"/>
      </w:tblGrid>
      <w:tr>
        <w:trPr/>
        <w:tc>
          <w:tcPr>
            <w:tcW w:w="6150" w:type="dxa"/>
            <w:tcBorders>
              <w:bottom w:val="single" w:sz="2" w:space="0" w:color="000000"/>
            </w:tcBorders>
            <w:shd w:fill="auto" w:val="clear"/>
            <w:vAlign w:val="center"/>
          </w:tcPr>
          <w:p>
            <w:pPr>
              <w:pStyle w:val="TableContents"/>
              <w:spacing w:before="0" w:after="0"/>
              <w:ind w:left="0" w:right="0" w:hanging="0"/>
              <w:rPr/>
            </w:pPr>
            <w:r>
              <w:rPr>
                <w:rStyle w:val="StrongEmphasis"/>
                <w:rFonts w:ascii="times new roman" w:hAnsi="times new roman"/>
                <w:sz w:val="20"/>
              </w:rPr>
              <w:t xml:space="preserve">Category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670"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December 31, 2022</w:t>
            </w:r>
          </w:p>
        </w:tc>
        <w:tc>
          <w:tcPr>
            <w:tcW w:w="24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670"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December 31, 2021</w:t>
            </w:r>
          </w:p>
        </w:tc>
        <w:tc>
          <w:tcPr>
            <w:tcW w:w="290" w:type="dxa"/>
            <w:tcBorders/>
            <w:shd w:fill="auto" w:val="clear"/>
            <w:tcMar>
              <w:bottom w:w="0" w:type="dxa"/>
            </w:tcMar>
            <w:vAlign w:val="center"/>
          </w:tcPr>
          <w:p>
            <w:pPr>
              <w:pStyle w:val="TableContents"/>
              <w:spacing w:before="0" w:after="0"/>
              <w:ind w:left="0" w:right="0" w:hanging="0"/>
              <w:rPr/>
            </w:pPr>
            <w:r>
              <w:rPr/>
              <w:t> </w:t>
            </w:r>
          </w:p>
        </w:tc>
      </w:tr>
      <w:tr>
        <w:trPr/>
        <w:tc>
          <w:tcPr>
            <w:tcW w:w="6150"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U.S. Treasury securities and obligations of U.S. government corporations and agencies</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268" w:type="dxa"/>
            <w:tcBorders/>
            <w:shd w:fill="CCEEFF" w:val="clear"/>
            <w:tcMar>
              <w:bottom w:w="0" w:type="dxa"/>
            </w:tcMar>
            <w:vAlign w:val="center"/>
          </w:tcPr>
          <w:p>
            <w:pPr>
              <w:pStyle w:val="TableContents"/>
              <w:spacing w:before="0" w:after="0"/>
              <w:ind w:left="0" w:right="0" w:hanging="0"/>
              <w:rPr/>
            </w:pPr>
            <w:r>
              <w:rPr/>
              <w:t> </w:t>
            </w:r>
          </w:p>
        </w:tc>
        <w:tc>
          <w:tcPr>
            <w:tcW w:w="1402" w:type="dxa"/>
            <w:tcBorders/>
            <w:shd w:fill="CCEEFF" w:val="clear"/>
            <w:tcMar>
              <w:bottom w:w="0" w:type="dxa"/>
            </w:tcMar>
            <w:vAlign w:val="center"/>
          </w:tcPr>
          <w:p>
            <w:pPr>
              <w:pStyle w:val="TableContents"/>
              <w:spacing w:before="0" w:after="283"/>
              <w:jc w:val="right"/>
              <w:rPr/>
            </w:pPr>
            <w:r>
              <w:rPr/>
              <w:t>2.58</w:t>
            </w:r>
          </w:p>
        </w:tc>
        <w:tc>
          <w:tcPr>
            <w:tcW w:w="245" w:type="dxa"/>
            <w:tcBorders/>
            <w:shd w:fill="CCEEFF" w:val="clear"/>
            <w:tcMar>
              <w:bottom w:w="0" w:type="dxa"/>
            </w:tcMar>
            <w:vAlign w:val="center"/>
          </w:tcPr>
          <w:p>
            <w:pPr>
              <w:pStyle w:val="TableContents"/>
              <w:spacing w:before="0" w:after="283"/>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268" w:type="dxa"/>
            <w:tcBorders/>
            <w:shd w:fill="CCEEFF" w:val="clear"/>
            <w:tcMar>
              <w:bottom w:w="0" w:type="dxa"/>
            </w:tcMar>
            <w:vAlign w:val="center"/>
          </w:tcPr>
          <w:p>
            <w:pPr>
              <w:pStyle w:val="TableContents"/>
              <w:spacing w:before="0" w:after="0"/>
              <w:ind w:left="0" w:right="0" w:hanging="0"/>
              <w:rPr/>
            </w:pPr>
            <w:r>
              <w:rPr/>
              <w:t> </w:t>
            </w:r>
          </w:p>
        </w:tc>
        <w:tc>
          <w:tcPr>
            <w:tcW w:w="1402" w:type="dxa"/>
            <w:tcBorders/>
            <w:shd w:fill="CCEEFF" w:val="clear"/>
            <w:tcMar>
              <w:bottom w:w="0" w:type="dxa"/>
            </w:tcMar>
            <w:vAlign w:val="center"/>
          </w:tcPr>
          <w:p>
            <w:pPr>
              <w:pStyle w:val="TableContents"/>
              <w:spacing w:before="0" w:after="283"/>
              <w:jc w:val="right"/>
              <w:rPr/>
            </w:pPr>
            <w:r>
              <w:rPr/>
              <w:t>3.06</w:t>
            </w:r>
          </w:p>
        </w:tc>
        <w:tc>
          <w:tcPr>
            <w:tcW w:w="290" w:type="dxa"/>
            <w:tcBorders/>
            <w:shd w:fill="CCEEFF" w:val="clear"/>
            <w:tcMar>
              <w:bottom w:w="0" w:type="dxa"/>
            </w:tcMar>
            <w:vAlign w:val="center"/>
          </w:tcPr>
          <w:p>
            <w:pPr>
              <w:pStyle w:val="TableContents"/>
              <w:spacing w:before="0" w:after="283"/>
              <w:rPr/>
            </w:pPr>
            <w:r>
              <w:rPr/>
              <w:t>%</w:t>
            </w:r>
          </w:p>
        </w:tc>
      </w:tr>
      <w:tr>
        <w:trPr/>
        <w:tc>
          <w:tcPr>
            <w:tcW w:w="615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268" w:type="dxa"/>
            <w:tcBorders/>
            <w:shd w:fill="FFFFFF" w:val="clear"/>
            <w:tcMar>
              <w:bottom w:w="0" w:type="dxa"/>
            </w:tcMar>
            <w:vAlign w:val="center"/>
          </w:tcPr>
          <w:p>
            <w:pPr>
              <w:pStyle w:val="TableContents"/>
              <w:spacing w:before="0" w:after="0"/>
              <w:ind w:left="0" w:right="0" w:hanging="0"/>
              <w:rPr/>
            </w:pPr>
            <w:r>
              <w:rPr/>
              <w:t> </w:t>
            </w:r>
          </w:p>
        </w:tc>
        <w:tc>
          <w:tcPr>
            <w:tcW w:w="1402" w:type="dxa"/>
            <w:tcBorders/>
            <w:shd w:fill="FFFFFF" w:val="clear"/>
            <w:tcMar>
              <w:bottom w:w="0" w:type="dxa"/>
            </w:tcMar>
            <w:vAlign w:val="center"/>
          </w:tcPr>
          <w:p>
            <w:pPr>
              <w:pStyle w:val="TableContents"/>
              <w:spacing w:before="0" w:after="0"/>
              <w:ind w:left="0" w:right="0" w:hanging="0"/>
              <w:rPr/>
            </w:pPr>
            <w:r>
              <w:rPr/>
              <w:t> </w:t>
            </w:r>
          </w:p>
        </w:tc>
        <w:tc>
          <w:tcPr>
            <w:tcW w:w="24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268" w:type="dxa"/>
            <w:tcBorders/>
            <w:shd w:fill="FFFFFF" w:val="clear"/>
            <w:tcMar>
              <w:bottom w:w="0" w:type="dxa"/>
            </w:tcMar>
            <w:vAlign w:val="center"/>
          </w:tcPr>
          <w:p>
            <w:pPr>
              <w:pStyle w:val="TableContents"/>
              <w:spacing w:before="0" w:after="0"/>
              <w:ind w:left="0" w:right="0" w:hanging="0"/>
              <w:rPr/>
            </w:pPr>
            <w:r>
              <w:rPr/>
              <w:t> </w:t>
            </w:r>
          </w:p>
        </w:tc>
        <w:tc>
          <w:tcPr>
            <w:tcW w:w="1402" w:type="dxa"/>
            <w:tcBorders/>
            <w:shd w:fill="FFFFFF" w:val="clear"/>
            <w:tcMar>
              <w:bottom w:w="0" w:type="dxa"/>
            </w:tcMar>
            <w:vAlign w:val="center"/>
          </w:tcPr>
          <w:p>
            <w:pPr>
              <w:pStyle w:val="TableContents"/>
              <w:spacing w:before="0" w:after="0"/>
              <w:ind w:left="0" w:right="0" w:hanging="0"/>
              <w:rPr/>
            </w:pPr>
            <w:r>
              <w:rPr/>
              <w:t> </w:t>
            </w:r>
          </w:p>
        </w:tc>
        <w:tc>
          <w:tcPr>
            <w:tcW w:w="290" w:type="dxa"/>
            <w:tcBorders/>
            <w:shd w:fill="FFFFFF" w:val="clear"/>
            <w:tcMar>
              <w:bottom w:w="0" w:type="dxa"/>
            </w:tcMar>
            <w:vAlign w:val="center"/>
          </w:tcPr>
          <w:p>
            <w:pPr>
              <w:pStyle w:val="TableContents"/>
              <w:spacing w:before="0" w:after="0"/>
              <w:ind w:left="0" w:right="0" w:hanging="0"/>
              <w:rPr/>
            </w:pPr>
            <w:r>
              <w:rPr/>
              <w:t> </w:t>
            </w:r>
          </w:p>
        </w:tc>
      </w:tr>
      <w:tr>
        <w:trPr/>
        <w:tc>
          <w:tcPr>
            <w:tcW w:w="6150"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Political subdivisions of States, Territories and Possessions</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268" w:type="dxa"/>
            <w:tcBorders/>
            <w:shd w:fill="CCEEFF" w:val="clear"/>
            <w:tcMar>
              <w:bottom w:w="0" w:type="dxa"/>
            </w:tcMar>
            <w:vAlign w:val="center"/>
          </w:tcPr>
          <w:p>
            <w:pPr>
              <w:pStyle w:val="TableContents"/>
              <w:spacing w:before="0" w:after="0"/>
              <w:ind w:left="0" w:right="0" w:hanging="0"/>
              <w:rPr/>
            </w:pPr>
            <w:r>
              <w:rPr/>
              <w:t> </w:t>
            </w:r>
          </w:p>
        </w:tc>
        <w:tc>
          <w:tcPr>
            <w:tcW w:w="1402" w:type="dxa"/>
            <w:tcBorders/>
            <w:shd w:fill="CCEEFF" w:val="clear"/>
            <w:tcMar>
              <w:bottom w:w="0" w:type="dxa"/>
            </w:tcMar>
            <w:vAlign w:val="center"/>
          </w:tcPr>
          <w:p>
            <w:pPr>
              <w:pStyle w:val="TableContents"/>
              <w:spacing w:before="0" w:after="283"/>
              <w:jc w:val="right"/>
              <w:rPr/>
            </w:pPr>
            <w:r>
              <w:rPr/>
              <w:t>3.58</w:t>
            </w:r>
          </w:p>
        </w:tc>
        <w:tc>
          <w:tcPr>
            <w:tcW w:w="245" w:type="dxa"/>
            <w:tcBorders/>
            <w:shd w:fill="CCEEFF" w:val="clear"/>
            <w:tcMar>
              <w:bottom w:w="0" w:type="dxa"/>
            </w:tcMar>
            <w:vAlign w:val="center"/>
          </w:tcPr>
          <w:p>
            <w:pPr>
              <w:pStyle w:val="TableContents"/>
              <w:spacing w:before="0" w:after="283"/>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268" w:type="dxa"/>
            <w:tcBorders/>
            <w:shd w:fill="CCEEFF" w:val="clear"/>
            <w:tcMar>
              <w:bottom w:w="0" w:type="dxa"/>
            </w:tcMar>
            <w:vAlign w:val="center"/>
          </w:tcPr>
          <w:p>
            <w:pPr>
              <w:pStyle w:val="TableContents"/>
              <w:spacing w:before="0" w:after="0"/>
              <w:ind w:left="0" w:right="0" w:hanging="0"/>
              <w:rPr/>
            </w:pPr>
            <w:r>
              <w:rPr/>
              <w:t> </w:t>
            </w:r>
          </w:p>
        </w:tc>
        <w:tc>
          <w:tcPr>
            <w:tcW w:w="1402" w:type="dxa"/>
            <w:tcBorders/>
            <w:shd w:fill="CCEEFF" w:val="clear"/>
            <w:tcMar>
              <w:bottom w:w="0" w:type="dxa"/>
            </w:tcMar>
            <w:vAlign w:val="center"/>
          </w:tcPr>
          <w:p>
            <w:pPr>
              <w:pStyle w:val="TableContents"/>
              <w:spacing w:before="0" w:after="283"/>
              <w:jc w:val="right"/>
              <w:rPr/>
            </w:pPr>
            <w:r>
              <w:rPr/>
              <w:t>2.77</w:t>
            </w:r>
          </w:p>
        </w:tc>
        <w:tc>
          <w:tcPr>
            <w:tcW w:w="290" w:type="dxa"/>
            <w:tcBorders/>
            <w:shd w:fill="CCEEFF" w:val="clear"/>
            <w:tcMar>
              <w:bottom w:w="0" w:type="dxa"/>
            </w:tcMar>
            <w:vAlign w:val="center"/>
          </w:tcPr>
          <w:p>
            <w:pPr>
              <w:pStyle w:val="TableContents"/>
              <w:spacing w:before="0" w:after="283"/>
              <w:rPr/>
            </w:pPr>
            <w:r>
              <w:rPr/>
              <w:t>%</w:t>
            </w:r>
          </w:p>
        </w:tc>
      </w:tr>
      <w:tr>
        <w:trPr/>
        <w:tc>
          <w:tcPr>
            <w:tcW w:w="615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268" w:type="dxa"/>
            <w:tcBorders/>
            <w:shd w:fill="FFFFFF" w:val="clear"/>
            <w:tcMar>
              <w:bottom w:w="0" w:type="dxa"/>
            </w:tcMar>
            <w:vAlign w:val="center"/>
          </w:tcPr>
          <w:p>
            <w:pPr>
              <w:pStyle w:val="TableContents"/>
              <w:spacing w:before="0" w:after="0"/>
              <w:ind w:left="0" w:right="0" w:hanging="0"/>
              <w:rPr/>
            </w:pPr>
            <w:r>
              <w:rPr/>
              <w:t> </w:t>
            </w:r>
          </w:p>
        </w:tc>
        <w:tc>
          <w:tcPr>
            <w:tcW w:w="1402" w:type="dxa"/>
            <w:tcBorders/>
            <w:shd w:fill="FFFFFF" w:val="clear"/>
            <w:tcMar>
              <w:bottom w:w="0" w:type="dxa"/>
            </w:tcMar>
            <w:vAlign w:val="center"/>
          </w:tcPr>
          <w:p>
            <w:pPr>
              <w:pStyle w:val="TableContents"/>
              <w:spacing w:before="0" w:after="0"/>
              <w:ind w:left="0" w:right="0" w:hanging="0"/>
              <w:rPr/>
            </w:pPr>
            <w:r>
              <w:rPr/>
              <w:t> </w:t>
            </w:r>
          </w:p>
        </w:tc>
        <w:tc>
          <w:tcPr>
            <w:tcW w:w="24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268" w:type="dxa"/>
            <w:tcBorders/>
            <w:shd w:fill="FFFFFF" w:val="clear"/>
            <w:tcMar>
              <w:bottom w:w="0" w:type="dxa"/>
            </w:tcMar>
            <w:vAlign w:val="center"/>
          </w:tcPr>
          <w:p>
            <w:pPr>
              <w:pStyle w:val="TableContents"/>
              <w:spacing w:before="0" w:after="0"/>
              <w:ind w:left="0" w:right="0" w:hanging="0"/>
              <w:rPr/>
            </w:pPr>
            <w:r>
              <w:rPr/>
              <w:t> </w:t>
            </w:r>
          </w:p>
        </w:tc>
        <w:tc>
          <w:tcPr>
            <w:tcW w:w="1402" w:type="dxa"/>
            <w:tcBorders/>
            <w:shd w:fill="FFFFFF" w:val="clear"/>
            <w:tcMar>
              <w:bottom w:w="0" w:type="dxa"/>
            </w:tcMar>
            <w:vAlign w:val="center"/>
          </w:tcPr>
          <w:p>
            <w:pPr>
              <w:pStyle w:val="TableContents"/>
              <w:spacing w:before="0" w:after="0"/>
              <w:ind w:left="0" w:right="0" w:hanging="0"/>
              <w:rPr/>
            </w:pPr>
            <w:r>
              <w:rPr/>
              <w:t> </w:t>
            </w:r>
          </w:p>
        </w:tc>
        <w:tc>
          <w:tcPr>
            <w:tcW w:w="290" w:type="dxa"/>
            <w:tcBorders/>
            <w:shd w:fill="FFFFFF" w:val="clear"/>
            <w:tcMar>
              <w:bottom w:w="0" w:type="dxa"/>
            </w:tcMar>
            <w:vAlign w:val="center"/>
          </w:tcPr>
          <w:p>
            <w:pPr>
              <w:pStyle w:val="TableContents"/>
              <w:spacing w:before="0" w:after="0"/>
              <w:ind w:left="0" w:right="0" w:hanging="0"/>
              <w:rPr/>
            </w:pPr>
            <w:r>
              <w:rPr/>
              <w:t> </w:t>
            </w:r>
          </w:p>
        </w:tc>
      </w:tr>
      <w:tr>
        <w:trPr/>
        <w:tc>
          <w:tcPr>
            <w:tcW w:w="6150"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Corporate and other bonds Industrial and miscellaneous</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268" w:type="dxa"/>
            <w:tcBorders/>
            <w:shd w:fill="CCEEFF" w:val="clear"/>
            <w:tcMar>
              <w:bottom w:w="0" w:type="dxa"/>
            </w:tcMar>
            <w:vAlign w:val="center"/>
          </w:tcPr>
          <w:p>
            <w:pPr>
              <w:pStyle w:val="TableContents"/>
              <w:spacing w:before="0" w:after="0"/>
              <w:ind w:left="0" w:right="0" w:hanging="0"/>
              <w:rPr/>
            </w:pPr>
            <w:r>
              <w:rPr/>
              <w:t> </w:t>
            </w:r>
          </w:p>
        </w:tc>
        <w:tc>
          <w:tcPr>
            <w:tcW w:w="1402" w:type="dxa"/>
            <w:tcBorders/>
            <w:shd w:fill="CCEEFF" w:val="clear"/>
            <w:tcMar>
              <w:bottom w:w="0" w:type="dxa"/>
            </w:tcMar>
            <w:vAlign w:val="center"/>
          </w:tcPr>
          <w:p>
            <w:pPr>
              <w:pStyle w:val="TableContents"/>
              <w:spacing w:before="0" w:after="283"/>
              <w:jc w:val="right"/>
              <w:rPr/>
            </w:pPr>
            <w:r>
              <w:rPr/>
              <w:t>3.68</w:t>
            </w:r>
          </w:p>
        </w:tc>
        <w:tc>
          <w:tcPr>
            <w:tcW w:w="245" w:type="dxa"/>
            <w:tcBorders/>
            <w:shd w:fill="CCEEFF" w:val="clear"/>
            <w:tcMar>
              <w:bottom w:w="0" w:type="dxa"/>
            </w:tcMar>
            <w:vAlign w:val="center"/>
          </w:tcPr>
          <w:p>
            <w:pPr>
              <w:pStyle w:val="TableContents"/>
              <w:spacing w:before="0" w:after="283"/>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268" w:type="dxa"/>
            <w:tcBorders/>
            <w:shd w:fill="CCEEFF" w:val="clear"/>
            <w:tcMar>
              <w:bottom w:w="0" w:type="dxa"/>
            </w:tcMar>
            <w:vAlign w:val="center"/>
          </w:tcPr>
          <w:p>
            <w:pPr>
              <w:pStyle w:val="TableContents"/>
              <w:spacing w:before="0" w:after="0"/>
              <w:ind w:left="0" w:right="0" w:hanging="0"/>
              <w:rPr/>
            </w:pPr>
            <w:r>
              <w:rPr/>
              <w:t> </w:t>
            </w:r>
          </w:p>
        </w:tc>
        <w:tc>
          <w:tcPr>
            <w:tcW w:w="1402" w:type="dxa"/>
            <w:tcBorders/>
            <w:shd w:fill="CCEEFF" w:val="clear"/>
            <w:tcMar>
              <w:bottom w:w="0" w:type="dxa"/>
            </w:tcMar>
            <w:vAlign w:val="center"/>
          </w:tcPr>
          <w:p>
            <w:pPr>
              <w:pStyle w:val="TableContents"/>
              <w:spacing w:before="0" w:after="283"/>
              <w:jc w:val="right"/>
              <w:rPr/>
            </w:pPr>
            <w:r>
              <w:rPr/>
              <w:t>3.23</w:t>
            </w:r>
          </w:p>
        </w:tc>
        <w:tc>
          <w:tcPr>
            <w:tcW w:w="290" w:type="dxa"/>
            <w:tcBorders/>
            <w:shd w:fill="CCEEFF" w:val="clear"/>
            <w:tcMar>
              <w:bottom w:w="0" w:type="dxa"/>
            </w:tcMar>
            <w:vAlign w:val="center"/>
          </w:tcPr>
          <w:p>
            <w:pPr>
              <w:pStyle w:val="TableContents"/>
              <w:spacing w:before="0" w:after="283"/>
              <w:rPr/>
            </w:pPr>
            <w:r>
              <w:rPr/>
              <w:t>%</w:t>
            </w:r>
          </w:p>
        </w:tc>
      </w:tr>
      <w:tr>
        <w:trPr/>
        <w:tc>
          <w:tcPr>
            <w:tcW w:w="615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268" w:type="dxa"/>
            <w:tcBorders/>
            <w:shd w:fill="FFFFFF" w:val="clear"/>
            <w:tcMar>
              <w:bottom w:w="0" w:type="dxa"/>
            </w:tcMar>
            <w:vAlign w:val="center"/>
          </w:tcPr>
          <w:p>
            <w:pPr>
              <w:pStyle w:val="TableContents"/>
              <w:spacing w:before="0" w:after="0"/>
              <w:ind w:left="0" w:right="0" w:hanging="0"/>
              <w:rPr/>
            </w:pPr>
            <w:r>
              <w:rPr/>
              <w:t> </w:t>
            </w:r>
          </w:p>
        </w:tc>
        <w:tc>
          <w:tcPr>
            <w:tcW w:w="1402" w:type="dxa"/>
            <w:tcBorders/>
            <w:shd w:fill="FFFFFF" w:val="clear"/>
            <w:tcMar>
              <w:bottom w:w="0" w:type="dxa"/>
            </w:tcMar>
            <w:vAlign w:val="center"/>
          </w:tcPr>
          <w:p>
            <w:pPr>
              <w:pStyle w:val="TableContents"/>
              <w:spacing w:before="0" w:after="0"/>
              <w:ind w:left="0" w:right="0" w:hanging="0"/>
              <w:rPr/>
            </w:pPr>
            <w:r>
              <w:rPr/>
              <w:t> </w:t>
            </w:r>
          </w:p>
        </w:tc>
        <w:tc>
          <w:tcPr>
            <w:tcW w:w="24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268" w:type="dxa"/>
            <w:tcBorders/>
            <w:shd w:fill="FFFFFF" w:val="clear"/>
            <w:tcMar>
              <w:bottom w:w="0" w:type="dxa"/>
            </w:tcMar>
            <w:vAlign w:val="center"/>
          </w:tcPr>
          <w:p>
            <w:pPr>
              <w:pStyle w:val="TableContents"/>
              <w:spacing w:before="0" w:after="0"/>
              <w:ind w:left="0" w:right="0" w:hanging="0"/>
              <w:rPr/>
            </w:pPr>
            <w:r>
              <w:rPr/>
              <w:t> </w:t>
            </w:r>
          </w:p>
        </w:tc>
        <w:tc>
          <w:tcPr>
            <w:tcW w:w="1402" w:type="dxa"/>
            <w:tcBorders/>
            <w:shd w:fill="FFFFFF" w:val="clear"/>
            <w:tcMar>
              <w:bottom w:w="0" w:type="dxa"/>
            </w:tcMar>
            <w:vAlign w:val="center"/>
          </w:tcPr>
          <w:p>
            <w:pPr>
              <w:pStyle w:val="TableContents"/>
              <w:spacing w:before="0" w:after="0"/>
              <w:ind w:left="0" w:right="0" w:hanging="0"/>
              <w:rPr/>
            </w:pPr>
            <w:r>
              <w:rPr/>
              <w:t> </w:t>
            </w:r>
          </w:p>
        </w:tc>
        <w:tc>
          <w:tcPr>
            <w:tcW w:w="290" w:type="dxa"/>
            <w:tcBorders/>
            <w:shd w:fill="FFFFFF" w:val="clear"/>
            <w:tcMar>
              <w:bottom w:w="0" w:type="dxa"/>
            </w:tcMar>
            <w:vAlign w:val="center"/>
          </w:tcPr>
          <w:p>
            <w:pPr>
              <w:pStyle w:val="TableContents"/>
              <w:spacing w:before="0" w:after="0"/>
              <w:ind w:left="0" w:right="0" w:hanging="0"/>
              <w:rPr/>
            </w:pPr>
            <w:r>
              <w:rPr/>
              <w:t> </w:t>
            </w:r>
          </w:p>
        </w:tc>
      </w:tr>
      <w:tr>
        <w:trPr/>
        <w:tc>
          <w:tcPr>
            <w:tcW w:w="6150"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Residential mortgage backed securities</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268" w:type="dxa"/>
            <w:tcBorders/>
            <w:shd w:fill="CCEEFF" w:val="clear"/>
            <w:tcMar>
              <w:bottom w:w="0" w:type="dxa"/>
            </w:tcMar>
            <w:vAlign w:val="center"/>
          </w:tcPr>
          <w:p>
            <w:pPr>
              <w:pStyle w:val="TableContents"/>
              <w:spacing w:before="0" w:after="0"/>
              <w:ind w:left="0" w:right="0" w:hanging="0"/>
              <w:rPr/>
            </w:pPr>
            <w:r>
              <w:rPr/>
              <w:t> </w:t>
            </w:r>
          </w:p>
        </w:tc>
        <w:tc>
          <w:tcPr>
            <w:tcW w:w="1402" w:type="dxa"/>
            <w:tcBorders/>
            <w:shd w:fill="CCEEFF" w:val="clear"/>
            <w:tcMar>
              <w:bottom w:w="0" w:type="dxa"/>
            </w:tcMar>
            <w:vAlign w:val="center"/>
          </w:tcPr>
          <w:p>
            <w:pPr>
              <w:pStyle w:val="TableContents"/>
              <w:spacing w:before="0" w:after="283"/>
              <w:jc w:val="right"/>
              <w:rPr/>
            </w:pPr>
            <w:r>
              <w:rPr/>
              <w:t>2.70</w:t>
            </w:r>
          </w:p>
        </w:tc>
        <w:tc>
          <w:tcPr>
            <w:tcW w:w="245" w:type="dxa"/>
            <w:tcBorders/>
            <w:shd w:fill="CCEEFF" w:val="clear"/>
            <w:tcMar>
              <w:bottom w:w="0" w:type="dxa"/>
            </w:tcMar>
            <w:vAlign w:val="center"/>
          </w:tcPr>
          <w:p>
            <w:pPr>
              <w:pStyle w:val="TableContents"/>
              <w:spacing w:before="0" w:after="283"/>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268" w:type="dxa"/>
            <w:tcBorders/>
            <w:shd w:fill="CCEEFF" w:val="clear"/>
            <w:tcMar>
              <w:bottom w:w="0" w:type="dxa"/>
            </w:tcMar>
            <w:vAlign w:val="center"/>
          </w:tcPr>
          <w:p>
            <w:pPr>
              <w:pStyle w:val="TableContents"/>
              <w:spacing w:before="0" w:after="0"/>
              <w:ind w:left="0" w:right="0" w:hanging="0"/>
              <w:rPr/>
            </w:pPr>
            <w:r>
              <w:rPr/>
              <w:t> </w:t>
            </w:r>
          </w:p>
        </w:tc>
        <w:tc>
          <w:tcPr>
            <w:tcW w:w="1402" w:type="dxa"/>
            <w:tcBorders/>
            <w:shd w:fill="CCEEFF" w:val="clear"/>
            <w:tcMar>
              <w:bottom w:w="0" w:type="dxa"/>
            </w:tcMar>
            <w:vAlign w:val="center"/>
          </w:tcPr>
          <w:p>
            <w:pPr>
              <w:pStyle w:val="TableContents"/>
              <w:spacing w:before="0" w:after="283"/>
              <w:jc w:val="right"/>
              <w:rPr/>
            </w:pPr>
            <w:r>
              <w:rPr/>
              <w:t>2.77</w:t>
            </w:r>
          </w:p>
        </w:tc>
        <w:tc>
          <w:tcPr>
            <w:tcW w:w="290" w:type="dxa"/>
            <w:tcBorders/>
            <w:shd w:fill="CCEEFF" w:val="clear"/>
            <w:tcMar>
              <w:bottom w:w="0" w:type="dxa"/>
            </w:tcMar>
            <w:vAlign w:val="center"/>
          </w:tcPr>
          <w:p>
            <w:pPr>
              <w:pStyle w:val="TableContents"/>
              <w:spacing w:before="0" w:after="283"/>
              <w:rPr/>
            </w:pPr>
            <w:r>
              <w:rPr/>
              <w:t>%</w:t>
            </w:r>
          </w:p>
        </w:tc>
      </w:tr>
      <w:tr>
        <w:trPr/>
        <w:tc>
          <w:tcPr>
            <w:tcW w:w="615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268" w:type="dxa"/>
            <w:tcBorders/>
            <w:shd w:fill="FFFFFF" w:val="clear"/>
            <w:tcMar>
              <w:bottom w:w="0" w:type="dxa"/>
            </w:tcMar>
            <w:vAlign w:val="center"/>
          </w:tcPr>
          <w:p>
            <w:pPr>
              <w:pStyle w:val="TableContents"/>
              <w:spacing w:before="0" w:after="0"/>
              <w:ind w:left="0" w:right="0" w:hanging="0"/>
              <w:rPr/>
            </w:pPr>
            <w:r>
              <w:rPr/>
              <w:t> </w:t>
            </w:r>
          </w:p>
        </w:tc>
        <w:tc>
          <w:tcPr>
            <w:tcW w:w="1402" w:type="dxa"/>
            <w:tcBorders/>
            <w:shd w:fill="FFFFFF" w:val="clear"/>
            <w:tcMar>
              <w:bottom w:w="0" w:type="dxa"/>
            </w:tcMar>
            <w:vAlign w:val="center"/>
          </w:tcPr>
          <w:p>
            <w:pPr>
              <w:pStyle w:val="TableContents"/>
              <w:spacing w:before="0" w:after="0"/>
              <w:ind w:left="0" w:right="0" w:hanging="0"/>
              <w:rPr/>
            </w:pPr>
            <w:r>
              <w:rPr/>
              <w:t> </w:t>
            </w:r>
          </w:p>
        </w:tc>
        <w:tc>
          <w:tcPr>
            <w:tcW w:w="24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268" w:type="dxa"/>
            <w:tcBorders/>
            <w:shd w:fill="FFFFFF" w:val="clear"/>
            <w:tcMar>
              <w:bottom w:w="0" w:type="dxa"/>
            </w:tcMar>
            <w:vAlign w:val="center"/>
          </w:tcPr>
          <w:p>
            <w:pPr>
              <w:pStyle w:val="TableContents"/>
              <w:spacing w:before="0" w:after="0"/>
              <w:ind w:left="0" w:right="0" w:hanging="0"/>
              <w:rPr/>
            </w:pPr>
            <w:r>
              <w:rPr/>
              <w:t> </w:t>
            </w:r>
          </w:p>
        </w:tc>
        <w:tc>
          <w:tcPr>
            <w:tcW w:w="1402" w:type="dxa"/>
            <w:tcBorders/>
            <w:shd w:fill="FFFFFF" w:val="clear"/>
            <w:tcMar>
              <w:bottom w:w="0" w:type="dxa"/>
            </w:tcMar>
            <w:vAlign w:val="center"/>
          </w:tcPr>
          <w:p>
            <w:pPr>
              <w:pStyle w:val="TableContents"/>
              <w:spacing w:before="0" w:after="0"/>
              <w:ind w:left="0" w:right="0" w:hanging="0"/>
              <w:rPr/>
            </w:pPr>
            <w:r>
              <w:rPr/>
              <w:t> </w:t>
            </w:r>
          </w:p>
        </w:tc>
        <w:tc>
          <w:tcPr>
            <w:tcW w:w="290" w:type="dxa"/>
            <w:tcBorders/>
            <w:shd w:fill="FFFFFF" w:val="clear"/>
            <w:tcMar>
              <w:bottom w:w="0" w:type="dxa"/>
            </w:tcMar>
            <w:vAlign w:val="center"/>
          </w:tcPr>
          <w:p>
            <w:pPr>
              <w:pStyle w:val="TableContents"/>
              <w:spacing w:before="0" w:after="0"/>
              <w:ind w:left="0" w:right="0" w:hanging="0"/>
              <w:rPr/>
            </w:pPr>
            <w:r>
              <w:rPr/>
              <w:t> </w:t>
            </w:r>
          </w:p>
        </w:tc>
      </w:tr>
      <w:tr>
        <w:trPr/>
        <w:tc>
          <w:tcPr>
            <w:tcW w:w="6150"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Total</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268" w:type="dxa"/>
            <w:tcBorders/>
            <w:shd w:fill="CCEEFF" w:val="clear"/>
            <w:tcMar>
              <w:bottom w:w="0" w:type="dxa"/>
            </w:tcMar>
            <w:vAlign w:val="center"/>
          </w:tcPr>
          <w:p>
            <w:pPr>
              <w:pStyle w:val="TableContents"/>
              <w:spacing w:before="0" w:after="0"/>
              <w:ind w:left="0" w:right="0" w:hanging="0"/>
              <w:rPr/>
            </w:pPr>
            <w:r>
              <w:rPr/>
              <w:t> </w:t>
            </w:r>
          </w:p>
        </w:tc>
        <w:tc>
          <w:tcPr>
            <w:tcW w:w="1402" w:type="dxa"/>
            <w:tcBorders/>
            <w:shd w:fill="CCEEFF" w:val="clear"/>
            <w:tcMar>
              <w:bottom w:w="0" w:type="dxa"/>
            </w:tcMar>
            <w:vAlign w:val="center"/>
          </w:tcPr>
          <w:p>
            <w:pPr>
              <w:pStyle w:val="TableContents"/>
              <w:spacing w:before="0" w:after="283"/>
              <w:jc w:val="right"/>
              <w:rPr/>
            </w:pPr>
            <w:r>
              <w:rPr/>
              <w:t>3.20</w:t>
            </w:r>
          </w:p>
        </w:tc>
        <w:tc>
          <w:tcPr>
            <w:tcW w:w="245" w:type="dxa"/>
            <w:tcBorders/>
            <w:shd w:fill="CCEEFF" w:val="clear"/>
            <w:tcMar>
              <w:bottom w:w="0" w:type="dxa"/>
            </w:tcMar>
            <w:vAlign w:val="center"/>
          </w:tcPr>
          <w:p>
            <w:pPr>
              <w:pStyle w:val="TableContents"/>
              <w:spacing w:before="0" w:after="283"/>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268" w:type="dxa"/>
            <w:tcBorders/>
            <w:shd w:fill="CCEEFF" w:val="clear"/>
            <w:tcMar>
              <w:bottom w:w="0" w:type="dxa"/>
            </w:tcMar>
            <w:vAlign w:val="center"/>
          </w:tcPr>
          <w:p>
            <w:pPr>
              <w:pStyle w:val="TableContents"/>
              <w:spacing w:before="0" w:after="0"/>
              <w:ind w:left="0" w:right="0" w:hanging="0"/>
              <w:rPr/>
            </w:pPr>
            <w:r>
              <w:rPr/>
              <w:t> </w:t>
            </w:r>
          </w:p>
        </w:tc>
        <w:tc>
          <w:tcPr>
            <w:tcW w:w="1402" w:type="dxa"/>
            <w:tcBorders/>
            <w:shd w:fill="CCEEFF" w:val="clear"/>
            <w:tcMar>
              <w:bottom w:w="0" w:type="dxa"/>
            </w:tcMar>
            <w:vAlign w:val="center"/>
          </w:tcPr>
          <w:p>
            <w:pPr>
              <w:pStyle w:val="TableContents"/>
              <w:spacing w:before="0" w:after="283"/>
              <w:jc w:val="right"/>
              <w:rPr/>
            </w:pPr>
            <w:r>
              <w:rPr/>
              <w:t>2.92</w:t>
            </w:r>
          </w:p>
        </w:tc>
        <w:tc>
          <w:tcPr>
            <w:tcW w:w="290" w:type="dxa"/>
            <w:tcBorders/>
            <w:shd w:fill="CCEEFF" w:val="clear"/>
            <w:tcMar>
              <w:bottom w:w="0" w:type="dxa"/>
            </w:tcMar>
            <w:vAlign w:val="center"/>
          </w:tcPr>
          <w:p>
            <w:pPr>
              <w:pStyle w:val="TableContents"/>
              <w:spacing w:before="0" w:after="283"/>
              <w:rPr/>
            </w:pPr>
            <w:r>
              <w:rPr/>
              <w:t>%</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table below lists the weighted average maturity and effective duration in years on our fixed-maturity securities as of December 31, 2022 and 2021:</w:t>
      </w:r>
    </w:p>
    <w:p>
      <w:pPr>
        <w:pStyle w:val="TextBody"/>
        <w:spacing w:before="0" w:after="0"/>
        <w:ind w:left="0" w:right="0" w:firstLine="720"/>
        <w:jc w:val="both"/>
        <w:rPr/>
      </w:pPr>
      <w:r>
        <w:rPr/>
        <w:t> </w:t>
      </w:r>
    </w:p>
    <w:tbl>
      <w:tblPr>
        <w:tblW w:w="6810" w:type="dxa"/>
        <w:jc w:val="left"/>
        <w:tblInd w:w="0" w:type="dxa"/>
        <w:tblCellMar>
          <w:top w:w="0" w:type="dxa"/>
          <w:left w:w="0" w:type="dxa"/>
          <w:bottom w:w="0" w:type="dxa"/>
          <w:right w:w="0" w:type="dxa"/>
        </w:tblCellMar>
      </w:tblPr>
      <w:tblGrid>
        <w:gridCol w:w="3065"/>
        <w:gridCol w:w="90"/>
        <w:gridCol w:w="268"/>
        <w:gridCol w:w="1402"/>
        <w:gridCol w:w="90"/>
        <w:gridCol w:w="90"/>
        <w:gridCol w:w="268"/>
        <w:gridCol w:w="1402"/>
        <w:gridCol w:w="135"/>
      </w:tblGrid>
      <w:tr>
        <w:trPr/>
        <w:tc>
          <w:tcPr>
            <w:tcW w:w="306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67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2022</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67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2021</w:t>
            </w:r>
          </w:p>
        </w:tc>
        <w:tc>
          <w:tcPr>
            <w:tcW w:w="135" w:type="dxa"/>
            <w:tcBorders/>
            <w:shd w:fill="auto" w:val="clear"/>
            <w:vAlign w:val="center"/>
          </w:tcPr>
          <w:p>
            <w:pPr>
              <w:pStyle w:val="TableContents"/>
              <w:spacing w:before="0" w:after="0"/>
              <w:ind w:left="0" w:right="0" w:hanging="0"/>
              <w:rPr/>
            </w:pPr>
            <w:r>
              <w:rPr>
                <w:rStyle w:val="StrongEmphasis"/>
              </w:rPr>
              <w:t> </w:t>
            </w:r>
          </w:p>
        </w:tc>
      </w:tr>
      <w:tr>
        <w:trPr/>
        <w:tc>
          <w:tcPr>
            <w:tcW w:w="3065"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Weighted average effective maturity </w:t>
            </w:r>
          </w:p>
        </w:tc>
        <w:tc>
          <w:tcPr>
            <w:tcW w:w="90" w:type="dxa"/>
            <w:tcBorders/>
            <w:shd w:fill="CCEEFF" w:val="clear"/>
            <w:vAlign w:val="center"/>
          </w:tcPr>
          <w:p>
            <w:pPr>
              <w:pStyle w:val="TableContents"/>
              <w:spacing w:before="0" w:after="0"/>
              <w:ind w:left="0" w:right="0" w:hanging="0"/>
              <w:rPr/>
            </w:pPr>
            <w:r>
              <w:rPr/>
              <w:t> </w:t>
            </w:r>
          </w:p>
        </w:tc>
        <w:tc>
          <w:tcPr>
            <w:tcW w:w="268" w:type="dxa"/>
            <w:tcBorders/>
            <w:shd w:fill="CCEEFF" w:val="clear"/>
            <w:vAlign w:val="center"/>
          </w:tcPr>
          <w:p>
            <w:pPr>
              <w:pStyle w:val="TableContents"/>
              <w:spacing w:before="0" w:after="0"/>
              <w:ind w:left="0" w:right="0" w:hanging="0"/>
              <w:rPr/>
            </w:pPr>
            <w:r>
              <w:rPr/>
              <w:t> </w:t>
            </w:r>
          </w:p>
        </w:tc>
        <w:tc>
          <w:tcPr>
            <w:tcW w:w="1402" w:type="dxa"/>
            <w:tcBorders/>
            <w:shd w:fill="CCEEFF" w:val="clear"/>
            <w:vAlign w:val="center"/>
          </w:tcPr>
          <w:p>
            <w:pPr>
              <w:pStyle w:val="TableContents"/>
              <w:spacing w:before="0" w:after="283"/>
              <w:jc w:val="right"/>
              <w:rPr/>
            </w:pPr>
            <w:r>
              <w:rPr/>
              <w:t>5.8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68" w:type="dxa"/>
            <w:tcBorders/>
            <w:shd w:fill="CCEEFF" w:val="clear"/>
            <w:vAlign w:val="center"/>
          </w:tcPr>
          <w:p>
            <w:pPr>
              <w:pStyle w:val="TableContents"/>
              <w:spacing w:before="0" w:after="0"/>
              <w:ind w:left="0" w:right="0" w:hanging="0"/>
              <w:rPr/>
            </w:pPr>
            <w:r>
              <w:rPr/>
              <w:t> </w:t>
            </w:r>
          </w:p>
        </w:tc>
        <w:tc>
          <w:tcPr>
            <w:tcW w:w="1402" w:type="dxa"/>
            <w:tcBorders/>
            <w:shd w:fill="CCEEFF" w:val="clear"/>
            <w:vAlign w:val="center"/>
          </w:tcPr>
          <w:p>
            <w:pPr>
              <w:pStyle w:val="TableContents"/>
              <w:spacing w:before="0" w:after="283"/>
              <w:jc w:val="right"/>
              <w:rPr/>
            </w:pPr>
            <w:r>
              <w:rPr/>
              <w:t>8.0</w:t>
            </w:r>
          </w:p>
        </w:tc>
        <w:tc>
          <w:tcPr>
            <w:tcW w:w="135" w:type="dxa"/>
            <w:tcBorders/>
            <w:shd w:fill="CCEEFF" w:val="clear"/>
            <w:vAlign w:val="center"/>
          </w:tcPr>
          <w:p>
            <w:pPr>
              <w:pStyle w:val="TableContents"/>
              <w:spacing w:before="0" w:after="0"/>
              <w:ind w:left="0" w:right="0" w:hanging="0"/>
              <w:rPr/>
            </w:pPr>
            <w:r>
              <w:rPr/>
              <w:t> </w:t>
            </w:r>
          </w:p>
        </w:tc>
      </w:tr>
      <w:tr>
        <w:trPr/>
        <w:tc>
          <w:tcPr>
            <w:tcW w:w="306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68" w:type="dxa"/>
            <w:tcBorders/>
            <w:shd w:fill="FFFFFF" w:val="clear"/>
            <w:vAlign w:val="center"/>
          </w:tcPr>
          <w:p>
            <w:pPr>
              <w:pStyle w:val="TableContents"/>
              <w:spacing w:before="0" w:after="0"/>
              <w:ind w:left="0" w:right="0" w:hanging="0"/>
              <w:rPr/>
            </w:pPr>
            <w:r>
              <w:rPr/>
              <w:t> </w:t>
            </w:r>
          </w:p>
        </w:tc>
        <w:tc>
          <w:tcPr>
            <w:tcW w:w="1402"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68" w:type="dxa"/>
            <w:tcBorders/>
            <w:shd w:fill="FFFFFF" w:val="clear"/>
            <w:vAlign w:val="center"/>
          </w:tcPr>
          <w:p>
            <w:pPr>
              <w:pStyle w:val="TableContents"/>
              <w:spacing w:before="0" w:after="0"/>
              <w:ind w:left="0" w:right="0" w:hanging="0"/>
              <w:rPr/>
            </w:pPr>
            <w:r>
              <w:rPr/>
              <w:t> </w:t>
            </w:r>
          </w:p>
        </w:tc>
        <w:tc>
          <w:tcPr>
            <w:tcW w:w="1402" w:type="dxa"/>
            <w:tcBorders/>
            <w:shd w:fill="FFFFFF" w:val="clear"/>
            <w:vAlign w:val="center"/>
          </w:tcPr>
          <w:p>
            <w:pPr>
              <w:pStyle w:val="TableContents"/>
              <w:spacing w:before="0" w:after="0"/>
              <w:ind w:left="0" w:right="0" w:hanging="0"/>
              <w:rPr/>
            </w:pPr>
            <w:r>
              <w:rPr/>
              <w:t> </w:t>
            </w:r>
          </w:p>
        </w:tc>
        <w:tc>
          <w:tcPr>
            <w:tcW w:w="135" w:type="dxa"/>
            <w:tcBorders/>
            <w:shd w:fill="FFFFFF" w:val="clear"/>
            <w:vAlign w:val="center"/>
          </w:tcPr>
          <w:p>
            <w:pPr>
              <w:pStyle w:val="TableContents"/>
              <w:spacing w:before="0" w:after="0"/>
              <w:ind w:left="0" w:right="0" w:hanging="0"/>
              <w:rPr/>
            </w:pPr>
            <w:r>
              <w:rPr/>
              <w:t> </w:t>
            </w:r>
          </w:p>
        </w:tc>
      </w:tr>
      <w:tr>
        <w:trPr/>
        <w:tc>
          <w:tcPr>
            <w:tcW w:w="3065"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Weighted average final maturity </w:t>
            </w:r>
          </w:p>
        </w:tc>
        <w:tc>
          <w:tcPr>
            <w:tcW w:w="90" w:type="dxa"/>
            <w:tcBorders/>
            <w:shd w:fill="CCEEFF" w:val="clear"/>
            <w:vAlign w:val="center"/>
          </w:tcPr>
          <w:p>
            <w:pPr>
              <w:pStyle w:val="TableContents"/>
              <w:spacing w:before="0" w:after="0"/>
              <w:ind w:left="0" w:right="0" w:hanging="0"/>
              <w:rPr/>
            </w:pPr>
            <w:r>
              <w:rPr/>
              <w:t> </w:t>
            </w:r>
          </w:p>
        </w:tc>
        <w:tc>
          <w:tcPr>
            <w:tcW w:w="268" w:type="dxa"/>
            <w:tcBorders/>
            <w:shd w:fill="CCEEFF" w:val="clear"/>
            <w:vAlign w:val="center"/>
          </w:tcPr>
          <w:p>
            <w:pPr>
              <w:pStyle w:val="TableContents"/>
              <w:spacing w:before="0" w:after="0"/>
              <w:ind w:left="0" w:right="0" w:hanging="0"/>
              <w:rPr/>
            </w:pPr>
            <w:r>
              <w:rPr/>
              <w:t> </w:t>
            </w:r>
          </w:p>
        </w:tc>
        <w:tc>
          <w:tcPr>
            <w:tcW w:w="1402" w:type="dxa"/>
            <w:tcBorders/>
            <w:shd w:fill="CCEEFF" w:val="clear"/>
            <w:vAlign w:val="center"/>
          </w:tcPr>
          <w:p>
            <w:pPr>
              <w:pStyle w:val="TableContents"/>
              <w:spacing w:before="0" w:after="283"/>
              <w:jc w:val="right"/>
              <w:rPr/>
            </w:pPr>
            <w:r>
              <w:rPr/>
              <w:t>13.5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68" w:type="dxa"/>
            <w:tcBorders/>
            <w:shd w:fill="CCEEFF" w:val="clear"/>
            <w:vAlign w:val="center"/>
          </w:tcPr>
          <w:p>
            <w:pPr>
              <w:pStyle w:val="TableContents"/>
              <w:spacing w:before="0" w:after="0"/>
              <w:ind w:left="0" w:right="0" w:hanging="0"/>
              <w:rPr/>
            </w:pPr>
            <w:r>
              <w:rPr/>
              <w:t> </w:t>
            </w:r>
          </w:p>
        </w:tc>
        <w:tc>
          <w:tcPr>
            <w:tcW w:w="1402" w:type="dxa"/>
            <w:tcBorders/>
            <w:shd w:fill="CCEEFF" w:val="clear"/>
            <w:vAlign w:val="center"/>
          </w:tcPr>
          <w:p>
            <w:pPr>
              <w:pStyle w:val="TableContents"/>
              <w:spacing w:before="0" w:after="283"/>
              <w:jc w:val="right"/>
              <w:rPr/>
            </w:pPr>
            <w:r>
              <w:rPr/>
              <w:t>13.8</w:t>
            </w:r>
          </w:p>
        </w:tc>
        <w:tc>
          <w:tcPr>
            <w:tcW w:w="135" w:type="dxa"/>
            <w:tcBorders/>
            <w:shd w:fill="CCEEFF" w:val="clear"/>
            <w:vAlign w:val="center"/>
          </w:tcPr>
          <w:p>
            <w:pPr>
              <w:pStyle w:val="TableContents"/>
              <w:spacing w:before="0" w:after="0"/>
              <w:ind w:left="0" w:right="0" w:hanging="0"/>
              <w:rPr/>
            </w:pPr>
            <w:r>
              <w:rPr/>
              <w:t> </w:t>
            </w:r>
          </w:p>
        </w:tc>
      </w:tr>
      <w:tr>
        <w:trPr/>
        <w:tc>
          <w:tcPr>
            <w:tcW w:w="306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68" w:type="dxa"/>
            <w:tcBorders/>
            <w:shd w:fill="FFFFFF" w:val="clear"/>
            <w:vAlign w:val="center"/>
          </w:tcPr>
          <w:p>
            <w:pPr>
              <w:pStyle w:val="TableContents"/>
              <w:spacing w:before="0" w:after="0"/>
              <w:ind w:left="0" w:right="0" w:hanging="0"/>
              <w:rPr/>
            </w:pPr>
            <w:r>
              <w:rPr/>
              <w:t> </w:t>
            </w:r>
          </w:p>
        </w:tc>
        <w:tc>
          <w:tcPr>
            <w:tcW w:w="1402"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68" w:type="dxa"/>
            <w:tcBorders/>
            <w:shd w:fill="FFFFFF" w:val="clear"/>
            <w:vAlign w:val="center"/>
          </w:tcPr>
          <w:p>
            <w:pPr>
              <w:pStyle w:val="TableContents"/>
              <w:spacing w:before="0" w:after="0"/>
              <w:ind w:left="0" w:right="0" w:hanging="0"/>
              <w:rPr/>
            </w:pPr>
            <w:r>
              <w:rPr/>
              <w:t> </w:t>
            </w:r>
          </w:p>
        </w:tc>
        <w:tc>
          <w:tcPr>
            <w:tcW w:w="1402" w:type="dxa"/>
            <w:tcBorders/>
            <w:shd w:fill="FFFFFF" w:val="clear"/>
            <w:vAlign w:val="center"/>
          </w:tcPr>
          <w:p>
            <w:pPr>
              <w:pStyle w:val="TableContents"/>
              <w:spacing w:before="0" w:after="0"/>
              <w:ind w:left="0" w:right="0" w:hanging="0"/>
              <w:rPr/>
            </w:pPr>
            <w:r>
              <w:rPr/>
              <w:t> </w:t>
            </w:r>
          </w:p>
        </w:tc>
        <w:tc>
          <w:tcPr>
            <w:tcW w:w="135" w:type="dxa"/>
            <w:tcBorders/>
            <w:shd w:fill="FFFFFF" w:val="clear"/>
            <w:vAlign w:val="center"/>
          </w:tcPr>
          <w:p>
            <w:pPr>
              <w:pStyle w:val="TableContents"/>
              <w:spacing w:before="0" w:after="0"/>
              <w:ind w:left="0" w:right="0" w:hanging="0"/>
              <w:rPr/>
            </w:pPr>
            <w:r>
              <w:rPr/>
              <w:t> </w:t>
            </w:r>
          </w:p>
        </w:tc>
      </w:tr>
      <w:tr>
        <w:trPr/>
        <w:tc>
          <w:tcPr>
            <w:tcW w:w="3065"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Effective duration </w:t>
            </w:r>
          </w:p>
        </w:tc>
        <w:tc>
          <w:tcPr>
            <w:tcW w:w="90" w:type="dxa"/>
            <w:tcBorders/>
            <w:shd w:fill="CCEEFF" w:val="clear"/>
            <w:vAlign w:val="center"/>
          </w:tcPr>
          <w:p>
            <w:pPr>
              <w:pStyle w:val="TableContents"/>
              <w:spacing w:before="0" w:after="0"/>
              <w:ind w:left="0" w:right="0" w:hanging="0"/>
              <w:rPr/>
            </w:pPr>
            <w:r>
              <w:rPr/>
              <w:t> </w:t>
            </w:r>
          </w:p>
        </w:tc>
        <w:tc>
          <w:tcPr>
            <w:tcW w:w="268" w:type="dxa"/>
            <w:tcBorders/>
            <w:shd w:fill="CCEEFF" w:val="clear"/>
            <w:vAlign w:val="center"/>
          </w:tcPr>
          <w:p>
            <w:pPr>
              <w:pStyle w:val="TableContents"/>
              <w:spacing w:before="0" w:after="0"/>
              <w:ind w:left="0" w:right="0" w:hanging="0"/>
              <w:rPr/>
            </w:pPr>
            <w:r>
              <w:rPr/>
              <w:t> </w:t>
            </w:r>
          </w:p>
        </w:tc>
        <w:tc>
          <w:tcPr>
            <w:tcW w:w="1402" w:type="dxa"/>
            <w:tcBorders/>
            <w:shd w:fill="CCEEFF" w:val="clear"/>
            <w:vAlign w:val="center"/>
          </w:tcPr>
          <w:p>
            <w:pPr>
              <w:pStyle w:val="TableContents"/>
              <w:spacing w:before="0" w:after="283"/>
              <w:jc w:val="right"/>
              <w:rPr/>
            </w:pPr>
            <w:r>
              <w:rPr/>
              <w:t>4.5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68" w:type="dxa"/>
            <w:tcBorders/>
            <w:shd w:fill="CCEEFF" w:val="clear"/>
            <w:vAlign w:val="center"/>
          </w:tcPr>
          <w:p>
            <w:pPr>
              <w:pStyle w:val="TableContents"/>
              <w:spacing w:before="0" w:after="0"/>
              <w:ind w:left="0" w:right="0" w:hanging="0"/>
              <w:rPr/>
            </w:pPr>
            <w:r>
              <w:rPr/>
              <w:t> </w:t>
            </w:r>
          </w:p>
        </w:tc>
        <w:tc>
          <w:tcPr>
            <w:tcW w:w="1402" w:type="dxa"/>
            <w:tcBorders/>
            <w:shd w:fill="CCEEFF" w:val="clear"/>
            <w:vAlign w:val="center"/>
          </w:tcPr>
          <w:p>
            <w:pPr>
              <w:pStyle w:val="TableContents"/>
              <w:spacing w:before="0" w:after="283"/>
              <w:jc w:val="right"/>
              <w:rPr/>
            </w:pPr>
            <w:r>
              <w:rPr/>
              <w:t>5.1</w:t>
            </w:r>
          </w:p>
        </w:tc>
        <w:tc>
          <w:tcPr>
            <w:tcW w:w="135" w:type="dxa"/>
            <w:tcBorders/>
            <w:shd w:fill="CCEEFF" w:val="clear"/>
            <w:vAlign w:val="center"/>
          </w:tcPr>
          <w:p>
            <w:pPr>
              <w:pStyle w:val="TableContents"/>
              <w:spacing w:before="0" w:after="0"/>
              <w:ind w:left="0" w:right="0" w:hanging="0"/>
              <w:rPr/>
            </w:pPr>
            <w:r>
              <w:rPr/>
              <w:t> </w:t>
            </w:r>
          </w:p>
        </w:tc>
      </w:tr>
      <w:tr>
        <w:trPr/>
        <w:tc>
          <w:tcPr>
            <w:tcW w:w="306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68" w:type="dxa"/>
            <w:tcBorders/>
            <w:shd w:fill="FFFFFF" w:val="clear"/>
            <w:vAlign w:val="center"/>
          </w:tcPr>
          <w:p>
            <w:pPr>
              <w:pStyle w:val="TableContents"/>
              <w:spacing w:before="0" w:after="0"/>
              <w:ind w:left="0" w:right="0" w:hanging="0"/>
              <w:rPr/>
            </w:pPr>
            <w:r>
              <w:rPr/>
              <w:t> </w:t>
            </w:r>
          </w:p>
        </w:tc>
        <w:tc>
          <w:tcPr>
            <w:tcW w:w="1402"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68" w:type="dxa"/>
            <w:tcBorders/>
            <w:shd w:fill="FFFFFF" w:val="clear"/>
            <w:vAlign w:val="center"/>
          </w:tcPr>
          <w:p>
            <w:pPr>
              <w:pStyle w:val="TableContents"/>
              <w:spacing w:before="0" w:after="0"/>
              <w:ind w:left="0" w:right="0" w:hanging="0"/>
              <w:rPr/>
            </w:pPr>
            <w:r>
              <w:rPr/>
              <w:t> </w:t>
            </w:r>
          </w:p>
        </w:tc>
        <w:tc>
          <w:tcPr>
            <w:tcW w:w="1402" w:type="dxa"/>
            <w:tcBorders/>
            <w:shd w:fill="FFFFFF" w:val="clear"/>
            <w:vAlign w:val="center"/>
          </w:tcPr>
          <w:p>
            <w:pPr>
              <w:pStyle w:val="TableContents"/>
              <w:spacing w:before="0" w:after="0"/>
              <w:ind w:left="0" w:right="0" w:hanging="0"/>
              <w:rPr/>
            </w:pPr>
            <w:r>
              <w:rPr/>
              <w:t> </w:t>
            </w:r>
          </w:p>
        </w:tc>
        <w:tc>
          <w:tcPr>
            <w:tcW w:w="135" w:type="dxa"/>
            <w:tcBorders/>
            <w:shd w:fill="FFFFFF" w:val="clear"/>
            <w:vAlign w:val="center"/>
          </w:tcPr>
          <w:p>
            <w:pPr>
              <w:pStyle w:val="TableContents"/>
              <w:spacing w:before="0" w:after="0"/>
              <w:ind w:left="0" w:right="0" w:hanging="0"/>
              <w:rPr/>
            </w:pPr>
            <w:r>
              <w:rPr/>
              <w:t> </w:t>
            </w:r>
          </w:p>
        </w:tc>
      </w:tr>
    </w:tbl>
    <w:p>
      <w:pPr>
        <w:pStyle w:val="TextBody"/>
        <w:spacing w:before="0" w:after="0"/>
        <w:ind w:left="0" w:right="0" w:firstLine="720"/>
        <w:jc w:val="both"/>
        <w:rPr/>
      </w:pPr>
      <w:r>
        <w:rPr/>
        <w:t> </w:t>
      </w:r>
    </w:p>
    <w:p>
      <w:pPr>
        <w:pStyle w:val="TextBody"/>
        <w:spacing w:before="0" w:after="0"/>
        <w:ind w:left="0" w:right="0" w:firstLine="720"/>
        <w:jc w:val="both"/>
        <w:rPr/>
      </w:pPr>
      <w:r>
        <w:rPr>
          <w:rStyle w:val="Emphasis"/>
          <w:rFonts w:ascii="times new roman" w:hAnsi="times new roman"/>
          <w:sz w:val="20"/>
        </w:rPr>
        <w:t>Fair Value Consideration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As disclosed in Note 4 to the consolidated financial statements, with respect to “Fair Value Measurements,” we define fair value as the price that would be received to sell an asset or paid to transfer a liability in a transaction involving identical or comparable assets or liabilities between market participants (an “exit price”). The fair value hierarchy distinguishes between inputs based on market data from independent sources (“observable inputs”) and a reporting entity’s internal assumptions based upon the best information available when external market data is limited or unavailable (“unobservable inputs”). The fair value hierarchy prioritizes fair value measurements into three levels based on the nature of the inputs. Quoted prices in active markets for identical assets have the highest priority (“Level 1”), followed by observable inputs other than quoted prices including prices for similar but not identical assets or liabilities (“Level 2”), and unobservable inputs, including the reporting entity’s estimates of the assumption that market participants would use, having the lowest priority (“Level 3”). As of December 31, 2022 and 2021, 65% and 62%, respectively, of the investment portfolio recorded at fair value was priced based upon quoted market prices. </w:t>
      </w:r>
    </w:p>
    <w:p>
      <w:pPr>
        <w:pStyle w:val="TextBody"/>
        <w:spacing w:before="0" w:after="0"/>
        <w:ind w:left="0" w:right="0" w:hanging="0"/>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51</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table below summarizes the gross unrealized losses of our fixed-maturity securities available-for-sale and equity securities by length of time the security has continuously been in an unrealized loss position as of December 31, 2022 and 2021:</w:t>
      </w:r>
    </w:p>
    <w:p>
      <w:pPr>
        <w:pStyle w:val="TextBody"/>
        <w:spacing w:before="0" w:after="0"/>
        <w:ind w:left="0" w:right="0" w:firstLine="720"/>
        <w:jc w:val="both"/>
        <w:rPr/>
      </w:pPr>
      <w:r>
        <w:rPr/>
        <w:t> </w:t>
      </w:r>
    </w:p>
    <w:tbl>
      <w:tblPr>
        <w:tblW w:w="12735" w:type="dxa"/>
        <w:jc w:val="left"/>
        <w:tblInd w:w="0" w:type="dxa"/>
        <w:tblCellMar>
          <w:top w:w="0" w:type="dxa"/>
          <w:left w:w="0" w:type="dxa"/>
          <w:bottom w:w="0" w:type="dxa"/>
          <w:right w:w="0" w:type="dxa"/>
        </w:tblCellMar>
      </w:tblPr>
      <w:tblGrid>
        <w:gridCol w:w="1370"/>
        <w:gridCol w:w="90"/>
        <w:gridCol w:w="170"/>
        <w:gridCol w:w="1130"/>
        <w:gridCol w:w="90"/>
        <w:gridCol w:w="90"/>
        <w:gridCol w:w="170"/>
        <w:gridCol w:w="1085"/>
        <w:gridCol w:w="125"/>
        <w:gridCol w:w="90"/>
        <w:gridCol w:w="157"/>
        <w:gridCol w:w="718"/>
        <w:gridCol w:w="90"/>
        <w:gridCol w:w="90"/>
        <w:gridCol w:w="170"/>
        <w:gridCol w:w="1130"/>
        <w:gridCol w:w="90"/>
        <w:gridCol w:w="90"/>
        <w:gridCol w:w="170"/>
        <w:gridCol w:w="1205"/>
        <w:gridCol w:w="125"/>
        <w:gridCol w:w="90"/>
        <w:gridCol w:w="206"/>
        <w:gridCol w:w="669"/>
        <w:gridCol w:w="90"/>
        <w:gridCol w:w="90"/>
        <w:gridCol w:w="170"/>
        <w:gridCol w:w="1250"/>
        <w:gridCol w:w="90"/>
        <w:gridCol w:w="90"/>
        <w:gridCol w:w="170"/>
        <w:gridCol w:w="1205"/>
        <w:gridCol w:w="170"/>
      </w:tblGrid>
      <w:tr>
        <w:trPr/>
        <w:tc>
          <w:tcPr>
            <w:tcW w:w="137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105" w:type="dxa"/>
            <w:gridSpan w:val="30"/>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2022</w:t>
            </w:r>
          </w:p>
        </w:tc>
        <w:tc>
          <w:tcPr>
            <w:tcW w:w="170" w:type="dxa"/>
            <w:tcBorders/>
            <w:shd w:fill="auto" w:val="clear"/>
            <w:vAlign w:val="center"/>
          </w:tcPr>
          <w:p>
            <w:pPr>
              <w:pStyle w:val="TableContents"/>
              <w:spacing w:before="0" w:after="0"/>
              <w:ind w:left="0" w:right="0" w:hanging="0"/>
              <w:rPr/>
            </w:pPr>
            <w:r>
              <w:rPr/>
              <w:t> </w:t>
            </w:r>
          </w:p>
        </w:tc>
      </w:tr>
      <w:tr>
        <w:trPr/>
        <w:tc>
          <w:tcPr>
            <w:tcW w:w="137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825" w:type="dxa"/>
            <w:gridSpan w:val="10"/>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Less than 12 months</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945" w:type="dxa"/>
            <w:gridSpan w:val="10"/>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12 months or more</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975"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Total</w:t>
            </w:r>
          </w:p>
        </w:tc>
        <w:tc>
          <w:tcPr>
            <w:tcW w:w="170" w:type="dxa"/>
            <w:tcBorders/>
            <w:shd w:fill="auto" w:val="clear"/>
            <w:vAlign w:val="center"/>
          </w:tcPr>
          <w:p>
            <w:pPr>
              <w:pStyle w:val="TableContents"/>
              <w:spacing w:before="0" w:after="0"/>
              <w:ind w:left="0" w:right="0" w:hanging="0"/>
              <w:rPr/>
            </w:pPr>
            <w:r>
              <w:rPr/>
              <w:t> </w:t>
            </w:r>
          </w:p>
        </w:tc>
      </w:tr>
      <w:tr>
        <w:trPr/>
        <w:tc>
          <w:tcPr>
            <w:tcW w:w="137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Estimated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55"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75"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No. of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Estimated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75"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No. of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Estimated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0"/>
              <w:ind w:left="0" w:right="0" w:hanging="0"/>
              <w:rPr/>
            </w:pPr>
            <w:r>
              <w:rPr/>
              <w:t> </w:t>
            </w:r>
          </w:p>
        </w:tc>
      </w:tr>
      <w:tr>
        <w:trPr/>
        <w:tc>
          <w:tcPr>
            <w:tcW w:w="137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Fair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55"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Unrealized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75"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Positions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Fair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Unrealized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75"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Positions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Fair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Unrealized </w:t>
            </w:r>
          </w:p>
        </w:tc>
        <w:tc>
          <w:tcPr>
            <w:tcW w:w="170" w:type="dxa"/>
            <w:tcBorders/>
            <w:shd w:fill="auto" w:val="clear"/>
            <w:vAlign w:val="center"/>
          </w:tcPr>
          <w:p>
            <w:pPr>
              <w:pStyle w:val="TableContents"/>
              <w:spacing w:before="0" w:after="0"/>
              <w:ind w:left="0" w:right="0" w:hanging="0"/>
              <w:rPr/>
            </w:pPr>
            <w:r>
              <w:rPr/>
              <w:t> </w:t>
            </w:r>
          </w:p>
        </w:tc>
      </w:tr>
      <w:tr>
        <w:trPr/>
        <w:tc>
          <w:tcPr>
            <w:tcW w:w="1370"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Fonts w:ascii="times new roman" w:hAnsi="times new roman"/>
                <w:sz w:val="20"/>
              </w:rPr>
              <w:t xml:space="preserve">Category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Value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5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Losses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Held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Value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Losses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Held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Value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Losses </w:t>
            </w:r>
          </w:p>
        </w:tc>
        <w:tc>
          <w:tcPr>
            <w:tcW w:w="170" w:type="dxa"/>
            <w:tcBorders/>
            <w:shd w:fill="auto" w:val="clear"/>
            <w:vAlign w:val="center"/>
          </w:tcPr>
          <w:p>
            <w:pPr>
              <w:pStyle w:val="TableContents"/>
              <w:spacing w:before="0" w:after="0"/>
              <w:ind w:left="0" w:right="0" w:hanging="0"/>
              <w:rPr/>
            </w:pPr>
            <w:r>
              <w:rPr/>
              <w:t> </w:t>
            </w:r>
          </w:p>
        </w:tc>
      </w:tr>
      <w:tr>
        <w:trPr/>
        <w:tc>
          <w:tcPr>
            <w:tcW w:w="137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c>
          <w:tcPr>
            <w:tcW w:w="1085" w:type="dxa"/>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7" w:type="dxa"/>
            <w:tcBorders/>
            <w:shd w:fill="auto" w:val="clear"/>
            <w:vAlign w:val="center"/>
          </w:tcPr>
          <w:p>
            <w:pPr>
              <w:pStyle w:val="TableContents"/>
              <w:spacing w:before="0" w:after="0"/>
              <w:ind w:left="0" w:right="0" w:hanging="0"/>
              <w:rPr/>
            </w:pPr>
            <w:r>
              <w:rPr/>
              <w:t> </w:t>
            </w:r>
          </w:p>
        </w:tc>
        <w:tc>
          <w:tcPr>
            <w:tcW w:w="718"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0"/>
              <w:ind w:left="0" w:right="0" w:hanging="0"/>
              <w:rPr/>
            </w:pPr>
            <w:r>
              <w:rPr/>
              <w:t> </w:t>
            </w:r>
          </w:p>
        </w:tc>
      </w:tr>
      <w:tr>
        <w:trPr/>
        <w:tc>
          <w:tcPr>
            <w:tcW w:w="1370" w:type="dxa"/>
            <w:tcBorders/>
            <w:shd w:fill="auto" w:val="clear"/>
            <w:vAlign w:val="center"/>
          </w:tcPr>
          <w:p>
            <w:pPr>
              <w:pStyle w:val="TableContents"/>
              <w:spacing w:before="0" w:after="0"/>
              <w:ind w:left="0" w:right="0" w:hanging="0"/>
              <w:rPr/>
            </w:pPr>
            <w:r>
              <w:rPr>
                <w:rStyle w:val="StrongEmphasis"/>
                <w:rFonts w:ascii="times new roman" w:hAnsi="times new roman"/>
                <w:sz w:val="20"/>
              </w:rPr>
              <w:t xml:space="preserve">Fixed-Maturity Securities: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5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75"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75"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r>
      <w:tr>
        <w:trPr/>
        <w:tc>
          <w:tcPr>
            <w:tcW w:w="137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U.S. Treasury securities and obligations of U.S. government corporations and agencies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18,918,196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85" w:type="dxa"/>
            <w:tcBorders/>
            <w:shd w:fill="CCEEFF" w:val="clear"/>
            <w:vAlign w:val="center"/>
          </w:tcPr>
          <w:p>
            <w:pPr>
              <w:pStyle w:val="TableContents"/>
              <w:spacing w:before="0" w:after="283"/>
              <w:jc w:val="right"/>
              <w:rPr/>
            </w:pPr>
            <w:r>
              <w:rPr/>
              <w:t>(6,928</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57" w:type="dxa"/>
            <w:tcBorders/>
            <w:shd w:fill="CCEEFF" w:val="clear"/>
            <w:vAlign w:val="center"/>
          </w:tcPr>
          <w:p>
            <w:pPr>
              <w:pStyle w:val="TableContents"/>
              <w:spacing w:before="0" w:after="0"/>
              <w:ind w:left="0" w:right="0" w:hanging="0"/>
              <w:rPr/>
            </w:pPr>
            <w:r>
              <w:rPr/>
              <w:t> </w:t>
            </w:r>
          </w:p>
        </w:tc>
        <w:tc>
          <w:tcPr>
            <w:tcW w:w="718" w:type="dxa"/>
            <w:tcBorders/>
            <w:shd w:fill="CCEEFF" w:val="clear"/>
            <w:vAlign w:val="center"/>
          </w:tcPr>
          <w:p>
            <w:pPr>
              <w:pStyle w:val="TableContents"/>
              <w:spacing w:before="0" w:after="283"/>
              <w:jc w:val="right"/>
              <w:rPr/>
            </w:pPr>
            <w:r>
              <w:rPr/>
              <w:t>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6" w:type="dxa"/>
            <w:tcBorders/>
            <w:shd w:fill="CCEEFF" w:val="clear"/>
            <w:vAlign w:val="center"/>
          </w:tcPr>
          <w:p>
            <w:pPr>
              <w:pStyle w:val="TableContents"/>
              <w:spacing w:before="0" w:after="0"/>
              <w:ind w:left="0" w:right="0" w:hanging="0"/>
              <w:rPr/>
            </w:pPr>
            <w:r>
              <w:rPr/>
              <w:t> </w:t>
            </w:r>
          </w:p>
        </w:tc>
        <w:tc>
          <w:tcPr>
            <w:tcW w:w="669"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18,918,196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05" w:type="dxa"/>
            <w:tcBorders/>
            <w:shd w:fill="CCEEFF" w:val="clear"/>
            <w:vAlign w:val="center"/>
          </w:tcPr>
          <w:p>
            <w:pPr>
              <w:pStyle w:val="TableContents"/>
              <w:spacing w:before="0" w:after="283"/>
              <w:jc w:val="right"/>
              <w:rPr/>
            </w:pPr>
            <w:r>
              <w:rPr/>
              <w:t>(6,928</w:t>
            </w:r>
          </w:p>
        </w:tc>
        <w:tc>
          <w:tcPr>
            <w:tcW w:w="170" w:type="dxa"/>
            <w:tcBorders/>
            <w:shd w:fill="CCEEFF" w:val="clear"/>
            <w:vAlign w:val="center"/>
          </w:tcPr>
          <w:p>
            <w:pPr>
              <w:pStyle w:val="TableContents"/>
              <w:spacing w:before="0" w:after="283"/>
              <w:rPr/>
            </w:pPr>
            <w:r>
              <w:rPr/>
              <w:t>)</w:t>
            </w:r>
          </w:p>
        </w:tc>
      </w:tr>
      <w:tr>
        <w:trPr/>
        <w:tc>
          <w:tcPr>
            <w:tcW w:w="137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8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57" w:type="dxa"/>
            <w:tcBorders/>
            <w:shd w:fill="FFFFFF" w:val="clear"/>
            <w:vAlign w:val="center"/>
          </w:tcPr>
          <w:p>
            <w:pPr>
              <w:pStyle w:val="TableContents"/>
              <w:spacing w:before="0" w:after="0"/>
              <w:ind w:left="0" w:right="0" w:hanging="0"/>
              <w:rPr/>
            </w:pPr>
            <w:r>
              <w:rPr/>
              <w:t> </w:t>
            </w:r>
          </w:p>
        </w:tc>
        <w:tc>
          <w:tcPr>
            <w:tcW w:w="71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6" w:type="dxa"/>
            <w:tcBorders/>
            <w:shd w:fill="FFFFFF" w:val="clear"/>
            <w:vAlign w:val="center"/>
          </w:tcPr>
          <w:p>
            <w:pPr>
              <w:pStyle w:val="TableContents"/>
              <w:spacing w:before="0" w:after="0"/>
              <w:ind w:left="0" w:right="0" w:hanging="0"/>
              <w:rPr/>
            </w:pPr>
            <w:r>
              <w:rPr/>
              <w:t> </w:t>
            </w:r>
          </w:p>
        </w:tc>
        <w:tc>
          <w:tcPr>
            <w:tcW w:w="669"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137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Political subdivisions of States, Territories and Possessions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7,970,633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85" w:type="dxa"/>
            <w:tcBorders/>
            <w:shd w:fill="CCEEFF" w:val="clear"/>
            <w:vAlign w:val="center"/>
          </w:tcPr>
          <w:p>
            <w:pPr>
              <w:pStyle w:val="TableContents"/>
              <w:spacing w:before="0" w:after="283"/>
              <w:jc w:val="right"/>
              <w:rPr/>
            </w:pPr>
            <w:r>
              <w:rPr/>
              <w:t>(2,195,273</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57" w:type="dxa"/>
            <w:tcBorders/>
            <w:shd w:fill="CCEEFF" w:val="clear"/>
            <w:vAlign w:val="center"/>
          </w:tcPr>
          <w:p>
            <w:pPr>
              <w:pStyle w:val="TableContents"/>
              <w:spacing w:before="0" w:after="0"/>
              <w:ind w:left="0" w:right="0" w:hanging="0"/>
              <w:rPr/>
            </w:pPr>
            <w:r>
              <w:rPr/>
              <w:t> </w:t>
            </w:r>
          </w:p>
        </w:tc>
        <w:tc>
          <w:tcPr>
            <w:tcW w:w="718" w:type="dxa"/>
            <w:tcBorders/>
            <w:shd w:fill="CCEEFF" w:val="clear"/>
            <w:vAlign w:val="center"/>
          </w:tcPr>
          <w:p>
            <w:pPr>
              <w:pStyle w:val="TableContents"/>
              <w:spacing w:before="0" w:after="283"/>
              <w:jc w:val="right"/>
              <w:rPr/>
            </w:pPr>
            <w:r>
              <w:rPr/>
              <w:t>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5,170,753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(1,771,494</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206" w:type="dxa"/>
            <w:tcBorders/>
            <w:shd w:fill="CCEEFF" w:val="clear"/>
            <w:vAlign w:val="center"/>
          </w:tcPr>
          <w:p>
            <w:pPr>
              <w:pStyle w:val="TableContents"/>
              <w:spacing w:before="0" w:after="0"/>
              <w:ind w:left="0" w:right="0" w:hanging="0"/>
              <w:rPr/>
            </w:pPr>
            <w:r>
              <w:rPr/>
              <w:t> </w:t>
            </w:r>
          </w:p>
        </w:tc>
        <w:tc>
          <w:tcPr>
            <w:tcW w:w="669" w:type="dxa"/>
            <w:tcBorders/>
            <w:shd w:fill="CCEEFF" w:val="clear"/>
            <w:vAlign w:val="center"/>
          </w:tcPr>
          <w:p>
            <w:pPr>
              <w:pStyle w:val="TableContents"/>
              <w:spacing w:before="0" w:after="283"/>
              <w:jc w:val="right"/>
              <w:rPr/>
            </w:pPr>
            <w:r>
              <w:rPr/>
              <w:t>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13,141,386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(3,966,767</w:t>
            </w:r>
          </w:p>
        </w:tc>
        <w:tc>
          <w:tcPr>
            <w:tcW w:w="170" w:type="dxa"/>
            <w:tcBorders/>
            <w:shd w:fill="CCEEFF" w:val="clear"/>
            <w:vAlign w:val="center"/>
          </w:tcPr>
          <w:p>
            <w:pPr>
              <w:pStyle w:val="TableContents"/>
              <w:spacing w:before="0" w:after="283"/>
              <w:rPr/>
            </w:pPr>
            <w:r>
              <w:rPr/>
              <w:t>)</w:t>
            </w:r>
          </w:p>
        </w:tc>
      </w:tr>
      <w:tr>
        <w:trPr/>
        <w:tc>
          <w:tcPr>
            <w:tcW w:w="137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8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57" w:type="dxa"/>
            <w:tcBorders/>
            <w:shd w:fill="FFFFFF" w:val="clear"/>
            <w:vAlign w:val="center"/>
          </w:tcPr>
          <w:p>
            <w:pPr>
              <w:pStyle w:val="TableContents"/>
              <w:spacing w:before="0" w:after="0"/>
              <w:ind w:left="0" w:right="0" w:hanging="0"/>
              <w:rPr/>
            </w:pPr>
            <w:r>
              <w:rPr/>
              <w:t> </w:t>
            </w:r>
          </w:p>
        </w:tc>
        <w:tc>
          <w:tcPr>
            <w:tcW w:w="71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6" w:type="dxa"/>
            <w:tcBorders/>
            <w:shd w:fill="FFFFFF" w:val="clear"/>
            <w:vAlign w:val="center"/>
          </w:tcPr>
          <w:p>
            <w:pPr>
              <w:pStyle w:val="TableContents"/>
              <w:spacing w:before="0" w:after="0"/>
              <w:ind w:left="0" w:right="0" w:hanging="0"/>
              <w:rPr/>
            </w:pPr>
            <w:r>
              <w:rPr/>
              <w:t> </w:t>
            </w:r>
          </w:p>
        </w:tc>
        <w:tc>
          <w:tcPr>
            <w:tcW w:w="669"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137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Corporate and other bonds industrial and miscellaneous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56,910,104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85" w:type="dxa"/>
            <w:tcBorders/>
            <w:shd w:fill="CCEEFF" w:val="clear"/>
            <w:vAlign w:val="center"/>
          </w:tcPr>
          <w:p>
            <w:pPr>
              <w:pStyle w:val="TableContents"/>
              <w:spacing w:before="0" w:after="283"/>
              <w:jc w:val="right"/>
              <w:rPr/>
            </w:pPr>
            <w:r>
              <w:rPr/>
              <w:t>(5,796,994</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57" w:type="dxa"/>
            <w:tcBorders/>
            <w:shd w:fill="CCEEFF" w:val="clear"/>
            <w:vAlign w:val="center"/>
          </w:tcPr>
          <w:p>
            <w:pPr>
              <w:pStyle w:val="TableContents"/>
              <w:spacing w:before="0" w:after="0"/>
              <w:ind w:left="0" w:right="0" w:hanging="0"/>
              <w:rPr/>
            </w:pPr>
            <w:r>
              <w:rPr/>
              <w:t> </w:t>
            </w:r>
          </w:p>
        </w:tc>
        <w:tc>
          <w:tcPr>
            <w:tcW w:w="718" w:type="dxa"/>
            <w:tcBorders/>
            <w:shd w:fill="CCEEFF" w:val="clear"/>
            <w:vAlign w:val="center"/>
          </w:tcPr>
          <w:p>
            <w:pPr>
              <w:pStyle w:val="TableContents"/>
              <w:spacing w:before="0" w:after="283"/>
              <w:jc w:val="right"/>
              <w:rPr/>
            </w:pPr>
            <w:r>
              <w:rPr/>
              <w:t>75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15,172,381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(2,458,985</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206" w:type="dxa"/>
            <w:tcBorders/>
            <w:shd w:fill="CCEEFF" w:val="clear"/>
            <w:vAlign w:val="center"/>
          </w:tcPr>
          <w:p>
            <w:pPr>
              <w:pStyle w:val="TableContents"/>
              <w:spacing w:before="0" w:after="0"/>
              <w:ind w:left="0" w:right="0" w:hanging="0"/>
              <w:rPr/>
            </w:pPr>
            <w:r>
              <w:rPr/>
              <w:t> </w:t>
            </w:r>
          </w:p>
        </w:tc>
        <w:tc>
          <w:tcPr>
            <w:tcW w:w="669" w:type="dxa"/>
            <w:tcBorders/>
            <w:shd w:fill="CCEEFF" w:val="clear"/>
            <w:vAlign w:val="center"/>
          </w:tcPr>
          <w:p>
            <w:pPr>
              <w:pStyle w:val="TableContents"/>
              <w:spacing w:before="0" w:after="283"/>
              <w:jc w:val="right"/>
              <w:rPr/>
            </w:pPr>
            <w:r>
              <w:rPr/>
              <w:t>15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72,082,485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(8,255,979</w:t>
            </w:r>
          </w:p>
        </w:tc>
        <w:tc>
          <w:tcPr>
            <w:tcW w:w="170" w:type="dxa"/>
            <w:tcBorders/>
            <w:shd w:fill="CCEEFF" w:val="clear"/>
            <w:vAlign w:val="center"/>
          </w:tcPr>
          <w:p>
            <w:pPr>
              <w:pStyle w:val="TableContents"/>
              <w:spacing w:before="0" w:after="283"/>
              <w:rPr/>
            </w:pPr>
            <w:r>
              <w:rPr/>
              <w:t>)</w:t>
            </w:r>
          </w:p>
        </w:tc>
      </w:tr>
      <w:tr>
        <w:trPr/>
        <w:tc>
          <w:tcPr>
            <w:tcW w:w="137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8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57" w:type="dxa"/>
            <w:tcBorders/>
            <w:shd w:fill="FFFFFF" w:val="clear"/>
            <w:vAlign w:val="center"/>
          </w:tcPr>
          <w:p>
            <w:pPr>
              <w:pStyle w:val="TableContents"/>
              <w:spacing w:before="0" w:after="0"/>
              <w:ind w:left="0" w:right="0" w:hanging="0"/>
              <w:rPr/>
            </w:pPr>
            <w:r>
              <w:rPr/>
              <w:t> </w:t>
            </w:r>
          </w:p>
        </w:tc>
        <w:tc>
          <w:tcPr>
            <w:tcW w:w="71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6" w:type="dxa"/>
            <w:tcBorders/>
            <w:shd w:fill="FFFFFF" w:val="clear"/>
            <w:vAlign w:val="center"/>
          </w:tcPr>
          <w:p>
            <w:pPr>
              <w:pStyle w:val="TableContents"/>
              <w:spacing w:before="0" w:after="0"/>
              <w:ind w:left="0" w:right="0" w:hanging="0"/>
              <w:rPr/>
            </w:pPr>
            <w:r>
              <w:rPr/>
              <w:t> </w:t>
            </w:r>
          </w:p>
        </w:tc>
        <w:tc>
          <w:tcPr>
            <w:tcW w:w="669"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137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Residential mortgage and other asset backed securities</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CCEEFF" w:val="clear"/>
            <w:tcMar>
              <w:bottom w:w="28" w:type="dxa"/>
            </w:tcMar>
            <w:vAlign w:val="center"/>
          </w:tcPr>
          <w:p>
            <w:pPr>
              <w:pStyle w:val="TableContents"/>
              <w:spacing w:before="0" w:after="283"/>
              <w:jc w:val="right"/>
              <w:rPr/>
            </w:pPr>
            <w:r>
              <w:rPr/>
              <w:t>10,145,880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85" w:type="dxa"/>
            <w:tcBorders>
              <w:bottom w:val="single" w:sz="2" w:space="0" w:color="000000"/>
            </w:tcBorders>
            <w:shd w:fill="CCEEFF" w:val="clear"/>
            <w:tcMar>
              <w:bottom w:w="28" w:type="dxa"/>
            </w:tcMar>
            <w:vAlign w:val="center"/>
          </w:tcPr>
          <w:p>
            <w:pPr>
              <w:pStyle w:val="TableContents"/>
              <w:spacing w:before="0" w:after="283"/>
              <w:jc w:val="right"/>
              <w:rPr/>
            </w:pPr>
            <w:r>
              <w:rPr/>
              <w:t>(882,664</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5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18" w:type="dxa"/>
            <w:tcBorders>
              <w:bottom w:val="single" w:sz="2" w:space="0" w:color="000000"/>
            </w:tcBorders>
            <w:shd w:fill="CCEEFF" w:val="clear"/>
            <w:tcMar>
              <w:bottom w:w="28" w:type="dxa"/>
            </w:tcMar>
            <w:vAlign w:val="center"/>
          </w:tcPr>
          <w:p>
            <w:pPr>
              <w:pStyle w:val="TableContents"/>
              <w:spacing w:before="0" w:after="283"/>
              <w:jc w:val="right"/>
              <w:rPr/>
            </w:pPr>
            <w:r>
              <w:rPr/>
              <w:t>22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CCEEFF" w:val="clear"/>
            <w:tcMar>
              <w:bottom w:w="28" w:type="dxa"/>
            </w:tcMar>
            <w:vAlign w:val="center"/>
          </w:tcPr>
          <w:p>
            <w:pPr>
              <w:pStyle w:val="TableContents"/>
              <w:spacing w:before="0" w:after="283"/>
              <w:jc w:val="right"/>
              <w:rPr/>
            </w:pPr>
            <w:r>
              <w:rPr/>
              <w:t>34,753,178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CCEEFF" w:val="clear"/>
            <w:tcMar>
              <w:bottom w:w="28" w:type="dxa"/>
            </w:tcMar>
            <w:vAlign w:val="center"/>
          </w:tcPr>
          <w:p>
            <w:pPr>
              <w:pStyle w:val="TableContents"/>
              <w:spacing w:before="0" w:after="283"/>
              <w:jc w:val="right"/>
              <w:rPr/>
            </w:pPr>
            <w:r>
              <w:rPr/>
              <w:t>(7,150,803</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20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69" w:type="dxa"/>
            <w:tcBorders>
              <w:bottom w:val="single" w:sz="2" w:space="0" w:color="000000"/>
            </w:tcBorders>
            <w:shd w:fill="CCEEFF" w:val="clear"/>
            <w:tcMar>
              <w:bottom w:w="28" w:type="dxa"/>
            </w:tcMar>
            <w:vAlign w:val="center"/>
          </w:tcPr>
          <w:p>
            <w:pPr>
              <w:pStyle w:val="TableContents"/>
              <w:spacing w:before="0" w:after="283"/>
              <w:jc w:val="right"/>
              <w:rPr/>
            </w:pPr>
            <w:r>
              <w:rPr/>
              <w:t>26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44,899,058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CCEEFF" w:val="clear"/>
            <w:tcMar>
              <w:bottom w:w="28" w:type="dxa"/>
            </w:tcMar>
            <w:vAlign w:val="center"/>
          </w:tcPr>
          <w:p>
            <w:pPr>
              <w:pStyle w:val="TableContents"/>
              <w:spacing w:before="0" w:after="283"/>
              <w:jc w:val="right"/>
              <w:rPr/>
            </w:pPr>
            <w:r>
              <w:rPr/>
              <w:t>(8,033,467</w:t>
            </w:r>
          </w:p>
        </w:tc>
        <w:tc>
          <w:tcPr>
            <w:tcW w:w="170" w:type="dxa"/>
            <w:tcBorders/>
            <w:shd w:fill="CCEEFF" w:val="clear"/>
            <w:vAlign w:val="center"/>
          </w:tcPr>
          <w:p>
            <w:pPr>
              <w:pStyle w:val="TableContents"/>
              <w:spacing w:before="0" w:after="283"/>
              <w:rPr/>
            </w:pPr>
            <w:r>
              <w:rPr/>
              <w:t>)</w:t>
            </w:r>
          </w:p>
        </w:tc>
      </w:tr>
      <w:tr>
        <w:trPr/>
        <w:tc>
          <w:tcPr>
            <w:tcW w:w="137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8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57" w:type="dxa"/>
            <w:tcBorders/>
            <w:shd w:fill="FFFFFF" w:val="clear"/>
            <w:vAlign w:val="center"/>
          </w:tcPr>
          <w:p>
            <w:pPr>
              <w:pStyle w:val="TableContents"/>
              <w:spacing w:before="0" w:after="0"/>
              <w:ind w:left="0" w:right="0" w:hanging="0"/>
              <w:rPr/>
            </w:pPr>
            <w:r>
              <w:rPr/>
              <w:t> </w:t>
            </w:r>
          </w:p>
        </w:tc>
        <w:tc>
          <w:tcPr>
            <w:tcW w:w="71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6" w:type="dxa"/>
            <w:tcBorders/>
            <w:shd w:fill="FFFFFF" w:val="clear"/>
            <w:vAlign w:val="center"/>
          </w:tcPr>
          <w:p>
            <w:pPr>
              <w:pStyle w:val="TableContents"/>
              <w:spacing w:before="0" w:after="0"/>
              <w:ind w:left="0" w:right="0" w:hanging="0"/>
              <w:rPr/>
            </w:pPr>
            <w:r>
              <w:rPr/>
              <w:t> </w:t>
            </w:r>
          </w:p>
        </w:tc>
        <w:tc>
          <w:tcPr>
            <w:tcW w:w="669"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137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Total fixed-maturity securities</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130" w:type="dxa"/>
            <w:tcBorders>
              <w:bottom w:val="double" w:sz="6" w:space="0" w:color="000000"/>
            </w:tcBorders>
            <w:shd w:fill="CCEEFF" w:val="clear"/>
            <w:tcMar>
              <w:bottom w:w="28" w:type="dxa"/>
            </w:tcMar>
            <w:vAlign w:val="center"/>
          </w:tcPr>
          <w:p>
            <w:pPr>
              <w:pStyle w:val="TableContents"/>
              <w:spacing w:before="0" w:after="283"/>
              <w:jc w:val="right"/>
              <w:rPr/>
            </w:pPr>
            <w:r>
              <w:rPr/>
              <w:t>93,944,813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085" w:type="dxa"/>
            <w:tcBorders>
              <w:bottom w:val="double" w:sz="6" w:space="0" w:color="000000"/>
            </w:tcBorders>
            <w:shd w:fill="CCEEFF" w:val="clear"/>
            <w:tcMar>
              <w:bottom w:w="28" w:type="dxa"/>
            </w:tcMar>
            <w:vAlign w:val="center"/>
          </w:tcPr>
          <w:p>
            <w:pPr>
              <w:pStyle w:val="TableContents"/>
              <w:spacing w:before="0" w:after="283"/>
              <w:jc w:val="right"/>
              <w:rPr/>
            </w:pPr>
            <w:r>
              <w:rPr/>
              <w:t>(8,881,859</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57"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718" w:type="dxa"/>
            <w:tcBorders>
              <w:bottom w:val="double" w:sz="6" w:space="0" w:color="000000"/>
            </w:tcBorders>
            <w:shd w:fill="CCEEFF" w:val="clear"/>
            <w:tcMar>
              <w:bottom w:w="28" w:type="dxa"/>
            </w:tcMar>
            <w:vAlign w:val="center"/>
          </w:tcPr>
          <w:p>
            <w:pPr>
              <w:pStyle w:val="TableContents"/>
              <w:spacing w:before="0" w:after="283"/>
              <w:jc w:val="right"/>
              <w:rPr/>
            </w:pPr>
            <w:r>
              <w:rPr/>
              <w:t>109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130" w:type="dxa"/>
            <w:tcBorders>
              <w:bottom w:val="double" w:sz="6" w:space="0" w:color="000000"/>
            </w:tcBorders>
            <w:shd w:fill="CCEEFF" w:val="clear"/>
            <w:tcMar>
              <w:bottom w:w="28" w:type="dxa"/>
            </w:tcMar>
            <w:vAlign w:val="center"/>
          </w:tcPr>
          <w:p>
            <w:pPr>
              <w:pStyle w:val="TableContents"/>
              <w:spacing w:before="0" w:after="283"/>
              <w:jc w:val="right"/>
              <w:rPr/>
            </w:pPr>
            <w:r>
              <w:rPr/>
              <w:t>55,096,312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05" w:type="dxa"/>
            <w:tcBorders>
              <w:bottom w:val="double" w:sz="6" w:space="0" w:color="000000"/>
            </w:tcBorders>
            <w:shd w:fill="CCEEFF" w:val="clear"/>
            <w:tcMar>
              <w:bottom w:w="28" w:type="dxa"/>
            </w:tcMar>
            <w:vAlign w:val="center"/>
          </w:tcPr>
          <w:p>
            <w:pPr>
              <w:pStyle w:val="TableContents"/>
              <w:spacing w:before="0" w:after="283"/>
              <w:jc w:val="right"/>
              <w:rPr/>
            </w:pPr>
            <w:r>
              <w:rPr/>
              <w:t>(11,381,282</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206"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669" w:type="dxa"/>
            <w:tcBorders>
              <w:bottom w:val="double" w:sz="6" w:space="0" w:color="000000"/>
            </w:tcBorders>
            <w:shd w:fill="CCEEFF" w:val="clear"/>
            <w:tcMar>
              <w:bottom w:w="28" w:type="dxa"/>
            </w:tcMar>
            <w:vAlign w:val="center"/>
          </w:tcPr>
          <w:p>
            <w:pPr>
              <w:pStyle w:val="TableContents"/>
              <w:spacing w:before="0" w:after="283"/>
              <w:jc w:val="right"/>
              <w:rPr/>
            </w:pPr>
            <w:r>
              <w:rPr/>
              <w:t>46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149,041,125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05" w:type="dxa"/>
            <w:tcBorders>
              <w:bottom w:val="double" w:sz="6" w:space="0" w:color="000000"/>
            </w:tcBorders>
            <w:shd w:fill="CCEEFF" w:val="clear"/>
            <w:tcMar>
              <w:bottom w:w="28" w:type="dxa"/>
            </w:tcMar>
            <w:vAlign w:val="center"/>
          </w:tcPr>
          <w:p>
            <w:pPr>
              <w:pStyle w:val="TableContents"/>
              <w:spacing w:before="0" w:after="283"/>
              <w:jc w:val="right"/>
              <w:rPr/>
            </w:pPr>
            <w:r>
              <w:rPr/>
              <w:t>(20,263,141</w:t>
            </w:r>
          </w:p>
        </w:tc>
        <w:tc>
          <w:tcPr>
            <w:tcW w:w="170" w:type="dxa"/>
            <w:tcBorders/>
            <w:shd w:fill="CCEEFF" w:val="clear"/>
            <w:vAlign w:val="center"/>
          </w:tcPr>
          <w:p>
            <w:pPr>
              <w:pStyle w:val="TableContents"/>
              <w:spacing w:before="0" w:after="283"/>
              <w:rPr/>
            </w:pPr>
            <w:r>
              <w:rPr/>
              <w:t>)</w:t>
            </w:r>
          </w:p>
        </w:tc>
      </w:tr>
    </w:tbl>
    <w:p>
      <w:pPr>
        <w:pStyle w:val="TextBody"/>
        <w:spacing w:before="0" w:after="0"/>
        <w:ind w:left="0" w:right="0" w:hanging="0"/>
        <w:rPr/>
      </w:pPr>
      <w:r>
        <w:rPr/>
        <w:t xml:space="preserve">  </w:t>
      </w:r>
    </w:p>
    <w:tbl>
      <w:tblPr>
        <w:tblW w:w="11715" w:type="dxa"/>
        <w:jc w:val="left"/>
        <w:tblInd w:w="0" w:type="dxa"/>
        <w:tblCellMar>
          <w:top w:w="0" w:type="dxa"/>
          <w:left w:w="0" w:type="dxa"/>
          <w:bottom w:w="0" w:type="dxa"/>
          <w:right w:w="0" w:type="dxa"/>
        </w:tblCellMar>
      </w:tblPr>
      <w:tblGrid>
        <w:gridCol w:w="1370"/>
        <w:gridCol w:w="90"/>
        <w:gridCol w:w="170"/>
        <w:gridCol w:w="1130"/>
        <w:gridCol w:w="90"/>
        <w:gridCol w:w="90"/>
        <w:gridCol w:w="170"/>
        <w:gridCol w:w="905"/>
        <w:gridCol w:w="125"/>
        <w:gridCol w:w="90"/>
        <w:gridCol w:w="206"/>
        <w:gridCol w:w="669"/>
        <w:gridCol w:w="90"/>
        <w:gridCol w:w="90"/>
        <w:gridCol w:w="170"/>
        <w:gridCol w:w="1010"/>
        <w:gridCol w:w="90"/>
        <w:gridCol w:w="90"/>
        <w:gridCol w:w="170"/>
        <w:gridCol w:w="905"/>
        <w:gridCol w:w="125"/>
        <w:gridCol w:w="90"/>
        <w:gridCol w:w="301"/>
        <w:gridCol w:w="574"/>
        <w:gridCol w:w="90"/>
        <w:gridCol w:w="90"/>
        <w:gridCol w:w="170"/>
        <w:gridCol w:w="1130"/>
        <w:gridCol w:w="90"/>
        <w:gridCol w:w="90"/>
        <w:gridCol w:w="170"/>
        <w:gridCol w:w="905"/>
        <w:gridCol w:w="170"/>
      </w:tblGrid>
      <w:tr>
        <w:trPr/>
        <w:tc>
          <w:tcPr>
            <w:tcW w:w="137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85" w:type="dxa"/>
            <w:gridSpan w:val="30"/>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2021</w:t>
            </w:r>
          </w:p>
        </w:tc>
        <w:tc>
          <w:tcPr>
            <w:tcW w:w="170" w:type="dxa"/>
            <w:tcBorders/>
            <w:shd w:fill="auto" w:val="clear"/>
            <w:vAlign w:val="center"/>
          </w:tcPr>
          <w:p>
            <w:pPr>
              <w:pStyle w:val="TableContents"/>
              <w:spacing w:before="0" w:after="0"/>
              <w:ind w:left="0" w:right="0" w:hanging="0"/>
              <w:rPr/>
            </w:pPr>
            <w:r>
              <w:rPr/>
              <w:t> </w:t>
            </w:r>
          </w:p>
        </w:tc>
      </w:tr>
      <w:tr>
        <w:trPr/>
        <w:tc>
          <w:tcPr>
            <w:tcW w:w="137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645" w:type="dxa"/>
            <w:gridSpan w:val="10"/>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Less than 12 months</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525" w:type="dxa"/>
            <w:gridSpan w:val="10"/>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12 months or more</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555"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Total</w:t>
            </w:r>
          </w:p>
        </w:tc>
        <w:tc>
          <w:tcPr>
            <w:tcW w:w="170" w:type="dxa"/>
            <w:tcBorders/>
            <w:shd w:fill="auto" w:val="clear"/>
            <w:vAlign w:val="center"/>
          </w:tcPr>
          <w:p>
            <w:pPr>
              <w:pStyle w:val="TableContents"/>
              <w:spacing w:before="0" w:after="0"/>
              <w:ind w:left="0" w:right="0" w:hanging="0"/>
              <w:rPr/>
            </w:pPr>
            <w:r>
              <w:rPr/>
              <w:t> </w:t>
            </w:r>
          </w:p>
        </w:tc>
      </w:tr>
      <w:tr>
        <w:trPr/>
        <w:tc>
          <w:tcPr>
            <w:tcW w:w="137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Estimated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75"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No. of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Estimated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75"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No. of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Estimated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r>
      <w:tr>
        <w:trPr/>
        <w:tc>
          <w:tcPr>
            <w:tcW w:w="137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Fair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Unrealized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75"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Positions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Fair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Unrealized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75"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Positions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Fair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Unrealized </w:t>
            </w:r>
          </w:p>
        </w:tc>
        <w:tc>
          <w:tcPr>
            <w:tcW w:w="170" w:type="dxa"/>
            <w:tcBorders/>
            <w:shd w:fill="auto" w:val="clear"/>
            <w:vAlign w:val="center"/>
          </w:tcPr>
          <w:p>
            <w:pPr>
              <w:pStyle w:val="TableContents"/>
              <w:spacing w:before="0" w:after="0"/>
              <w:ind w:left="0" w:right="0" w:hanging="0"/>
              <w:rPr/>
            </w:pPr>
            <w:r>
              <w:rPr/>
              <w:t> </w:t>
            </w:r>
          </w:p>
        </w:tc>
      </w:tr>
      <w:tr>
        <w:trPr/>
        <w:tc>
          <w:tcPr>
            <w:tcW w:w="1370"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Fonts w:ascii="times new roman" w:hAnsi="times new roman"/>
                <w:sz w:val="20"/>
              </w:rPr>
              <w:t xml:space="preserve">Category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Value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Losses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Held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Value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Losses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Held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Value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Losses </w:t>
            </w:r>
          </w:p>
        </w:tc>
        <w:tc>
          <w:tcPr>
            <w:tcW w:w="170" w:type="dxa"/>
            <w:tcBorders/>
            <w:shd w:fill="auto" w:val="clear"/>
            <w:vAlign w:val="center"/>
          </w:tcPr>
          <w:p>
            <w:pPr>
              <w:pStyle w:val="TableContents"/>
              <w:spacing w:before="0" w:after="0"/>
              <w:ind w:left="0" w:right="0" w:hanging="0"/>
              <w:rPr/>
            </w:pPr>
            <w:r>
              <w:rPr/>
              <w:t> </w:t>
            </w:r>
          </w:p>
        </w:tc>
      </w:tr>
      <w:tr>
        <w:trPr/>
        <w:tc>
          <w:tcPr>
            <w:tcW w:w="137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75"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75"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r>
      <w:tr>
        <w:trPr/>
        <w:tc>
          <w:tcPr>
            <w:tcW w:w="1370" w:type="dxa"/>
            <w:tcBorders/>
            <w:shd w:fill="auto" w:val="clear"/>
            <w:vAlign w:val="center"/>
          </w:tcPr>
          <w:p>
            <w:pPr>
              <w:pStyle w:val="TableContents"/>
              <w:spacing w:before="0" w:after="0"/>
              <w:ind w:left="0" w:right="0" w:hanging="0"/>
              <w:rPr/>
            </w:pPr>
            <w:r>
              <w:rPr>
                <w:rStyle w:val="StrongEmphasis"/>
                <w:rFonts w:ascii="times new roman" w:hAnsi="times new roman"/>
                <w:sz w:val="20"/>
              </w:rPr>
              <w:t xml:space="preserve">Fixed-Maturity Securities: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75"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75"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r>
      <w:tr>
        <w:trPr/>
        <w:tc>
          <w:tcPr>
            <w:tcW w:w="137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U.S. Treasury securities and obligations of U.S. government corporations and agencies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905"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06" w:type="dxa"/>
            <w:tcBorders/>
            <w:shd w:fill="CCEEFF" w:val="clear"/>
            <w:vAlign w:val="center"/>
          </w:tcPr>
          <w:p>
            <w:pPr>
              <w:pStyle w:val="TableContents"/>
              <w:spacing w:before="0" w:after="0"/>
              <w:ind w:left="0" w:right="0" w:hanging="0"/>
              <w:rPr/>
            </w:pPr>
            <w:r>
              <w:rPr/>
              <w:t> </w:t>
            </w:r>
          </w:p>
        </w:tc>
        <w:tc>
          <w:tcPr>
            <w:tcW w:w="669"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301" w:type="dxa"/>
            <w:tcBorders/>
            <w:shd w:fill="CCEEFF" w:val="clear"/>
            <w:vAlign w:val="center"/>
          </w:tcPr>
          <w:p>
            <w:pPr>
              <w:pStyle w:val="TableContents"/>
              <w:spacing w:before="0" w:after="0"/>
              <w:ind w:left="0" w:right="0" w:hanging="0"/>
              <w:rPr/>
            </w:pPr>
            <w:r>
              <w:rPr/>
              <w:t> </w:t>
            </w:r>
          </w:p>
        </w:tc>
        <w:tc>
          <w:tcPr>
            <w:tcW w:w="574"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905" w:type="dxa"/>
            <w:tcBorders/>
            <w:shd w:fill="CCEEFF" w:val="clear"/>
            <w:vAlign w:val="center"/>
          </w:tcPr>
          <w:p>
            <w:pPr>
              <w:pStyle w:val="TableContents"/>
              <w:spacing w:before="0" w:after="283"/>
              <w:jc w:val="right"/>
              <w:rPr/>
            </w:pPr>
            <w:r>
              <w:rPr/>
              <w:t>-</w:t>
            </w:r>
          </w:p>
        </w:tc>
        <w:tc>
          <w:tcPr>
            <w:tcW w:w="170" w:type="dxa"/>
            <w:tcBorders/>
            <w:shd w:fill="CCEEFF" w:val="clear"/>
            <w:vAlign w:val="center"/>
          </w:tcPr>
          <w:p>
            <w:pPr>
              <w:pStyle w:val="TableContents"/>
              <w:spacing w:before="0" w:after="0"/>
              <w:ind w:left="0" w:right="0" w:hanging="0"/>
              <w:rPr/>
            </w:pPr>
            <w:r>
              <w:rPr/>
              <w:t> </w:t>
            </w:r>
          </w:p>
        </w:tc>
      </w:tr>
      <w:tr>
        <w:trPr/>
        <w:tc>
          <w:tcPr>
            <w:tcW w:w="137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6" w:type="dxa"/>
            <w:tcBorders/>
            <w:shd w:fill="FFFFFF" w:val="clear"/>
            <w:vAlign w:val="center"/>
          </w:tcPr>
          <w:p>
            <w:pPr>
              <w:pStyle w:val="TableContents"/>
              <w:spacing w:before="0" w:after="0"/>
              <w:ind w:left="0" w:right="0" w:hanging="0"/>
              <w:rPr/>
            </w:pPr>
            <w:r>
              <w:rPr/>
              <w:t> </w:t>
            </w:r>
          </w:p>
        </w:tc>
        <w:tc>
          <w:tcPr>
            <w:tcW w:w="669"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301" w:type="dxa"/>
            <w:tcBorders/>
            <w:shd w:fill="FFFFFF" w:val="clear"/>
            <w:vAlign w:val="center"/>
          </w:tcPr>
          <w:p>
            <w:pPr>
              <w:pStyle w:val="TableContents"/>
              <w:spacing w:before="0" w:after="0"/>
              <w:ind w:left="0" w:right="0" w:hanging="0"/>
              <w:rPr/>
            </w:pPr>
            <w:r>
              <w:rPr/>
              <w:t> </w:t>
            </w:r>
          </w:p>
        </w:tc>
        <w:tc>
          <w:tcPr>
            <w:tcW w:w="574"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137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Political subdivisions of States, Territories and Possessions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6,768,123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283"/>
              <w:jc w:val="right"/>
              <w:rPr/>
            </w:pPr>
            <w:r>
              <w:rPr/>
              <w:t>(197,984</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206" w:type="dxa"/>
            <w:tcBorders/>
            <w:shd w:fill="CCEEFF" w:val="clear"/>
            <w:vAlign w:val="center"/>
          </w:tcPr>
          <w:p>
            <w:pPr>
              <w:pStyle w:val="TableContents"/>
              <w:spacing w:before="0" w:after="0"/>
              <w:ind w:left="0" w:right="0" w:hanging="0"/>
              <w:rPr/>
            </w:pPr>
            <w:r>
              <w:rPr/>
              <w:t> </w:t>
            </w:r>
          </w:p>
        </w:tc>
        <w:tc>
          <w:tcPr>
            <w:tcW w:w="669" w:type="dxa"/>
            <w:tcBorders/>
            <w:shd w:fill="CCEEFF" w:val="clear"/>
            <w:vAlign w:val="center"/>
          </w:tcPr>
          <w:p>
            <w:pPr>
              <w:pStyle w:val="TableContents"/>
              <w:spacing w:before="0" w:after="283"/>
              <w:jc w:val="right"/>
              <w:rPr/>
            </w:pPr>
            <w:r>
              <w:rPr/>
              <w:t>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301" w:type="dxa"/>
            <w:tcBorders/>
            <w:shd w:fill="CCEEFF" w:val="clear"/>
            <w:vAlign w:val="center"/>
          </w:tcPr>
          <w:p>
            <w:pPr>
              <w:pStyle w:val="TableContents"/>
              <w:spacing w:before="0" w:after="0"/>
              <w:ind w:left="0" w:right="0" w:hanging="0"/>
              <w:rPr/>
            </w:pPr>
            <w:r>
              <w:rPr/>
              <w:t> </w:t>
            </w:r>
          </w:p>
        </w:tc>
        <w:tc>
          <w:tcPr>
            <w:tcW w:w="574"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6,768,123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283"/>
              <w:jc w:val="right"/>
              <w:rPr/>
            </w:pPr>
            <w:r>
              <w:rPr/>
              <w:t>(197,984</w:t>
            </w:r>
          </w:p>
        </w:tc>
        <w:tc>
          <w:tcPr>
            <w:tcW w:w="170" w:type="dxa"/>
            <w:tcBorders/>
            <w:shd w:fill="CCEEFF" w:val="clear"/>
            <w:vAlign w:val="center"/>
          </w:tcPr>
          <w:p>
            <w:pPr>
              <w:pStyle w:val="TableContents"/>
              <w:spacing w:before="0" w:after="283"/>
              <w:rPr/>
            </w:pPr>
            <w:r>
              <w:rPr/>
              <w:t>)</w:t>
            </w:r>
          </w:p>
        </w:tc>
      </w:tr>
      <w:tr>
        <w:trPr/>
        <w:tc>
          <w:tcPr>
            <w:tcW w:w="137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6" w:type="dxa"/>
            <w:tcBorders/>
            <w:shd w:fill="FFFFFF" w:val="clear"/>
            <w:vAlign w:val="center"/>
          </w:tcPr>
          <w:p>
            <w:pPr>
              <w:pStyle w:val="TableContents"/>
              <w:spacing w:before="0" w:after="0"/>
              <w:ind w:left="0" w:right="0" w:hanging="0"/>
              <w:rPr/>
            </w:pPr>
            <w:r>
              <w:rPr/>
              <w:t> </w:t>
            </w:r>
          </w:p>
        </w:tc>
        <w:tc>
          <w:tcPr>
            <w:tcW w:w="669"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301" w:type="dxa"/>
            <w:tcBorders/>
            <w:shd w:fill="FFFFFF" w:val="clear"/>
            <w:vAlign w:val="center"/>
          </w:tcPr>
          <w:p>
            <w:pPr>
              <w:pStyle w:val="TableContents"/>
              <w:spacing w:before="0" w:after="0"/>
              <w:ind w:left="0" w:right="0" w:hanging="0"/>
              <w:rPr/>
            </w:pPr>
            <w:r>
              <w:rPr/>
              <w:t> </w:t>
            </w:r>
          </w:p>
        </w:tc>
        <w:tc>
          <w:tcPr>
            <w:tcW w:w="574"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137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Corporate and other bonds industrial and miscellaneous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17,593,707</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283"/>
              <w:jc w:val="right"/>
              <w:rPr/>
            </w:pPr>
            <w:r>
              <w:rPr/>
              <w:t>(126,926</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206" w:type="dxa"/>
            <w:tcBorders/>
            <w:shd w:fill="CCEEFF" w:val="clear"/>
            <w:vAlign w:val="center"/>
          </w:tcPr>
          <w:p>
            <w:pPr>
              <w:pStyle w:val="TableContents"/>
              <w:spacing w:before="0" w:after="0"/>
              <w:ind w:left="0" w:right="0" w:hanging="0"/>
              <w:rPr/>
            </w:pPr>
            <w:r>
              <w:rPr/>
              <w:t> </w:t>
            </w:r>
          </w:p>
        </w:tc>
        <w:tc>
          <w:tcPr>
            <w:tcW w:w="669" w:type="dxa"/>
            <w:tcBorders/>
            <w:shd w:fill="CCEEFF" w:val="clear"/>
            <w:vAlign w:val="center"/>
          </w:tcPr>
          <w:p>
            <w:pPr>
              <w:pStyle w:val="TableContents"/>
              <w:spacing w:before="0" w:after="283"/>
              <w:jc w:val="right"/>
              <w:rPr/>
            </w:pPr>
            <w:r>
              <w:rPr/>
              <w:t>15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301" w:type="dxa"/>
            <w:tcBorders/>
            <w:shd w:fill="CCEEFF" w:val="clear"/>
            <w:vAlign w:val="center"/>
          </w:tcPr>
          <w:p>
            <w:pPr>
              <w:pStyle w:val="TableContents"/>
              <w:spacing w:before="0" w:after="0"/>
              <w:ind w:left="0" w:right="0" w:hanging="0"/>
              <w:rPr/>
            </w:pPr>
            <w:r>
              <w:rPr/>
              <w:t> </w:t>
            </w:r>
          </w:p>
        </w:tc>
        <w:tc>
          <w:tcPr>
            <w:tcW w:w="574"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17,593,707</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283"/>
              <w:jc w:val="right"/>
              <w:rPr/>
            </w:pPr>
            <w:r>
              <w:rPr/>
              <w:t>(126,926</w:t>
            </w:r>
          </w:p>
        </w:tc>
        <w:tc>
          <w:tcPr>
            <w:tcW w:w="170" w:type="dxa"/>
            <w:tcBorders/>
            <w:shd w:fill="CCEEFF" w:val="clear"/>
            <w:vAlign w:val="center"/>
          </w:tcPr>
          <w:p>
            <w:pPr>
              <w:pStyle w:val="TableContents"/>
              <w:spacing w:before="0" w:after="283"/>
              <w:rPr/>
            </w:pPr>
            <w:r>
              <w:rPr/>
              <w:t>)</w:t>
            </w:r>
          </w:p>
        </w:tc>
      </w:tr>
      <w:tr>
        <w:trPr/>
        <w:tc>
          <w:tcPr>
            <w:tcW w:w="137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6" w:type="dxa"/>
            <w:tcBorders/>
            <w:shd w:fill="FFFFFF" w:val="clear"/>
            <w:vAlign w:val="center"/>
          </w:tcPr>
          <w:p>
            <w:pPr>
              <w:pStyle w:val="TableContents"/>
              <w:spacing w:before="0" w:after="0"/>
              <w:ind w:left="0" w:right="0" w:hanging="0"/>
              <w:rPr/>
            </w:pPr>
            <w:r>
              <w:rPr/>
              <w:t> </w:t>
            </w:r>
          </w:p>
        </w:tc>
        <w:tc>
          <w:tcPr>
            <w:tcW w:w="669"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301" w:type="dxa"/>
            <w:tcBorders/>
            <w:shd w:fill="FFFFFF" w:val="clear"/>
            <w:vAlign w:val="center"/>
          </w:tcPr>
          <w:p>
            <w:pPr>
              <w:pStyle w:val="TableContents"/>
              <w:spacing w:before="0" w:after="0"/>
              <w:ind w:left="0" w:right="0" w:hanging="0"/>
              <w:rPr/>
            </w:pPr>
            <w:r>
              <w:rPr/>
              <w:t> </w:t>
            </w:r>
          </w:p>
        </w:tc>
        <w:tc>
          <w:tcPr>
            <w:tcW w:w="574"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137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Residential mortgage and other asset backed securities</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CCEEFF" w:val="clear"/>
            <w:tcMar>
              <w:bottom w:w="28" w:type="dxa"/>
            </w:tcMar>
            <w:vAlign w:val="center"/>
          </w:tcPr>
          <w:p>
            <w:pPr>
              <w:pStyle w:val="TableContents"/>
              <w:spacing w:before="0" w:after="283"/>
              <w:jc w:val="right"/>
              <w:rPr/>
            </w:pPr>
            <w:r>
              <w:rPr/>
              <w:t>45,399,451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05" w:type="dxa"/>
            <w:tcBorders>
              <w:bottom w:val="single" w:sz="2" w:space="0" w:color="000000"/>
            </w:tcBorders>
            <w:shd w:fill="CCEEFF" w:val="clear"/>
            <w:tcMar>
              <w:bottom w:w="28" w:type="dxa"/>
            </w:tcMar>
            <w:vAlign w:val="center"/>
          </w:tcPr>
          <w:p>
            <w:pPr>
              <w:pStyle w:val="TableContents"/>
              <w:spacing w:before="0" w:after="283"/>
              <w:jc w:val="right"/>
              <w:rPr/>
            </w:pPr>
            <w:r>
              <w:rPr/>
              <w:t>(489,258</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20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69" w:type="dxa"/>
            <w:tcBorders>
              <w:bottom w:val="single" w:sz="2" w:space="0" w:color="000000"/>
            </w:tcBorders>
            <w:shd w:fill="CCEEFF" w:val="clear"/>
            <w:tcMar>
              <w:bottom w:w="28" w:type="dxa"/>
            </w:tcMar>
            <w:vAlign w:val="center"/>
          </w:tcPr>
          <w:p>
            <w:pPr>
              <w:pStyle w:val="TableContents"/>
              <w:spacing w:before="0" w:after="283"/>
              <w:jc w:val="right"/>
              <w:rPr/>
            </w:pPr>
            <w:r>
              <w:rPr/>
              <w:t>26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2,923,182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05" w:type="dxa"/>
            <w:tcBorders>
              <w:bottom w:val="single" w:sz="2" w:space="0" w:color="000000"/>
            </w:tcBorders>
            <w:shd w:fill="CCEEFF" w:val="clear"/>
            <w:tcMar>
              <w:bottom w:w="28" w:type="dxa"/>
            </w:tcMar>
            <w:vAlign w:val="center"/>
          </w:tcPr>
          <w:p>
            <w:pPr>
              <w:pStyle w:val="TableContents"/>
              <w:spacing w:before="0" w:after="283"/>
              <w:jc w:val="right"/>
              <w:rPr/>
            </w:pPr>
            <w:r>
              <w:rPr/>
              <w:t>(120,344</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30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74" w:type="dxa"/>
            <w:tcBorders>
              <w:bottom w:val="single" w:sz="2" w:space="0" w:color="000000"/>
            </w:tcBorders>
            <w:shd w:fill="CCEEFF" w:val="clear"/>
            <w:tcMar>
              <w:bottom w:w="28" w:type="dxa"/>
            </w:tcMar>
            <w:vAlign w:val="center"/>
          </w:tcPr>
          <w:p>
            <w:pPr>
              <w:pStyle w:val="TableContents"/>
              <w:spacing w:before="0" w:after="283"/>
              <w:jc w:val="right"/>
              <w:rPr/>
            </w:pPr>
            <w:r>
              <w:rPr/>
              <w:t>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CCEEFF" w:val="clear"/>
            <w:tcMar>
              <w:bottom w:w="28" w:type="dxa"/>
            </w:tcMar>
            <w:vAlign w:val="center"/>
          </w:tcPr>
          <w:p>
            <w:pPr>
              <w:pStyle w:val="TableContents"/>
              <w:spacing w:before="0" w:after="283"/>
              <w:jc w:val="right"/>
              <w:rPr/>
            </w:pPr>
            <w:r>
              <w:rPr/>
              <w:t>48,322,633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05" w:type="dxa"/>
            <w:tcBorders>
              <w:bottom w:val="single" w:sz="2" w:space="0" w:color="000000"/>
            </w:tcBorders>
            <w:shd w:fill="CCEEFF" w:val="clear"/>
            <w:tcMar>
              <w:bottom w:w="28" w:type="dxa"/>
            </w:tcMar>
            <w:vAlign w:val="center"/>
          </w:tcPr>
          <w:p>
            <w:pPr>
              <w:pStyle w:val="TableContents"/>
              <w:spacing w:before="0" w:after="283"/>
              <w:jc w:val="right"/>
              <w:rPr/>
            </w:pPr>
            <w:r>
              <w:rPr/>
              <w:t>(609,602</w:t>
            </w:r>
          </w:p>
        </w:tc>
        <w:tc>
          <w:tcPr>
            <w:tcW w:w="170" w:type="dxa"/>
            <w:tcBorders/>
            <w:shd w:fill="CCEEFF" w:val="clear"/>
            <w:vAlign w:val="center"/>
          </w:tcPr>
          <w:p>
            <w:pPr>
              <w:pStyle w:val="TableContents"/>
              <w:spacing w:before="0" w:after="283"/>
              <w:rPr/>
            </w:pPr>
            <w:r>
              <w:rPr/>
              <w:t>)</w:t>
            </w:r>
          </w:p>
        </w:tc>
      </w:tr>
      <w:tr>
        <w:trPr/>
        <w:tc>
          <w:tcPr>
            <w:tcW w:w="137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06" w:type="dxa"/>
            <w:tcBorders/>
            <w:shd w:fill="FFFFFF" w:val="clear"/>
            <w:vAlign w:val="center"/>
          </w:tcPr>
          <w:p>
            <w:pPr>
              <w:pStyle w:val="TableContents"/>
              <w:spacing w:before="0" w:after="0"/>
              <w:ind w:left="0" w:right="0" w:hanging="0"/>
              <w:rPr/>
            </w:pPr>
            <w:r>
              <w:rPr/>
              <w:t> </w:t>
            </w:r>
          </w:p>
        </w:tc>
        <w:tc>
          <w:tcPr>
            <w:tcW w:w="669"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301" w:type="dxa"/>
            <w:tcBorders/>
            <w:shd w:fill="FFFFFF" w:val="clear"/>
            <w:vAlign w:val="center"/>
          </w:tcPr>
          <w:p>
            <w:pPr>
              <w:pStyle w:val="TableContents"/>
              <w:spacing w:before="0" w:after="0"/>
              <w:ind w:left="0" w:right="0" w:hanging="0"/>
              <w:rPr/>
            </w:pPr>
            <w:r>
              <w:rPr/>
              <w:t> </w:t>
            </w:r>
          </w:p>
        </w:tc>
        <w:tc>
          <w:tcPr>
            <w:tcW w:w="574"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137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Total fixed-maturity securities</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130" w:type="dxa"/>
            <w:tcBorders>
              <w:bottom w:val="double" w:sz="6" w:space="0" w:color="000000"/>
            </w:tcBorders>
            <w:shd w:fill="CCEEFF" w:val="clear"/>
            <w:tcMar>
              <w:bottom w:w="28" w:type="dxa"/>
            </w:tcMar>
            <w:vAlign w:val="center"/>
          </w:tcPr>
          <w:p>
            <w:pPr>
              <w:pStyle w:val="TableContents"/>
              <w:spacing w:before="0" w:after="283"/>
              <w:jc w:val="right"/>
              <w:rPr/>
            </w:pPr>
            <w:r>
              <w:rPr/>
              <w:t>69,761,281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905" w:type="dxa"/>
            <w:tcBorders>
              <w:bottom w:val="double" w:sz="6" w:space="0" w:color="000000"/>
            </w:tcBorders>
            <w:shd w:fill="CCEEFF" w:val="clear"/>
            <w:tcMar>
              <w:bottom w:w="28" w:type="dxa"/>
            </w:tcMar>
            <w:vAlign w:val="center"/>
          </w:tcPr>
          <w:p>
            <w:pPr>
              <w:pStyle w:val="TableContents"/>
              <w:spacing w:before="0" w:after="283"/>
              <w:jc w:val="right"/>
              <w:rPr/>
            </w:pPr>
            <w:r>
              <w:rPr/>
              <w:t>(814,168</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206"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669" w:type="dxa"/>
            <w:tcBorders>
              <w:bottom w:val="double" w:sz="6" w:space="0" w:color="000000"/>
            </w:tcBorders>
            <w:shd w:fill="CCEEFF" w:val="clear"/>
            <w:tcMar>
              <w:bottom w:w="28" w:type="dxa"/>
            </w:tcMar>
            <w:vAlign w:val="center"/>
          </w:tcPr>
          <w:p>
            <w:pPr>
              <w:pStyle w:val="TableContents"/>
              <w:spacing w:before="0" w:after="283"/>
              <w:jc w:val="right"/>
              <w:rPr/>
            </w:pPr>
            <w:r>
              <w:rPr/>
              <w:t>46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6" w:space="0" w:color="000000"/>
            </w:tcBorders>
            <w:shd w:fill="CCEEFF" w:val="clear"/>
            <w:tcMar>
              <w:bottom w:w="28" w:type="dxa"/>
            </w:tcMar>
            <w:vAlign w:val="center"/>
          </w:tcPr>
          <w:p>
            <w:pPr>
              <w:pStyle w:val="TableContents"/>
              <w:spacing w:before="0" w:after="283"/>
              <w:jc w:val="right"/>
              <w:rPr/>
            </w:pPr>
            <w:r>
              <w:rPr/>
              <w:t>2,923,182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905" w:type="dxa"/>
            <w:tcBorders>
              <w:bottom w:val="double" w:sz="6" w:space="0" w:color="000000"/>
            </w:tcBorders>
            <w:shd w:fill="CCEEFF" w:val="clear"/>
            <w:tcMar>
              <w:bottom w:w="28" w:type="dxa"/>
            </w:tcMar>
            <w:vAlign w:val="center"/>
          </w:tcPr>
          <w:p>
            <w:pPr>
              <w:pStyle w:val="TableContents"/>
              <w:spacing w:before="0" w:after="283"/>
              <w:jc w:val="right"/>
              <w:rPr/>
            </w:pPr>
            <w:r>
              <w:rPr/>
              <w:t>(120,344</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301"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574" w:type="dxa"/>
            <w:tcBorders>
              <w:bottom w:val="double" w:sz="6" w:space="0" w:color="000000"/>
            </w:tcBorders>
            <w:shd w:fill="CCEEFF" w:val="clear"/>
            <w:tcMar>
              <w:bottom w:w="28" w:type="dxa"/>
            </w:tcMar>
            <w:vAlign w:val="center"/>
          </w:tcPr>
          <w:p>
            <w:pPr>
              <w:pStyle w:val="TableContents"/>
              <w:spacing w:before="0" w:after="283"/>
              <w:jc w:val="right"/>
              <w:rPr/>
            </w:pPr>
            <w:r>
              <w:rPr/>
              <w:t>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130" w:type="dxa"/>
            <w:tcBorders>
              <w:bottom w:val="double" w:sz="6" w:space="0" w:color="000000"/>
            </w:tcBorders>
            <w:shd w:fill="CCEEFF" w:val="clear"/>
            <w:tcMar>
              <w:bottom w:w="28" w:type="dxa"/>
            </w:tcMar>
            <w:vAlign w:val="center"/>
          </w:tcPr>
          <w:p>
            <w:pPr>
              <w:pStyle w:val="TableContents"/>
              <w:spacing w:before="0" w:after="283"/>
              <w:jc w:val="right"/>
              <w:rPr/>
            </w:pPr>
            <w:r>
              <w:rPr/>
              <w:t>72,684,463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905" w:type="dxa"/>
            <w:tcBorders>
              <w:bottom w:val="double" w:sz="6" w:space="0" w:color="000000"/>
            </w:tcBorders>
            <w:shd w:fill="CCEEFF" w:val="clear"/>
            <w:tcMar>
              <w:bottom w:w="28" w:type="dxa"/>
            </w:tcMar>
            <w:vAlign w:val="center"/>
          </w:tcPr>
          <w:p>
            <w:pPr>
              <w:pStyle w:val="TableContents"/>
              <w:spacing w:before="0" w:after="283"/>
              <w:jc w:val="right"/>
              <w:rPr/>
            </w:pPr>
            <w:r>
              <w:rPr/>
              <w:t>(934,512</w:t>
            </w:r>
          </w:p>
        </w:tc>
        <w:tc>
          <w:tcPr>
            <w:tcW w:w="170" w:type="dxa"/>
            <w:tcBorders/>
            <w:shd w:fill="CCEEFF" w:val="clear"/>
            <w:vAlign w:val="center"/>
          </w:tcPr>
          <w:p>
            <w:pPr>
              <w:pStyle w:val="TableContents"/>
              <w:spacing w:before="0" w:after="283"/>
              <w:rPr/>
            </w:pPr>
            <w:r>
              <w:rPr/>
              <w:t>)</w:t>
            </w:r>
          </w:p>
        </w:tc>
      </w:tr>
    </w:tbl>
    <w:p>
      <w:pPr>
        <w:pStyle w:val="TextBody"/>
        <w:spacing w:before="0" w:after="0"/>
        <w:ind w:left="0" w:right="0" w:hanging="0"/>
        <w:rPr/>
      </w:pPr>
      <w:r>
        <w:rPr/>
        <w:t xml:space="preserve">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52</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xml:space="preserve">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There were 155 securities at December 31, 2022 that accounted for the gross unrealized loss of our fixed-maturity securities available-for-sale, none of which were deemed by us to be other than temporarily impaired. There were 48 securities at December 31, 2021 that accounted for the gross unrealized loss of our fixed-maturity securities available-for-sale, none of which were deemed by us to be other than temporarily impaired. Significant factors influencing our determination that unrealized losses were temporary included credit quality considerations, the magnitude of the unrealized losses in relation to each security’s cost, the nature of the investment and interest rate environment factors, management’s intent not to sell these securities and it being not more likely than not that we will be required to sell these investments before anticipated recovery of fair value to our cost basis. </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Liquidity and Capital Resources</w:t>
      </w:r>
      <w:r>
        <w:rPr>
          <w:rFonts w:ascii="times new roman" w:hAnsi="times new roman"/>
          <w:sz w:val="20"/>
        </w:rPr>
        <w:t xml:space="preserve"> </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 xml:space="preserve">Cash Flows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primary sources of cash flow are from our insurance underwriting subsidiary, KICO, and include direct premiums written, ceding commissions from our quota share reinsurers, loss recovery payments from our reinsurers, investment income and proceeds from the sale or maturity of investments. Funds are used by KICO for ceded premium payments to reinsurers, which are paid on a net basis after subtracting losses paid on reinsured claims and reinsurance commissions. KICO also uses funds for loss payments and loss adjustment expenses on our net business, commissions to producers, salaries and other underwriting expenses as well as to purchase investments and fixed assets.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For the year ended December 31, 2022, the primary source of cash flow for our holding company was the dividends received from KICO, subject to statutory restrictions. For the year ended December 31, 2022, KICO paid dividends of $5,250,000 to us. On October 27, 2022, KICO entered a sale-leaseback transaction whereby KICO sold substantially all its information technology assets for approximately $8,100,000. Subsequent to the closing of the sale-leaseback transaction, KICO paid a dividend of $3,000,000 to us. In addition, on October 17, 2022 we entered into a seven year loan agreement with KICO with regard to a loan from KICO to us in the amount of $6,450,000. As of December 31, 2022, KICO had a negative unassigned surplus of $5,069,000 and will not be able to pay any distributions to us without prior regulatory approval.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KICO is a member of the Federal Home Loan Bank of New York (“FHLBNY”), which provides additional access to liquidity. Members have access to a variety of flexible, low cost funding through FHLBNY’s credit products, enabling members to customize advances. Advances are to be fully collateralized; eligible collateral to pledge to FHLBNY includes residential and commercial mortgage backed securities, along with U.S. Treasury and agency securities. See Note 3 – Investments to our consolidated financial statements for eligible collateral held in a designated custodian account available for future advances. Advances are limited to 5% of KICO’s net admitted assets as of the end of the previous quarter, which is September 30, 2022, and are due and payable within 90 days of borrowing. The maximum allowable advance as of December 31, 2022, based on the net admitted assets as of September 30, 2022, was approximately $13,192,000. Available collateral as of December 31, 2022 was approximately $12,228,000. Advances are limited to 85% of the amount of available collateral. There were no borrowings under this facility during the year ended December 31, 2022.</w:t>
      </w:r>
    </w:p>
    <w:p>
      <w:pPr>
        <w:pStyle w:val="TextBody"/>
        <w:spacing w:before="0" w:after="0"/>
        <w:ind w:left="0" w:right="0" w:hanging="0"/>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53</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December 15, 2022, we issued $19,950,000 of our 2022 Notes pursuant to the Exchange Agreement. We are required to make a mandatory redemption of 2022 Notes on December 30, 2023 as discussed in Note 9 – Debt of the consolidated financial statements included in this Annual Report.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reconciliation of net income to net cash provided by operations is generally influenced by the collection of premiums in advance of paid losses, the timing of reinsurance, issuing company settlements and loss payments.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Cash flow and liquidity are categorized into three sources: (1) operating activities; (2) investing activities; and (3) financing activities, which are shown in the following table:</w:t>
      </w:r>
    </w:p>
    <w:p>
      <w:pPr>
        <w:pStyle w:val="TextBody"/>
        <w:spacing w:before="0" w:after="0"/>
        <w:ind w:left="0" w:right="0" w:firstLine="720"/>
        <w:jc w:val="both"/>
        <w:rPr/>
      </w:pPr>
      <w:r>
        <w:rPr/>
        <w:t xml:space="preserve">  </w:t>
      </w:r>
    </w:p>
    <w:tbl>
      <w:tblPr>
        <w:tblW w:w="7685" w:type="dxa"/>
        <w:jc w:val="left"/>
        <w:tblInd w:w="0" w:type="dxa"/>
        <w:tblCellMar>
          <w:top w:w="0" w:type="dxa"/>
          <w:left w:w="0" w:type="dxa"/>
          <w:bottom w:w="28" w:type="dxa"/>
          <w:right w:w="0" w:type="dxa"/>
        </w:tblCellMar>
      </w:tblPr>
      <w:tblGrid>
        <w:gridCol w:w="4460"/>
        <w:gridCol w:w="90"/>
        <w:gridCol w:w="170"/>
        <w:gridCol w:w="1205"/>
        <w:gridCol w:w="125"/>
        <w:gridCol w:w="90"/>
        <w:gridCol w:w="170"/>
        <w:gridCol w:w="1205"/>
        <w:gridCol w:w="170"/>
      </w:tblGrid>
      <w:tr>
        <w:trPr/>
        <w:tc>
          <w:tcPr>
            <w:tcW w:w="4460" w:type="dxa"/>
            <w:tcBorders>
              <w:bottom w:val="single" w:sz="2" w:space="0" w:color="000000"/>
            </w:tcBorders>
            <w:shd w:fill="auto" w:val="clear"/>
            <w:vAlign w:val="center"/>
          </w:tcPr>
          <w:p>
            <w:pPr>
              <w:pStyle w:val="TableContents"/>
              <w:spacing w:before="0" w:after="0"/>
              <w:ind w:left="0" w:right="0" w:hanging="0"/>
              <w:rPr/>
            </w:pPr>
            <w:r>
              <w:rPr>
                <w:rStyle w:val="Emphasis"/>
                <w:rFonts w:ascii="times new roman" w:hAnsi="times new roman"/>
                <w:sz w:val="20"/>
              </w:rPr>
              <w:t>Years ended December 31,</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375"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2022</w:t>
            </w:r>
          </w:p>
        </w:tc>
        <w:tc>
          <w:tcPr>
            <w:tcW w:w="125" w:type="dxa"/>
            <w:tcBorders/>
            <w:shd w:fill="auto" w:val="clear"/>
            <w:tcMar>
              <w:bottom w:w="0" w:type="dxa"/>
            </w:tcMar>
            <w:vAlign w:val="center"/>
          </w:tcPr>
          <w:p>
            <w:pPr>
              <w:pStyle w:val="TableContents"/>
              <w:spacing w:before="0" w:after="0"/>
              <w:ind w:left="0" w:right="0" w:hanging="0"/>
              <w:rPr/>
            </w:pPr>
            <w:r>
              <w:rPr>
                <w:rStyle w:val="StrongEmphasis"/>
              </w:rPr>
              <w:t> </w:t>
            </w:r>
          </w:p>
        </w:tc>
        <w:tc>
          <w:tcPr>
            <w:tcW w:w="90" w:type="dxa"/>
            <w:tcBorders/>
            <w:shd w:fill="auto" w:val="clear"/>
            <w:tcMar>
              <w:bottom w:w="0" w:type="dxa"/>
            </w:tcMar>
            <w:vAlign w:val="center"/>
          </w:tcPr>
          <w:p>
            <w:pPr>
              <w:pStyle w:val="TableContents"/>
              <w:spacing w:before="0" w:after="0"/>
              <w:ind w:left="0" w:right="0" w:hanging="0"/>
              <w:rPr/>
            </w:pPr>
            <w:r>
              <w:rPr>
                <w:rStyle w:val="StrongEmphasis"/>
              </w:rPr>
              <w:t> </w:t>
            </w:r>
          </w:p>
        </w:tc>
        <w:tc>
          <w:tcPr>
            <w:tcW w:w="1375"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2021</w:t>
            </w:r>
          </w:p>
        </w:tc>
        <w:tc>
          <w:tcPr>
            <w:tcW w:w="170" w:type="dxa"/>
            <w:tcBorders/>
            <w:shd w:fill="auto" w:val="clear"/>
            <w:tcMar>
              <w:bottom w:w="0" w:type="dxa"/>
            </w:tcMar>
            <w:vAlign w:val="center"/>
          </w:tcPr>
          <w:p>
            <w:pPr>
              <w:pStyle w:val="TableContents"/>
              <w:spacing w:before="0" w:after="0"/>
              <w:ind w:left="0" w:right="0" w:hanging="0"/>
              <w:rPr/>
            </w:pPr>
            <w:r>
              <w:rPr/>
              <w:t> </w:t>
            </w:r>
          </w:p>
        </w:tc>
      </w:tr>
      <w:tr>
        <w:trPr/>
        <w:tc>
          <w:tcPr>
            <w:tcW w:w="4460"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375" w:type="dxa"/>
            <w:gridSpan w:val="2"/>
            <w:tcBorders/>
            <w:shd w:fill="auto" w:val="clear"/>
            <w:tcMar>
              <w:bottom w:w="0" w:type="dxa"/>
            </w:tcMar>
            <w:vAlign w:val="center"/>
          </w:tcPr>
          <w:p>
            <w:pPr>
              <w:pStyle w:val="TableContents"/>
              <w:spacing w:before="0" w:after="0"/>
              <w:ind w:left="0" w:right="0" w:hanging="0"/>
              <w:rPr/>
            </w:pPr>
            <w:r>
              <w:rPr/>
              <w:t> </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375" w:type="dxa"/>
            <w:gridSpan w:val="2"/>
            <w:tcBorders/>
            <w:shd w:fill="auto" w:val="clear"/>
            <w:tcMar>
              <w:bottom w:w="0" w:type="dxa"/>
            </w:tcMar>
            <w:vAlign w:val="center"/>
          </w:tcPr>
          <w:p>
            <w:pPr>
              <w:pStyle w:val="TableContents"/>
              <w:spacing w:before="0" w:after="0"/>
              <w:ind w:left="0" w:right="0" w:hanging="0"/>
              <w:rPr/>
            </w:pPr>
            <w:r>
              <w:rPr/>
              <w:t> </w:t>
            </w:r>
          </w:p>
        </w:tc>
        <w:tc>
          <w:tcPr>
            <w:tcW w:w="170" w:type="dxa"/>
            <w:tcBorders/>
            <w:shd w:fill="auto" w:val="clear"/>
            <w:tcMar>
              <w:bottom w:w="0" w:type="dxa"/>
            </w:tcMar>
            <w:vAlign w:val="center"/>
          </w:tcPr>
          <w:p>
            <w:pPr>
              <w:pStyle w:val="TableContents"/>
              <w:spacing w:before="0" w:after="0"/>
              <w:ind w:left="0" w:right="0" w:hanging="0"/>
              <w:rPr/>
            </w:pPr>
            <w:r>
              <w:rPr/>
              <w:t> </w:t>
            </w:r>
          </w:p>
        </w:tc>
      </w:tr>
      <w:tr>
        <w:trPr/>
        <w:tc>
          <w:tcPr>
            <w:tcW w:w="4460"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Cash flows (used in) provided by: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375" w:type="dxa"/>
            <w:gridSpan w:val="2"/>
            <w:tcBorders/>
            <w:shd w:fill="auto" w:val="clear"/>
            <w:tcMar>
              <w:bottom w:w="0" w:type="dxa"/>
            </w:tcMar>
            <w:vAlign w:val="center"/>
          </w:tcPr>
          <w:p>
            <w:pPr>
              <w:pStyle w:val="TableContents"/>
              <w:spacing w:before="0" w:after="0"/>
              <w:ind w:left="0" w:right="0" w:hanging="0"/>
              <w:rPr/>
            </w:pPr>
            <w:r>
              <w:rPr/>
              <w:t> </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375" w:type="dxa"/>
            <w:gridSpan w:val="2"/>
            <w:tcBorders/>
            <w:shd w:fill="auto" w:val="clear"/>
            <w:tcMar>
              <w:bottom w:w="0" w:type="dxa"/>
            </w:tcMar>
            <w:vAlign w:val="center"/>
          </w:tcPr>
          <w:p>
            <w:pPr>
              <w:pStyle w:val="TableContents"/>
              <w:spacing w:before="0" w:after="0"/>
              <w:ind w:left="0" w:right="0" w:hanging="0"/>
              <w:rPr/>
            </w:pPr>
            <w:r>
              <w:rPr/>
              <w:t> </w:t>
            </w:r>
          </w:p>
        </w:tc>
        <w:tc>
          <w:tcPr>
            <w:tcW w:w="170" w:type="dxa"/>
            <w:tcBorders/>
            <w:shd w:fill="auto" w:val="clear"/>
            <w:tcMar>
              <w:bottom w:w="0" w:type="dxa"/>
            </w:tcMar>
            <w:vAlign w:val="center"/>
          </w:tcPr>
          <w:p>
            <w:pPr>
              <w:pStyle w:val="TableContents"/>
              <w:spacing w:before="0" w:after="0"/>
              <w:ind w:left="0" w:right="0" w:hanging="0"/>
              <w:rPr/>
            </w:pPr>
            <w:r>
              <w:rPr/>
              <w:t> </w:t>
            </w:r>
          </w:p>
        </w:tc>
      </w:tr>
      <w:tr>
        <w:trPr/>
        <w:tc>
          <w:tcPr>
            <w:tcW w:w="4460" w:type="dxa"/>
            <w:tcBorders/>
            <w:shd w:fill="CCEEFF" w:val="clear"/>
            <w:tcMar>
              <w:bottom w:w="0" w:type="dxa"/>
            </w:tcMar>
            <w:vAlign w:val="center"/>
          </w:tcPr>
          <w:p>
            <w:pPr>
              <w:pStyle w:val="TableContents"/>
              <w:spacing w:before="0" w:after="0"/>
              <w:ind w:left="225" w:right="0" w:hanging="0"/>
              <w:rPr>
                <w:rFonts w:ascii="times new roman" w:hAnsi="times new roman"/>
                <w:sz w:val="20"/>
              </w:rPr>
            </w:pPr>
            <w:r>
              <w:rPr>
                <w:rFonts w:ascii="times new roman" w:hAnsi="times new roman"/>
                <w:sz w:val="20"/>
              </w:rPr>
              <w:t xml:space="preserve">Operating activities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283"/>
              <w:rPr/>
            </w:pPr>
            <w:r>
              <w:rPr/>
              <w:t>$</w:t>
            </w:r>
          </w:p>
        </w:tc>
        <w:tc>
          <w:tcPr>
            <w:tcW w:w="1205" w:type="dxa"/>
            <w:tcBorders/>
            <w:shd w:fill="CCEEFF" w:val="clear"/>
            <w:tcMar>
              <w:bottom w:w="0" w:type="dxa"/>
            </w:tcMar>
            <w:vAlign w:val="center"/>
          </w:tcPr>
          <w:p>
            <w:pPr>
              <w:pStyle w:val="TableContents"/>
              <w:spacing w:before="0" w:after="283"/>
              <w:jc w:val="right"/>
              <w:rPr/>
            </w:pPr>
            <w:r>
              <w:rPr/>
              <w:t>(915,521</w:t>
            </w:r>
          </w:p>
        </w:tc>
        <w:tc>
          <w:tcPr>
            <w:tcW w:w="125" w:type="dxa"/>
            <w:tcBorders/>
            <w:shd w:fill="CCEEFF" w:val="clear"/>
            <w:tcMar>
              <w:bottom w:w="0" w:type="dxa"/>
            </w:tcMar>
            <w:vAlign w:val="center"/>
          </w:tcPr>
          <w:p>
            <w:pPr>
              <w:pStyle w:val="TableContents"/>
              <w:spacing w:before="0" w:after="283"/>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283"/>
              <w:rPr/>
            </w:pPr>
            <w:r>
              <w:rPr/>
              <w:t>$</w:t>
            </w:r>
          </w:p>
        </w:tc>
        <w:tc>
          <w:tcPr>
            <w:tcW w:w="1205" w:type="dxa"/>
            <w:tcBorders/>
            <w:shd w:fill="CCEEFF" w:val="clear"/>
            <w:tcMar>
              <w:bottom w:w="0" w:type="dxa"/>
            </w:tcMar>
            <w:vAlign w:val="center"/>
          </w:tcPr>
          <w:p>
            <w:pPr>
              <w:pStyle w:val="TableContents"/>
              <w:spacing w:before="0" w:after="283"/>
              <w:jc w:val="right"/>
              <w:rPr/>
            </w:pPr>
            <w:r>
              <w:rPr/>
              <w:t>24,346,237</w:t>
            </w:r>
          </w:p>
        </w:tc>
        <w:tc>
          <w:tcPr>
            <w:tcW w:w="170" w:type="dxa"/>
            <w:tcBorders/>
            <w:shd w:fill="CCEEFF" w:val="clear"/>
            <w:tcMar>
              <w:bottom w:w="0" w:type="dxa"/>
            </w:tcMar>
            <w:vAlign w:val="center"/>
          </w:tcPr>
          <w:p>
            <w:pPr>
              <w:pStyle w:val="TableContents"/>
              <w:spacing w:before="0" w:after="0"/>
              <w:ind w:left="0" w:right="0" w:hanging="0"/>
              <w:rPr/>
            </w:pPr>
            <w:r>
              <w:rPr/>
              <w:t> </w:t>
            </w:r>
          </w:p>
        </w:tc>
      </w:tr>
      <w:tr>
        <w:trPr/>
        <w:tc>
          <w:tcPr>
            <w:tcW w:w="4460" w:type="dxa"/>
            <w:tcBorders/>
            <w:shd w:fill="FFFFFF" w:val="clear"/>
            <w:tcMar>
              <w:bottom w:w="0" w:type="dxa"/>
            </w:tcMar>
            <w:vAlign w:val="center"/>
          </w:tcPr>
          <w:p>
            <w:pPr>
              <w:pStyle w:val="TableContents"/>
              <w:spacing w:before="0" w:after="0"/>
              <w:ind w:left="225" w:right="0" w:hanging="0"/>
              <w:rPr>
                <w:rFonts w:ascii="times new roman" w:hAnsi="times new roman"/>
                <w:sz w:val="20"/>
              </w:rPr>
            </w:pPr>
            <w:r>
              <w:rPr>
                <w:rFonts w:ascii="times new roman" w:hAnsi="times new roman"/>
                <w:sz w:val="20"/>
              </w:rPr>
              <w:t xml:space="preserve">Investing activities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1205" w:type="dxa"/>
            <w:tcBorders/>
            <w:shd w:fill="FFFFFF" w:val="clear"/>
            <w:tcMar>
              <w:bottom w:w="0" w:type="dxa"/>
            </w:tcMar>
            <w:vAlign w:val="center"/>
          </w:tcPr>
          <w:p>
            <w:pPr>
              <w:pStyle w:val="TableContents"/>
              <w:spacing w:before="0" w:after="283"/>
              <w:jc w:val="right"/>
              <w:rPr/>
            </w:pPr>
            <w:r>
              <w:rPr/>
              <w:t>(5,905,779</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1205" w:type="dxa"/>
            <w:tcBorders/>
            <w:shd w:fill="FFFFFF" w:val="clear"/>
            <w:tcMar>
              <w:bottom w:w="0" w:type="dxa"/>
            </w:tcMar>
            <w:vAlign w:val="center"/>
          </w:tcPr>
          <w:p>
            <w:pPr>
              <w:pStyle w:val="TableContents"/>
              <w:spacing w:before="0" w:after="283"/>
              <w:jc w:val="right"/>
              <w:rPr/>
            </w:pPr>
            <w:r>
              <w:rPr/>
              <w:t>(15,947,862</w:t>
            </w:r>
          </w:p>
        </w:tc>
        <w:tc>
          <w:tcPr>
            <w:tcW w:w="170" w:type="dxa"/>
            <w:tcBorders/>
            <w:shd w:fill="FFFFFF" w:val="clear"/>
            <w:tcMar>
              <w:bottom w:w="0" w:type="dxa"/>
            </w:tcMar>
            <w:vAlign w:val="center"/>
          </w:tcPr>
          <w:p>
            <w:pPr>
              <w:pStyle w:val="TableContents"/>
              <w:spacing w:before="0" w:after="283"/>
              <w:rPr/>
            </w:pPr>
            <w:r>
              <w:rPr/>
              <w:t>)</w:t>
            </w:r>
          </w:p>
        </w:tc>
      </w:tr>
      <w:tr>
        <w:trPr/>
        <w:tc>
          <w:tcPr>
            <w:tcW w:w="4460" w:type="dxa"/>
            <w:tcBorders/>
            <w:shd w:fill="CCEEFF" w:val="clear"/>
            <w:tcMar>
              <w:bottom w:w="0" w:type="dxa"/>
            </w:tcMar>
            <w:vAlign w:val="center"/>
          </w:tcPr>
          <w:p>
            <w:pPr>
              <w:pStyle w:val="TableContents"/>
              <w:spacing w:before="0" w:after="0"/>
              <w:ind w:left="225" w:right="0" w:hanging="0"/>
              <w:rPr>
                <w:rFonts w:ascii="times new roman" w:hAnsi="times new roman"/>
                <w:sz w:val="20"/>
              </w:rPr>
            </w:pPr>
            <w:r>
              <w:rPr>
                <w:rFonts w:ascii="times new roman" w:hAnsi="times new roman"/>
                <w:sz w:val="20"/>
              </w:rPr>
              <w:t xml:space="preserve">Financing activities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bottom w:val="single" w:sz="2" w:space="0" w:color="000000"/>
            </w:tcBorders>
            <w:shd w:fill="CCEEFF" w:val="clear"/>
            <w:vAlign w:val="center"/>
          </w:tcPr>
          <w:p>
            <w:pPr>
              <w:pStyle w:val="TableContents"/>
              <w:spacing w:before="0" w:after="0"/>
              <w:ind w:left="0" w:right="0" w:hanging="0"/>
              <w:rPr/>
            </w:pPr>
            <w:r>
              <w:rPr/>
              <w:t> </w:t>
            </w:r>
          </w:p>
        </w:tc>
        <w:tc>
          <w:tcPr>
            <w:tcW w:w="1205" w:type="dxa"/>
            <w:tcBorders>
              <w:bottom w:val="single" w:sz="2" w:space="0" w:color="000000"/>
            </w:tcBorders>
            <w:shd w:fill="CCEEFF" w:val="clear"/>
            <w:vAlign w:val="center"/>
          </w:tcPr>
          <w:p>
            <w:pPr>
              <w:pStyle w:val="TableContents"/>
              <w:spacing w:before="0" w:after="283"/>
              <w:jc w:val="right"/>
              <w:rPr/>
            </w:pPr>
            <w:r>
              <w:rPr/>
              <w:t>(5,511,070</w:t>
            </w:r>
          </w:p>
        </w:tc>
        <w:tc>
          <w:tcPr>
            <w:tcW w:w="125" w:type="dxa"/>
            <w:tcBorders/>
            <w:shd w:fill="CCEEFF" w:val="clear"/>
            <w:tcMar>
              <w:bottom w:w="0" w:type="dxa"/>
            </w:tcMar>
            <w:vAlign w:val="center"/>
          </w:tcPr>
          <w:p>
            <w:pPr>
              <w:pStyle w:val="TableContents"/>
              <w:spacing w:before="0" w:after="283"/>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bottom w:val="single" w:sz="2" w:space="0" w:color="000000"/>
            </w:tcBorders>
            <w:shd w:fill="CCEEFF" w:val="clear"/>
            <w:vAlign w:val="center"/>
          </w:tcPr>
          <w:p>
            <w:pPr>
              <w:pStyle w:val="TableContents"/>
              <w:spacing w:before="0" w:after="0"/>
              <w:ind w:left="0" w:right="0" w:hanging="0"/>
              <w:rPr/>
            </w:pPr>
            <w:r>
              <w:rPr/>
              <w:t> </w:t>
            </w:r>
          </w:p>
        </w:tc>
        <w:tc>
          <w:tcPr>
            <w:tcW w:w="1205" w:type="dxa"/>
            <w:tcBorders>
              <w:bottom w:val="single" w:sz="2" w:space="0" w:color="000000"/>
            </w:tcBorders>
            <w:shd w:fill="CCEEFF" w:val="clear"/>
            <w:vAlign w:val="center"/>
          </w:tcPr>
          <w:p>
            <w:pPr>
              <w:pStyle w:val="TableContents"/>
              <w:spacing w:before="0" w:after="283"/>
              <w:jc w:val="right"/>
              <w:rPr/>
            </w:pPr>
            <w:r>
              <w:rPr/>
              <w:t>(3,571,519</w:t>
            </w:r>
          </w:p>
        </w:tc>
        <w:tc>
          <w:tcPr>
            <w:tcW w:w="170" w:type="dxa"/>
            <w:tcBorders/>
            <w:shd w:fill="CCEEFF" w:val="clear"/>
            <w:tcMar>
              <w:bottom w:w="0" w:type="dxa"/>
            </w:tcMar>
            <w:vAlign w:val="center"/>
          </w:tcPr>
          <w:p>
            <w:pPr>
              <w:pStyle w:val="TableContents"/>
              <w:spacing w:before="0" w:after="283"/>
              <w:rPr/>
            </w:pPr>
            <w:r>
              <w:rPr/>
              <w:t>)</w:t>
            </w:r>
          </w:p>
        </w:tc>
      </w:tr>
      <w:tr>
        <w:trPr/>
        <w:tc>
          <w:tcPr>
            <w:tcW w:w="4460" w:type="dxa"/>
            <w:tcBorders/>
            <w:shd w:fill="FFFFFF" w:val="clear"/>
            <w:tcMar>
              <w:bottom w:w="0" w:type="dxa"/>
            </w:tcMar>
            <w:vAlign w:val="center"/>
          </w:tcPr>
          <w:p>
            <w:pPr>
              <w:pStyle w:val="TableContents"/>
              <w:spacing w:before="0" w:after="0"/>
              <w:ind w:left="0" w:right="0" w:hanging="0"/>
              <w:rPr/>
            </w:pPr>
            <w:r>
              <w:rPr>
                <w:rStyle w:val="StrongEmphasis"/>
                <w:rFonts w:ascii="times new roman" w:hAnsi="times new roman"/>
                <w:sz w:val="20"/>
              </w:rPr>
              <w:t xml:space="preserve">Net (decrease) increase in cash and cash equivalents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1205" w:type="dxa"/>
            <w:tcBorders/>
            <w:shd w:fill="FFFFFF" w:val="clear"/>
            <w:tcMar>
              <w:bottom w:w="0" w:type="dxa"/>
            </w:tcMar>
            <w:vAlign w:val="center"/>
          </w:tcPr>
          <w:p>
            <w:pPr>
              <w:pStyle w:val="TableContents"/>
              <w:spacing w:before="0" w:after="283"/>
              <w:jc w:val="right"/>
              <w:rPr/>
            </w:pPr>
            <w:r>
              <w:rPr/>
              <w:t>(12,332,370</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1205" w:type="dxa"/>
            <w:tcBorders/>
            <w:shd w:fill="FFFFFF" w:val="clear"/>
            <w:tcMar>
              <w:bottom w:w="0" w:type="dxa"/>
            </w:tcMar>
            <w:vAlign w:val="center"/>
          </w:tcPr>
          <w:p>
            <w:pPr>
              <w:pStyle w:val="TableContents"/>
              <w:spacing w:before="0" w:after="283"/>
              <w:jc w:val="right"/>
              <w:rPr/>
            </w:pPr>
            <w:r>
              <w:rPr/>
              <w:t>4,826,856</w:t>
            </w:r>
          </w:p>
        </w:tc>
        <w:tc>
          <w:tcPr>
            <w:tcW w:w="170" w:type="dxa"/>
            <w:tcBorders/>
            <w:shd w:fill="FFFFFF" w:val="clear"/>
            <w:tcMar>
              <w:bottom w:w="0" w:type="dxa"/>
            </w:tcMar>
            <w:vAlign w:val="center"/>
          </w:tcPr>
          <w:p>
            <w:pPr>
              <w:pStyle w:val="TableContents"/>
              <w:spacing w:before="0" w:after="0"/>
              <w:ind w:left="0" w:right="0" w:hanging="0"/>
              <w:rPr/>
            </w:pPr>
            <w:r>
              <w:rPr/>
              <w:t> </w:t>
            </w:r>
          </w:p>
        </w:tc>
      </w:tr>
      <w:tr>
        <w:trPr/>
        <w:tc>
          <w:tcPr>
            <w:tcW w:w="4460"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Cash and cash equivalents, beginning of period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bottom w:val="single" w:sz="2" w:space="0" w:color="000000"/>
            </w:tcBorders>
            <w:shd w:fill="CCEEFF" w:val="clear"/>
            <w:vAlign w:val="center"/>
          </w:tcPr>
          <w:p>
            <w:pPr>
              <w:pStyle w:val="TableContents"/>
              <w:spacing w:before="0" w:after="0"/>
              <w:ind w:left="0" w:right="0" w:hanging="0"/>
              <w:rPr/>
            </w:pPr>
            <w:r>
              <w:rPr/>
              <w:t> </w:t>
            </w:r>
          </w:p>
        </w:tc>
        <w:tc>
          <w:tcPr>
            <w:tcW w:w="1205" w:type="dxa"/>
            <w:tcBorders>
              <w:bottom w:val="single" w:sz="2" w:space="0" w:color="000000"/>
            </w:tcBorders>
            <w:shd w:fill="CCEEFF" w:val="clear"/>
            <w:vAlign w:val="center"/>
          </w:tcPr>
          <w:p>
            <w:pPr>
              <w:pStyle w:val="TableContents"/>
              <w:spacing w:before="0" w:after="283"/>
              <w:jc w:val="right"/>
              <w:rPr/>
            </w:pPr>
            <w:r>
              <w:rPr/>
              <w:t>24,290,598</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bottom w:val="single" w:sz="2" w:space="0" w:color="000000"/>
            </w:tcBorders>
            <w:shd w:fill="CCEEFF" w:val="clear"/>
            <w:vAlign w:val="center"/>
          </w:tcPr>
          <w:p>
            <w:pPr>
              <w:pStyle w:val="TableContents"/>
              <w:spacing w:before="0" w:after="0"/>
              <w:ind w:left="0" w:right="0" w:hanging="0"/>
              <w:rPr/>
            </w:pPr>
            <w:r>
              <w:rPr/>
              <w:t> </w:t>
            </w:r>
          </w:p>
        </w:tc>
        <w:tc>
          <w:tcPr>
            <w:tcW w:w="1205" w:type="dxa"/>
            <w:tcBorders>
              <w:bottom w:val="single" w:sz="2" w:space="0" w:color="000000"/>
            </w:tcBorders>
            <w:shd w:fill="CCEEFF" w:val="clear"/>
            <w:vAlign w:val="center"/>
          </w:tcPr>
          <w:p>
            <w:pPr>
              <w:pStyle w:val="TableContents"/>
              <w:spacing w:before="0" w:after="283"/>
              <w:jc w:val="right"/>
              <w:rPr/>
            </w:pPr>
            <w:r>
              <w:rPr/>
              <w:t>19,463,742</w:t>
            </w:r>
          </w:p>
        </w:tc>
        <w:tc>
          <w:tcPr>
            <w:tcW w:w="170" w:type="dxa"/>
            <w:tcBorders/>
            <w:shd w:fill="CCEEFF" w:val="clear"/>
            <w:tcMar>
              <w:bottom w:w="0" w:type="dxa"/>
            </w:tcMar>
            <w:vAlign w:val="center"/>
          </w:tcPr>
          <w:p>
            <w:pPr>
              <w:pStyle w:val="TableContents"/>
              <w:spacing w:before="0" w:after="0"/>
              <w:ind w:left="0" w:right="0" w:hanging="0"/>
              <w:rPr/>
            </w:pPr>
            <w:r>
              <w:rPr/>
              <w:t> </w:t>
            </w:r>
          </w:p>
        </w:tc>
      </w:tr>
      <w:tr>
        <w:trPr/>
        <w:tc>
          <w:tcPr>
            <w:tcW w:w="4460" w:type="dxa"/>
            <w:tcBorders/>
            <w:shd w:fill="FFFFFF" w:val="clear"/>
            <w:tcMar>
              <w:bottom w:w="0" w:type="dxa"/>
            </w:tcMar>
            <w:vAlign w:val="center"/>
          </w:tcPr>
          <w:p>
            <w:pPr>
              <w:pStyle w:val="TableContents"/>
              <w:spacing w:before="0" w:after="0"/>
              <w:ind w:left="0" w:right="0" w:hanging="0"/>
              <w:rPr/>
            </w:pPr>
            <w:r>
              <w:rPr>
                <w:rStyle w:val="StrongEmphasis"/>
                <w:rFonts w:ascii="times new roman" w:hAnsi="times new roman"/>
                <w:sz w:val="20"/>
              </w:rPr>
              <w:t xml:space="preserve">Cash and cash equivalents, end of period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bottom w:val="double" w:sz="6" w:space="0" w:color="000000"/>
            </w:tcBorders>
            <w:shd w:fill="FFFFFF" w:val="clear"/>
            <w:vAlign w:val="center"/>
          </w:tcPr>
          <w:p>
            <w:pPr>
              <w:pStyle w:val="TableContents"/>
              <w:spacing w:before="0" w:after="283"/>
              <w:rPr/>
            </w:pPr>
            <w:r>
              <w:rPr/>
              <w:t>$</w:t>
            </w:r>
          </w:p>
        </w:tc>
        <w:tc>
          <w:tcPr>
            <w:tcW w:w="1205" w:type="dxa"/>
            <w:tcBorders>
              <w:bottom w:val="double" w:sz="6" w:space="0" w:color="000000"/>
            </w:tcBorders>
            <w:shd w:fill="FFFFFF" w:val="clear"/>
            <w:vAlign w:val="center"/>
          </w:tcPr>
          <w:p>
            <w:pPr>
              <w:pStyle w:val="TableContents"/>
              <w:spacing w:before="0" w:after="283"/>
              <w:jc w:val="right"/>
              <w:rPr/>
            </w:pPr>
            <w:r>
              <w:rPr/>
              <w:t>11,958,228</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bottom w:val="double" w:sz="6" w:space="0" w:color="000000"/>
            </w:tcBorders>
            <w:shd w:fill="FFFFFF" w:val="clear"/>
            <w:vAlign w:val="center"/>
          </w:tcPr>
          <w:p>
            <w:pPr>
              <w:pStyle w:val="TableContents"/>
              <w:spacing w:before="0" w:after="283"/>
              <w:rPr/>
            </w:pPr>
            <w:r>
              <w:rPr/>
              <w:t>$</w:t>
            </w:r>
          </w:p>
        </w:tc>
        <w:tc>
          <w:tcPr>
            <w:tcW w:w="1205" w:type="dxa"/>
            <w:tcBorders>
              <w:bottom w:val="double" w:sz="6" w:space="0" w:color="000000"/>
            </w:tcBorders>
            <w:shd w:fill="FFFFFF" w:val="clear"/>
            <w:vAlign w:val="center"/>
          </w:tcPr>
          <w:p>
            <w:pPr>
              <w:pStyle w:val="TableContents"/>
              <w:spacing w:before="0" w:after="283"/>
              <w:jc w:val="right"/>
              <w:rPr/>
            </w:pPr>
            <w:r>
              <w:rPr/>
              <w:t>24,290,598</w:t>
            </w:r>
          </w:p>
        </w:tc>
        <w:tc>
          <w:tcPr>
            <w:tcW w:w="170" w:type="dxa"/>
            <w:tcBorders/>
            <w:shd w:fill="FFFFFF" w:val="clear"/>
            <w:tcMar>
              <w:bottom w:w="0" w:type="dxa"/>
            </w:tcMar>
            <w:vAlign w:val="center"/>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Net cash used in operating activities was $916,000 in Year Ended 2022 as compared to $24,346,000 provided by operating activities in Year Ended 2021. The $25,262,000 decrease in cash flows provided by operating activities in Year Ended 2022 as compared to Year Ended 2021 was primarily the result of a decrease in cash arising from net fluctuations in operating assets and liabilities, partially offset by net loss (adjusted for non-cash items) of $4,073,000. The increase in cash used in operating activities is also attributable to the payment of $13,245,000 to reinsurers in Year Ended 2022 pursuant to the inception of our quota share reinsurance treaty, effective December 31, 2021. In addition, the increase of reinsurance recoverables by $26,173,000 also contributed to the increase in cash used during Year Ended 2022. The net fluctuations in assets and liabilities are related to operating activities of KICO as affected by growth or declines in its operations, payments on claims and other changes, which are described above.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Net cash used investing activities was $5,906,000 in Year Ended 2022 compared to $15,948,000 used in investing activities in Year Ended 2021. In Year Ended 2022, we had net investing activity used in our investment portfolio of $1,355,000, compared to $11,449,000 used in Year Ended 2021 resulting in a $10,094,000 decrease in net cash used investing activities.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Net cash used in financing activities was $5,511,000 in Year Ended 2022 compared to $3,572,000 used in Year Ended 2021. The $1,939,000 increase in net cash used in financing activities was attributable to a $10,050,000 principal payment on the 2017 Notes and $1,758,000 of bond issue costs, both paid in connection with the Exchange Agreement. In addition, we paid $192,000 of principal payments on our equipment financing in connection with KICO’s sale-leaseback transaction and there was a $186,000 increase in the amount of withholding taxes paid on the vesting of restricted stock awards. The increases in cash used in financing activities were partially offset by $8,097,000 of proceeds from equipment financing in connection with KICO’s sale-leaseback transaction and a decrease of $1,672,000 in the purchase of treasury stock.</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54</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both"/>
        <w:rPr/>
      </w:pPr>
      <w:r>
        <w:rPr>
          <w:rStyle w:val="StrongEmphasis"/>
          <w:rFonts w:ascii="times new roman" w:hAnsi="times new roman"/>
          <w:sz w:val="20"/>
        </w:rPr>
        <w:t>Reinsurance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provides summary information with respect to each reinsurer that accounted for more than 10% of our reinsurance recoverables on paid and unpaid losses and loss adjustment expenses as of December 31, 2022:</w:t>
      </w:r>
    </w:p>
    <w:p>
      <w:pPr>
        <w:pStyle w:val="TextBody"/>
        <w:spacing w:before="0" w:after="0"/>
        <w:ind w:left="0" w:right="0" w:firstLine="720"/>
        <w:jc w:val="both"/>
        <w:rPr/>
      </w:pPr>
      <w:r>
        <w:rPr/>
        <w:t> </w:t>
      </w:r>
    </w:p>
    <w:tbl>
      <w:tblPr>
        <w:tblW w:w="8110" w:type="dxa"/>
        <w:jc w:val="left"/>
        <w:tblInd w:w="0" w:type="dxa"/>
        <w:tblCellMar>
          <w:top w:w="0" w:type="dxa"/>
          <w:left w:w="0" w:type="dxa"/>
          <w:bottom w:w="0" w:type="dxa"/>
          <w:right w:w="0" w:type="dxa"/>
        </w:tblCellMar>
      </w:tblPr>
      <w:tblGrid>
        <w:gridCol w:w="3980"/>
        <w:gridCol w:w="90"/>
        <w:gridCol w:w="1130"/>
        <w:gridCol w:w="90"/>
        <w:gridCol w:w="322"/>
        <w:gridCol w:w="1348"/>
        <w:gridCol w:w="90"/>
        <w:gridCol w:w="90"/>
        <w:gridCol w:w="90"/>
        <w:gridCol w:w="590"/>
        <w:gridCol w:w="290"/>
      </w:tblGrid>
      <w:tr>
        <w:trPr/>
        <w:tc>
          <w:tcPr>
            <w:tcW w:w="398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1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rStyle w:val="StrongEmphasis"/>
              </w:rPr>
              <w:t> </w:t>
            </w:r>
          </w:p>
        </w:tc>
        <w:tc>
          <w:tcPr>
            <w:tcW w:w="167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Amount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680" w:type="dxa"/>
            <w:gridSpan w:val="2"/>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0"/>
              <w:ind w:left="0" w:right="0" w:hanging="0"/>
              <w:rPr/>
            </w:pPr>
            <w:r>
              <w:rPr>
                <w:rStyle w:val="StrongEmphasis"/>
              </w:rPr>
              <w:t> </w:t>
            </w:r>
          </w:p>
        </w:tc>
      </w:tr>
      <w:tr>
        <w:trPr/>
        <w:tc>
          <w:tcPr>
            <w:tcW w:w="398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1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rStyle w:val="StrongEmphasis"/>
              </w:rPr>
              <w:t> </w:t>
            </w:r>
          </w:p>
        </w:tc>
        <w:tc>
          <w:tcPr>
            <w:tcW w:w="167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Recoverable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680" w:type="dxa"/>
            <w:gridSpan w:val="2"/>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0"/>
              <w:ind w:left="0" w:right="0" w:hanging="0"/>
              <w:rPr/>
            </w:pPr>
            <w:r>
              <w:rPr>
                <w:rStyle w:val="StrongEmphasis"/>
              </w:rPr>
              <w:t> </w:t>
            </w:r>
          </w:p>
        </w:tc>
      </w:tr>
      <w:tr>
        <w:trPr/>
        <w:tc>
          <w:tcPr>
            <w:tcW w:w="3980" w:type="dxa"/>
            <w:tcBorders>
              <w:bottom w:val="single" w:sz="8" w:space="0" w:color="000000"/>
            </w:tcBorders>
            <w:shd w:fill="auto" w:val="clear"/>
            <w:tcMar>
              <w:bottom w:w="28" w:type="dxa"/>
            </w:tcMar>
            <w:vAlign w:val="center"/>
          </w:tcPr>
          <w:p>
            <w:pPr>
              <w:pStyle w:val="TableContents"/>
              <w:spacing w:before="0" w:after="283"/>
              <w:rPr/>
            </w:pPr>
            <w:r>
              <w:rPr>
                <w:rStyle w:val="StrongEmphasis"/>
              </w:rPr>
              <w:t xml:space="preserve">($ in thousands) </w:t>
            </w:r>
          </w:p>
        </w:tc>
        <w:tc>
          <w:tcPr>
            <w:tcW w:w="90" w:type="dxa"/>
            <w:tcBorders/>
            <w:shd w:fill="auto" w:val="clear"/>
            <w:vAlign w:val="center"/>
          </w:tcPr>
          <w:p>
            <w:pPr>
              <w:pStyle w:val="TableContents"/>
              <w:spacing w:before="0" w:after="0"/>
              <w:ind w:left="0" w:right="0" w:hanging="0"/>
              <w:rPr/>
            </w:pPr>
            <w:r>
              <w:rPr>
                <w:rStyle w:val="StrongEmphasis"/>
              </w:rPr>
              <w:t> </w:t>
            </w:r>
          </w:p>
        </w:tc>
        <w:tc>
          <w:tcPr>
            <w:tcW w:w="1130" w:type="dxa"/>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A.M. </w:t>
            </w:r>
          </w:p>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Best Rating </w:t>
            </w:r>
          </w:p>
        </w:tc>
        <w:tc>
          <w:tcPr>
            <w:tcW w:w="90" w:type="dxa"/>
            <w:tcBorders/>
            <w:shd w:fill="auto" w:val="clear"/>
            <w:vAlign w:val="center"/>
          </w:tcPr>
          <w:p>
            <w:pPr>
              <w:pStyle w:val="TableContents"/>
              <w:spacing w:before="0" w:after="0"/>
              <w:ind w:left="0" w:right="0" w:hanging="0"/>
              <w:rPr/>
            </w:pPr>
            <w:r>
              <w:rPr>
                <w:rStyle w:val="StrongEmphasis"/>
              </w:rPr>
              <w:t> </w:t>
            </w:r>
          </w:p>
        </w:tc>
        <w:tc>
          <w:tcPr>
            <w:tcW w:w="167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as of </w:t>
            </w:r>
          </w:p>
          <w:p>
            <w:pPr>
              <w:pStyle w:val="TableContents"/>
              <w:spacing w:before="0" w:after="0"/>
              <w:ind w:left="0" w:right="0" w:hanging="0"/>
              <w:jc w:val="center"/>
              <w:rPr/>
            </w:pPr>
            <w:r>
              <w:rPr>
                <w:rStyle w:val="StrongEmphasis"/>
                <w:rFonts w:ascii="times new roman" w:hAnsi="times new roman"/>
                <w:sz w:val="20"/>
              </w:rPr>
              <w:t>December 31, 2022</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68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w:t>
            </w:r>
          </w:p>
        </w:tc>
        <w:tc>
          <w:tcPr>
            <w:tcW w:w="290" w:type="dxa"/>
            <w:tcBorders/>
            <w:shd w:fill="auto" w:val="clear"/>
            <w:vAlign w:val="center"/>
          </w:tcPr>
          <w:p>
            <w:pPr>
              <w:pStyle w:val="TableContents"/>
              <w:spacing w:before="0" w:after="0"/>
              <w:ind w:left="0" w:right="0" w:hanging="0"/>
              <w:rPr/>
            </w:pPr>
            <w:r>
              <w:rPr/>
              <w:t> </w:t>
            </w:r>
          </w:p>
        </w:tc>
      </w:tr>
      <w:tr>
        <w:trPr/>
        <w:tc>
          <w:tcPr>
            <w:tcW w:w="3980" w:type="dxa"/>
            <w:tcBorders/>
            <w:shd w:fill="CCEEFF" w:val="clear"/>
            <w:vAlign w:val="center"/>
          </w:tcPr>
          <w:p>
            <w:pPr>
              <w:pStyle w:val="TableContents"/>
              <w:spacing w:before="0" w:after="283"/>
              <w:rPr/>
            </w:pPr>
            <w:r>
              <w:rPr/>
              <w:t xml:space="preserve">Swiss Reinsurance America Corporation </w:t>
            </w:r>
          </w:p>
        </w:tc>
        <w:tc>
          <w:tcPr>
            <w:tcW w:w="9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A+ </w:t>
            </w:r>
          </w:p>
        </w:tc>
        <w:tc>
          <w:tcPr>
            <w:tcW w:w="90" w:type="dxa"/>
            <w:tcBorders/>
            <w:shd w:fill="CCEEFF" w:val="clear"/>
            <w:vAlign w:val="center"/>
          </w:tcPr>
          <w:p>
            <w:pPr>
              <w:pStyle w:val="TableContents"/>
              <w:spacing w:before="0" w:after="0"/>
              <w:ind w:left="0" w:right="0" w:hanging="0"/>
              <w:rPr/>
            </w:pPr>
            <w:r>
              <w:rPr/>
              <w:t> </w:t>
            </w:r>
          </w:p>
        </w:tc>
        <w:tc>
          <w:tcPr>
            <w:tcW w:w="322" w:type="dxa"/>
            <w:tcBorders/>
            <w:shd w:fill="CCEEFF" w:val="clear"/>
            <w:vAlign w:val="center"/>
          </w:tcPr>
          <w:p>
            <w:pPr>
              <w:pStyle w:val="TableContents"/>
              <w:spacing w:before="0" w:after="283"/>
              <w:rPr/>
            </w:pPr>
            <w:r>
              <w:rPr/>
              <w:t>$</w:t>
            </w:r>
          </w:p>
        </w:tc>
        <w:tc>
          <w:tcPr>
            <w:tcW w:w="1348" w:type="dxa"/>
            <w:tcBorders/>
            <w:shd w:fill="CCEEFF" w:val="clear"/>
            <w:vAlign w:val="center"/>
          </w:tcPr>
          <w:p>
            <w:pPr>
              <w:pStyle w:val="TableContents"/>
              <w:spacing w:before="0" w:after="283"/>
              <w:jc w:val="right"/>
              <w:rPr/>
            </w:pPr>
            <w:r>
              <w:rPr/>
              <w:t>14,292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283"/>
              <w:jc w:val="right"/>
              <w:rPr/>
            </w:pPr>
            <w:r>
              <w:rPr/>
              <w:t>34.6</w:t>
            </w:r>
          </w:p>
        </w:tc>
        <w:tc>
          <w:tcPr>
            <w:tcW w:w="290" w:type="dxa"/>
            <w:tcBorders/>
            <w:shd w:fill="CCEEFF" w:val="clear"/>
            <w:vAlign w:val="center"/>
          </w:tcPr>
          <w:p>
            <w:pPr>
              <w:pStyle w:val="TableContents"/>
              <w:spacing w:before="0" w:after="283"/>
              <w:rPr/>
            </w:pPr>
            <w:r>
              <w:rPr/>
              <w:t>%</w:t>
            </w:r>
          </w:p>
        </w:tc>
      </w:tr>
      <w:tr>
        <w:trPr/>
        <w:tc>
          <w:tcPr>
            <w:tcW w:w="3980" w:type="dxa"/>
            <w:tcBorders/>
            <w:shd w:fill="FFFFFF" w:val="clear"/>
            <w:vAlign w:val="center"/>
          </w:tcPr>
          <w:p>
            <w:pPr>
              <w:pStyle w:val="TableContents"/>
              <w:spacing w:before="0" w:after="283"/>
              <w:rPr/>
            </w:pPr>
            <w:r>
              <w:rPr/>
              <w:t xml:space="preserve">Hannover Rueck SE </w:t>
            </w:r>
          </w:p>
        </w:tc>
        <w:tc>
          <w:tcPr>
            <w:tcW w:w="9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A+ </w:t>
            </w:r>
          </w:p>
        </w:tc>
        <w:tc>
          <w:tcPr>
            <w:tcW w:w="90" w:type="dxa"/>
            <w:tcBorders/>
            <w:shd w:fill="FFFFFF" w:val="clear"/>
            <w:vAlign w:val="center"/>
          </w:tcPr>
          <w:p>
            <w:pPr>
              <w:pStyle w:val="TableContents"/>
              <w:spacing w:before="0" w:after="0"/>
              <w:ind w:left="0" w:right="0" w:hanging="0"/>
              <w:rPr/>
            </w:pPr>
            <w:r>
              <w:rPr/>
              <w:t> </w:t>
            </w:r>
          </w:p>
        </w:tc>
        <w:tc>
          <w:tcPr>
            <w:tcW w:w="322"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348" w:type="dxa"/>
            <w:tcBorders>
              <w:bottom w:val="single" w:sz="2" w:space="0" w:color="000000"/>
            </w:tcBorders>
            <w:shd w:fill="FFFFFF" w:val="clear"/>
            <w:tcMar>
              <w:bottom w:w="28" w:type="dxa"/>
            </w:tcMar>
            <w:vAlign w:val="center"/>
          </w:tcPr>
          <w:p>
            <w:pPr>
              <w:pStyle w:val="TableContents"/>
              <w:spacing w:before="0" w:after="283"/>
              <w:jc w:val="right"/>
              <w:rPr/>
            </w:pPr>
            <w:r>
              <w:rPr/>
              <w:t>11,379</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jc w:val="right"/>
              <w:rPr/>
            </w:pPr>
            <w:r>
              <w:rPr/>
              <w:t>27.6</w:t>
            </w:r>
          </w:p>
        </w:tc>
        <w:tc>
          <w:tcPr>
            <w:tcW w:w="290" w:type="dxa"/>
            <w:tcBorders/>
            <w:shd w:fill="FFFFFF" w:val="clear"/>
            <w:vAlign w:val="center"/>
          </w:tcPr>
          <w:p>
            <w:pPr>
              <w:pStyle w:val="TableContents"/>
              <w:spacing w:before="0" w:after="283"/>
              <w:rPr/>
            </w:pPr>
            <w:r>
              <w:rPr/>
              <w:t>%</w:t>
            </w:r>
          </w:p>
        </w:tc>
      </w:tr>
      <w:tr>
        <w:trPr/>
        <w:tc>
          <w:tcPr>
            <w:tcW w:w="398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322" w:type="dxa"/>
            <w:tcBorders/>
            <w:shd w:fill="CCEEFF" w:val="clear"/>
            <w:vAlign w:val="center"/>
          </w:tcPr>
          <w:p>
            <w:pPr>
              <w:pStyle w:val="TableContents"/>
              <w:spacing w:before="0" w:after="0"/>
              <w:ind w:left="0" w:right="0" w:hanging="0"/>
              <w:rPr/>
            </w:pPr>
            <w:r>
              <w:rPr/>
              <w:t> </w:t>
            </w:r>
          </w:p>
        </w:tc>
        <w:tc>
          <w:tcPr>
            <w:tcW w:w="1348" w:type="dxa"/>
            <w:tcBorders/>
            <w:shd w:fill="CCEEFF" w:val="clear"/>
            <w:vAlign w:val="center"/>
          </w:tcPr>
          <w:p>
            <w:pPr>
              <w:pStyle w:val="TableContents"/>
              <w:spacing w:before="0" w:after="283"/>
              <w:jc w:val="right"/>
              <w:rPr/>
            </w:pPr>
            <w:r>
              <w:rPr/>
              <w:t>25,671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283"/>
              <w:jc w:val="right"/>
              <w:rPr/>
            </w:pPr>
            <w:r>
              <w:rPr/>
              <w:t>62.2</w:t>
            </w:r>
          </w:p>
        </w:tc>
        <w:tc>
          <w:tcPr>
            <w:tcW w:w="290" w:type="dxa"/>
            <w:tcBorders/>
            <w:shd w:fill="CCEEFF" w:val="clear"/>
            <w:vAlign w:val="center"/>
          </w:tcPr>
          <w:p>
            <w:pPr>
              <w:pStyle w:val="TableContents"/>
              <w:spacing w:before="0" w:after="283"/>
              <w:rPr/>
            </w:pPr>
            <w:r>
              <w:rPr/>
              <w:t>%</w:t>
            </w:r>
          </w:p>
        </w:tc>
      </w:tr>
      <w:tr>
        <w:trPr/>
        <w:tc>
          <w:tcPr>
            <w:tcW w:w="3980" w:type="dxa"/>
            <w:tcBorders/>
            <w:shd w:fill="FFFFFF" w:val="clear"/>
            <w:vAlign w:val="center"/>
          </w:tcPr>
          <w:p>
            <w:pPr>
              <w:pStyle w:val="TableContents"/>
              <w:spacing w:before="0" w:after="283"/>
              <w:rPr/>
            </w:pPr>
            <w:r>
              <w:rPr/>
              <w:t xml:space="preserve">Others (1) </w:t>
            </w:r>
          </w:p>
        </w:tc>
        <w:tc>
          <w:tcPr>
            <w:tcW w:w="9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322"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348" w:type="dxa"/>
            <w:tcBorders>
              <w:bottom w:val="single" w:sz="2" w:space="0" w:color="000000"/>
            </w:tcBorders>
            <w:shd w:fill="FFFFFF" w:val="clear"/>
            <w:tcMar>
              <w:bottom w:w="28" w:type="dxa"/>
            </w:tcMar>
            <w:vAlign w:val="center"/>
          </w:tcPr>
          <w:p>
            <w:pPr>
              <w:pStyle w:val="TableContents"/>
              <w:spacing w:before="0" w:after="283"/>
              <w:jc w:val="right"/>
              <w:rPr/>
            </w:pPr>
            <w:r>
              <w:rPr/>
              <w:t>15,577</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jc w:val="right"/>
              <w:rPr/>
            </w:pPr>
            <w:r>
              <w:rPr/>
              <w:t>37.8</w:t>
            </w:r>
          </w:p>
        </w:tc>
        <w:tc>
          <w:tcPr>
            <w:tcW w:w="290" w:type="dxa"/>
            <w:tcBorders/>
            <w:shd w:fill="FFFFFF" w:val="clear"/>
            <w:vAlign w:val="center"/>
          </w:tcPr>
          <w:p>
            <w:pPr>
              <w:pStyle w:val="TableContents"/>
              <w:spacing w:before="0" w:after="283"/>
              <w:rPr/>
            </w:pPr>
            <w:r>
              <w:rPr/>
              <w:t>%</w:t>
            </w:r>
          </w:p>
        </w:tc>
      </w:tr>
      <w:tr>
        <w:trPr/>
        <w:tc>
          <w:tcPr>
            <w:tcW w:w="3980" w:type="dxa"/>
            <w:tcBorders/>
            <w:shd w:fill="CCEEFF" w:val="clear"/>
            <w:vAlign w:val="center"/>
          </w:tcPr>
          <w:p>
            <w:pPr>
              <w:pStyle w:val="TableContents"/>
              <w:spacing w:before="0" w:after="283"/>
              <w:rPr/>
            </w:pPr>
            <w:r>
              <w:rPr/>
              <w:t xml:space="preserve">Total </w:t>
            </w:r>
          </w:p>
        </w:tc>
        <w:tc>
          <w:tcPr>
            <w:tcW w:w="9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322" w:type="dxa"/>
            <w:tcBorders>
              <w:bottom w:val="double" w:sz="5" w:space="0" w:color="000000"/>
            </w:tcBorders>
            <w:shd w:fill="CCEEFF" w:val="clear"/>
            <w:tcMar>
              <w:bottom w:w="28" w:type="dxa"/>
            </w:tcMar>
            <w:vAlign w:val="center"/>
          </w:tcPr>
          <w:p>
            <w:pPr>
              <w:pStyle w:val="TableContents"/>
              <w:spacing w:before="0" w:after="283"/>
              <w:rPr/>
            </w:pPr>
            <w:r>
              <w:rPr/>
              <w:t>$</w:t>
            </w:r>
          </w:p>
        </w:tc>
        <w:tc>
          <w:tcPr>
            <w:tcW w:w="1348" w:type="dxa"/>
            <w:tcBorders>
              <w:bottom w:val="double" w:sz="5" w:space="0" w:color="000000"/>
            </w:tcBorders>
            <w:shd w:fill="CCEEFF" w:val="clear"/>
            <w:tcMar>
              <w:bottom w:w="28" w:type="dxa"/>
            </w:tcMar>
            <w:vAlign w:val="center"/>
          </w:tcPr>
          <w:p>
            <w:pPr>
              <w:pStyle w:val="TableContents"/>
              <w:spacing w:before="0" w:after="283"/>
              <w:jc w:val="right"/>
              <w:rPr/>
            </w:pPr>
            <w:r>
              <w:rPr/>
              <w:t>41,248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bottom w:val="double" w:sz="5" w:space="0" w:color="000000"/>
            </w:tcBorders>
            <w:shd w:fill="CCEEFF" w:val="clear"/>
            <w:tcMar>
              <w:bottom w:w="28" w:type="dxa"/>
            </w:tcMar>
            <w:vAlign w:val="center"/>
          </w:tcPr>
          <w:p>
            <w:pPr>
              <w:pStyle w:val="TableContents"/>
              <w:spacing w:before="0" w:after="0"/>
              <w:ind w:left="0" w:right="0" w:hanging="0"/>
              <w:rPr/>
            </w:pPr>
            <w:r>
              <w:rPr/>
              <w:t> </w:t>
            </w:r>
          </w:p>
        </w:tc>
        <w:tc>
          <w:tcPr>
            <w:tcW w:w="590" w:type="dxa"/>
            <w:tcBorders>
              <w:bottom w:val="double" w:sz="5" w:space="0" w:color="000000"/>
            </w:tcBorders>
            <w:shd w:fill="CCEEFF" w:val="clear"/>
            <w:tcMar>
              <w:bottom w:w="28" w:type="dxa"/>
            </w:tcMar>
            <w:vAlign w:val="center"/>
          </w:tcPr>
          <w:p>
            <w:pPr>
              <w:pStyle w:val="TableContents"/>
              <w:spacing w:before="0" w:after="283"/>
              <w:jc w:val="right"/>
              <w:rPr/>
            </w:pPr>
            <w:r>
              <w:rPr/>
              <w:t>100.0</w:t>
            </w:r>
          </w:p>
        </w:tc>
        <w:tc>
          <w:tcPr>
            <w:tcW w:w="290" w:type="dxa"/>
            <w:tcBorders/>
            <w:shd w:fill="CCEEFF" w:val="clear"/>
            <w:vAlign w:val="center"/>
          </w:tcPr>
          <w:p>
            <w:pPr>
              <w:pStyle w:val="TableContents"/>
              <w:spacing w:before="0" w:after="283"/>
              <w:rPr/>
            </w:pPr>
            <w:r>
              <w:rPr/>
              <w:t>%</w:t>
            </w:r>
          </w:p>
        </w:tc>
      </w:tr>
      <w:tr>
        <w:trPr/>
        <w:tc>
          <w:tcPr>
            <w:tcW w:w="398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322" w:type="dxa"/>
            <w:tcBorders/>
            <w:shd w:fill="FFFFFF" w:val="clear"/>
            <w:vAlign w:val="center"/>
          </w:tcPr>
          <w:p>
            <w:pPr>
              <w:pStyle w:val="TableContents"/>
              <w:spacing w:before="0" w:after="0"/>
              <w:ind w:left="0" w:right="0" w:hanging="0"/>
              <w:rPr/>
            </w:pPr>
            <w:r>
              <w:rPr/>
              <w:t> </w:t>
            </w:r>
          </w:p>
        </w:tc>
        <w:tc>
          <w:tcPr>
            <w:tcW w:w="134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0"/>
              <w:ind w:left="0" w:right="0" w:hanging="0"/>
              <w:rPr/>
            </w:pPr>
            <w:r>
              <w:rPr/>
              <w:t> </w:t>
            </w:r>
          </w:p>
        </w:tc>
        <w:tc>
          <w:tcPr>
            <w:tcW w:w="290" w:type="dxa"/>
            <w:tcBorders/>
            <w:shd w:fill="FFFFFF" w:val="clear"/>
            <w:vAlign w:val="center"/>
          </w:tcPr>
          <w:p>
            <w:pPr>
              <w:pStyle w:val="TableContents"/>
              <w:spacing w:before="0" w:after="0"/>
              <w:ind w:left="0" w:right="0" w:hanging="0"/>
              <w:rPr/>
            </w:pPr>
            <w:r>
              <w:rPr/>
              <w:t> </w:t>
            </w:r>
          </w:p>
        </w:tc>
      </w:tr>
    </w:tbl>
    <w:p>
      <w:pPr>
        <w:pStyle w:val="TextBody"/>
        <w:spacing w:before="0" w:after="0"/>
        <w:ind w:left="0" w:right="0" w:firstLine="720"/>
        <w:jc w:val="both"/>
        <w:rPr/>
      </w:pPr>
      <w:r>
        <w:rPr/>
        <w:t> </w:t>
      </w:r>
    </w:p>
    <w:tbl>
      <w:tblPr>
        <w:tblW w:w="10205" w:type="dxa"/>
        <w:jc w:val="left"/>
        <w:tblInd w:w="0" w:type="dxa"/>
        <w:tblCellMar>
          <w:top w:w="0" w:type="dxa"/>
          <w:left w:w="0" w:type="dxa"/>
          <w:bottom w:w="0" w:type="dxa"/>
          <w:right w:w="0" w:type="dxa"/>
        </w:tblCellMar>
      </w:tblPr>
      <w:tblGrid>
        <w:gridCol w:w="105"/>
        <w:gridCol w:w="234"/>
        <w:gridCol w:w="9866"/>
      </w:tblGrid>
      <w:tr>
        <w:trPr/>
        <w:tc>
          <w:tcPr>
            <w:tcW w:w="105" w:type="dxa"/>
            <w:tcBorders/>
            <w:shd w:fill="auto" w:val="clear"/>
            <w:vAlign w:val="center"/>
          </w:tcPr>
          <w:p>
            <w:pPr>
              <w:pStyle w:val="TableContents"/>
              <w:spacing w:before="0" w:after="0"/>
              <w:ind w:left="0" w:right="0" w:hanging="0"/>
              <w:rPr/>
            </w:pPr>
            <w:r>
              <w:rPr/>
              <w:t> </w:t>
            </w:r>
          </w:p>
        </w:tc>
        <w:tc>
          <w:tcPr>
            <w:tcW w:w="234"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866"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Of the $15,577,000 reinsurance recoverables included in Others at December 31, 2022, $1,918,000 was secured pursuant to a collateralized trust agreement and $481,000 guaranteed by irrevocable letters of credit. Assets held in the trust are not included in our invested assets, and investment income earned on this asset is credited to the reinsurer.</w:t>
            </w:r>
          </w:p>
        </w:tc>
      </w:tr>
    </w:tbl>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Effective December 31, 2021, we entered into a quota share reinsurance treaty for our personal lines business, which primarily consisted of homeowners’ and dwelling fire policies, covering the period from December 31, 2021 through January 1, 2023 (“2021/2023 Treaty”). Upon the expiration of the 2021/2023 Treaty on January 1, 2023, we entered into a new quota share reinsurance treaty for our personal lines business, covering the period from January 1, 2023 through January 1, 2024 (“2023/2024 Treaty”).</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55</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entered into new excess of loss and catastrophe reinsurance treaties effective July 1, 2022. Effective October 18, 2021, we entered into a stub catastrophe reinsurance treaty covering the period from October 18, 2021 through December 31, 2021. The treaty provided reinsurance coverage for catastrophe losses of $5,000,000 in excess of $5,000,000. Effective January 1, 2022, we entered into an underlying excess of loss reinsurance treaty (“Underlying XOL Treaty”) covering the period from January 1, 2022 through January 1, 2023. The Underlying XOL Treaty provides 50% reinsurance coverage for losses of $400,000 in excess of $600,000. Losses from named storms are excluded from the Underlying XOL Treaty. Effective January 1, 2023, the Underlying XOL Treaty was renewed covering the period from January 1, 2023 through January 1, 2024. Material terms for our reinsurance treaties in effect for the treaty years shown below are as follows:</w:t>
      </w:r>
    </w:p>
    <w:p>
      <w:pPr>
        <w:pStyle w:val="TextBody"/>
        <w:spacing w:before="0" w:after="0"/>
        <w:ind w:left="0" w:right="0" w:firstLine="720"/>
        <w:jc w:val="both"/>
        <w:rPr/>
      </w:pPr>
      <w:r>
        <w:rPr/>
        <w:t> </w:t>
      </w:r>
    </w:p>
    <w:tbl>
      <w:tblPr>
        <w:tblW w:w="11420" w:type="dxa"/>
        <w:jc w:val="left"/>
        <w:tblInd w:w="0" w:type="dxa"/>
        <w:tblCellMar>
          <w:top w:w="0" w:type="dxa"/>
          <w:left w:w="0" w:type="dxa"/>
          <w:bottom w:w="0" w:type="dxa"/>
          <w:right w:w="0" w:type="dxa"/>
        </w:tblCellMar>
      </w:tblPr>
      <w:tblGrid>
        <w:gridCol w:w="1235"/>
        <w:gridCol w:w="90"/>
        <w:gridCol w:w="175"/>
        <w:gridCol w:w="1165"/>
        <w:gridCol w:w="245"/>
        <w:gridCol w:w="90"/>
        <w:gridCol w:w="170"/>
        <w:gridCol w:w="1250"/>
        <w:gridCol w:w="245"/>
        <w:gridCol w:w="90"/>
        <w:gridCol w:w="170"/>
        <w:gridCol w:w="1250"/>
        <w:gridCol w:w="245"/>
        <w:gridCol w:w="90"/>
        <w:gridCol w:w="170"/>
        <w:gridCol w:w="1250"/>
        <w:gridCol w:w="245"/>
        <w:gridCol w:w="90"/>
        <w:gridCol w:w="170"/>
        <w:gridCol w:w="1250"/>
        <w:gridCol w:w="90"/>
        <w:gridCol w:w="90"/>
        <w:gridCol w:w="170"/>
        <w:gridCol w:w="1250"/>
        <w:gridCol w:w="135"/>
      </w:tblGrid>
      <w:tr>
        <w:trPr/>
        <w:tc>
          <w:tcPr>
            <w:tcW w:w="123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960" w:type="dxa"/>
            <w:gridSpan w:val="2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Treaty Period </w:t>
            </w:r>
          </w:p>
        </w:tc>
        <w:tc>
          <w:tcPr>
            <w:tcW w:w="135" w:type="dxa"/>
            <w:tcBorders/>
            <w:shd w:fill="auto" w:val="clear"/>
            <w:vAlign w:val="center"/>
          </w:tcPr>
          <w:p>
            <w:pPr>
              <w:pStyle w:val="TableContents"/>
              <w:spacing w:before="0" w:after="0"/>
              <w:ind w:left="0" w:right="0" w:hanging="0"/>
              <w:rPr/>
            </w:pPr>
            <w:r>
              <w:rPr/>
              <w:t> </w:t>
            </w:r>
          </w:p>
        </w:tc>
      </w:tr>
      <w:tr>
        <w:trPr/>
        <w:tc>
          <w:tcPr>
            <w:tcW w:w="123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095"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2023/2024 Treaty</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175"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2021/2023 Treaty</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0"/>
              <w:ind w:left="0" w:right="0" w:hanging="0"/>
              <w:rPr/>
            </w:pPr>
            <w:r>
              <w:rPr/>
              <w:t> </w:t>
            </w:r>
          </w:p>
        </w:tc>
      </w:tr>
      <w:tr>
        <w:trPr/>
        <w:tc>
          <w:tcPr>
            <w:tcW w:w="123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4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July 1,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January 1,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July 1,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December 31,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July 1,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December 31, </w:t>
            </w:r>
          </w:p>
        </w:tc>
        <w:tc>
          <w:tcPr>
            <w:tcW w:w="135" w:type="dxa"/>
            <w:tcBorders/>
            <w:shd w:fill="auto" w:val="clear"/>
            <w:vAlign w:val="center"/>
          </w:tcPr>
          <w:p>
            <w:pPr>
              <w:pStyle w:val="TableContents"/>
              <w:spacing w:before="0" w:after="0"/>
              <w:ind w:left="0" w:right="0" w:hanging="0"/>
              <w:rPr/>
            </w:pPr>
            <w:r>
              <w:rPr/>
              <w:t> </w:t>
            </w:r>
          </w:p>
        </w:tc>
      </w:tr>
      <w:tr>
        <w:trPr/>
        <w:tc>
          <w:tcPr>
            <w:tcW w:w="123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4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2023</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2023</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2022</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2021</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2021</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2020</w:t>
            </w:r>
          </w:p>
        </w:tc>
        <w:tc>
          <w:tcPr>
            <w:tcW w:w="135" w:type="dxa"/>
            <w:tcBorders/>
            <w:shd w:fill="auto" w:val="clear"/>
            <w:vAlign w:val="center"/>
          </w:tcPr>
          <w:p>
            <w:pPr>
              <w:pStyle w:val="TableContents"/>
              <w:spacing w:before="0" w:after="0"/>
              <w:ind w:left="0" w:right="0" w:hanging="0"/>
              <w:rPr/>
            </w:pPr>
            <w:r>
              <w:rPr/>
              <w:t> </w:t>
            </w:r>
          </w:p>
        </w:tc>
      </w:tr>
      <w:tr>
        <w:trPr/>
        <w:tc>
          <w:tcPr>
            <w:tcW w:w="123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4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to</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to</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to</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to</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to</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to</w:t>
            </w:r>
          </w:p>
        </w:tc>
        <w:tc>
          <w:tcPr>
            <w:tcW w:w="135" w:type="dxa"/>
            <w:tcBorders/>
            <w:shd w:fill="auto" w:val="clear"/>
            <w:vAlign w:val="center"/>
          </w:tcPr>
          <w:p>
            <w:pPr>
              <w:pStyle w:val="TableContents"/>
              <w:spacing w:before="0" w:after="0"/>
              <w:ind w:left="0" w:right="0" w:hanging="0"/>
              <w:rPr/>
            </w:pPr>
            <w:r>
              <w:rPr/>
              <w:t> </w:t>
            </w:r>
          </w:p>
        </w:tc>
      </w:tr>
      <w:tr>
        <w:trPr/>
        <w:tc>
          <w:tcPr>
            <w:tcW w:w="123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4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January 1,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June 30,</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January 1,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June 30,</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December 30,</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June 30,</w:t>
            </w:r>
          </w:p>
        </w:tc>
        <w:tc>
          <w:tcPr>
            <w:tcW w:w="135" w:type="dxa"/>
            <w:tcBorders/>
            <w:shd w:fill="auto" w:val="clear"/>
            <w:vAlign w:val="center"/>
          </w:tcPr>
          <w:p>
            <w:pPr>
              <w:pStyle w:val="TableContents"/>
              <w:spacing w:before="0" w:after="0"/>
              <w:ind w:left="0" w:right="0" w:hanging="0"/>
              <w:rPr/>
            </w:pPr>
            <w:r>
              <w:rPr/>
              <w:t> </w:t>
            </w:r>
          </w:p>
        </w:tc>
      </w:tr>
      <w:tr>
        <w:trPr/>
        <w:tc>
          <w:tcPr>
            <w:tcW w:w="1235"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Fonts w:ascii="times new roman" w:hAnsi="times new roman"/>
                <w:sz w:val="20"/>
              </w:rPr>
              <w:t xml:space="preserve">Line of Business </w:t>
            </w:r>
          </w:p>
        </w:tc>
        <w:tc>
          <w:tcPr>
            <w:tcW w:w="90" w:type="dxa"/>
            <w:tcBorders/>
            <w:shd w:fill="auto" w:val="clear"/>
            <w:vAlign w:val="center"/>
          </w:tcPr>
          <w:p>
            <w:pPr>
              <w:pStyle w:val="TableContents"/>
              <w:spacing w:before="0" w:after="0"/>
              <w:ind w:left="0" w:right="0" w:hanging="0"/>
              <w:rPr/>
            </w:pPr>
            <w:r>
              <w:rPr/>
              <w:t> </w:t>
            </w:r>
          </w:p>
        </w:tc>
        <w:tc>
          <w:tcPr>
            <w:tcW w:w="13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2024</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2023</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2023</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2022</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2021</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2021</w:t>
            </w:r>
          </w:p>
        </w:tc>
        <w:tc>
          <w:tcPr>
            <w:tcW w:w="135" w:type="dxa"/>
            <w:tcBorders/>
            <w:shd w:fill="auto" w:val="clear"/>
            <w:vAlign w:val="center"/>
          </w:tcPr>
          <w:p>
            <w:pPr>
              <w:pStyle w:val="TableContents"/>
              <w:spacing w:before="0" w:after="0"/>
              <w:ind w:left="0" w:right="0" w:hanging="0"/>
              <w:rPr/>
            </w:pPr>
            <w:r>
              <w:rPr/>
              <w:t> </w:t>
            </w:r>
          </w:p>
        </w:tc>
      </w:tr>
      <w:tr>
        <w:trPr/>
        <w:tc>
          <w:tcPr>
            <w:tcW w:w="123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40"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1235"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Personal Lines</w:t>
            </w:r>
            <w:r>
              <w:rPr>
                <w:rFonts w:ascii="times new roman" w:hAnsi="times new roman"/>
                <w:sz w:val="20"/>
              </w:rPr>
              <w:t>:</w:t>
            </w:r>
          </w:p>
        </w:tc>
        <w:tc>
          <w:tcPr>
            <w:tcW w:w="90" w:type="dxa"/>
            <w:tcBorders/>
            <w:shd w:fill="auto" w:val="clear"/>
            <w:vAlign w:val="center"/>
          </w:tcPr>
          <w:p>
            <w:pPr>
              <w:pStyle w:val="TableContents"/>
              <w:spacing w:before="0" w:after="0"/>
              <w:ind w:left="0" w:right="0" w:hanging="0"/>
              <w:rPr/>
            </w:pPr>
            <w:r>
              <w:rPr/>
              <w:t> </w:t>
            </w:r>
          </w:p>
        </w:tc>
        <w:tc>
          <w:tcPr>
            <w:tcW w:w="1340"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1235"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Homeowners, dwelling fire and and canine legal liability </w:t>
            </w:r>
          </w:p>
        </w:tc>
        <w:tc>
          <w:tcPr>
            <w:tcW w:w="90" w:type="dxa"/>
            <w:tcBorders/>
            <w:shd w:fill="auto" w:val="clear"/>
            <w:vAlign w:val="center"/>
          </w:tcPr>
          <w:p>
            <w:pPr>
              <w:pStyle w:val="TableContents"/>
              <w:spacing w:before="0" w:after="0"/>
              <w:ind w:left="0" w:right="0" w:hanging="0"/>
              <w:rPr/>
            </w:pPr>
            <w:r>
              <w:rPr/>
              <w:t> </w:t>
            </w:r>
          </w:p>
        </w:tc>
        <w:tc>
          <w:tcPr>
            <w:tcW w:w="1340"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1235" w:type="dxa"/>
            <w:tcBorders/>
            <w:shd w:fill="auto" w:val="clear"/>
            <w:vAlign w:val="center"/>
          </w:tcPr>
          <w:p>
            <w:pPr>
              <w:pStyle w:val="TableContents"/>
              <w:spacing w:before="0" w:after="0"/>
              <w:ind w:left="0" w:right="0" w:firstLine="225"/>
              <w:rPr>
                <w:rFonts w:ascii="times new roman" w:hAnsi="times new roman"/>
                <w:sz w:val="20"/>
              </w:rPr>
            </w:pPr>
            <w:r>
              <w:rPr>
                <w:rFonts w:ascii="times new roman" w:hAnsi="times new roman"/>
                <w:sz w:val="20"/>
              </w:rPr>
              <w:t>Quota share treaty:</w:t>
            </w:r>
          </w:p>
        </w:tc>
        <w:tc>
          <w:tcPr>
            <w:tcW w:w="90" w:type="dxa"/>
            <w:tcBorders/>
            <w:shd w:fill="auto" w:val="clear"/>
            <w:vAlign w:val="center"/>
          </w:tcPr>
          <w:p>
            <w:pPr>
              <w:pStyle w:val="TableContents"/>
              <w:spacing w:before="0" w:after="0"/>
              <w:ind w:left="0" w:right="0" w:hanging="0"/>
              <w:rPr/>
            </w:pPr>
            <w:r>
              <w:rPr/>
              <w:t> </w:t>
            </w:r>
          </w:p>
        </w:tc>
        <w:tc>
          <w:tcPr>
            <w:tcW w:w="175" w:type="dxa"/>
            <w:tcBorders/>
            <w:shd w:fill="auto" w:val="clear"/>
            <w:vAlign w:val="center"/>
          </w:tcPr>
          <w:p>
            <w:pPr>
              <w:pStyle w:val="TableContents"/>
              <w:spacing w:before="0" w:after="0"/>
              <w:ind w:left="0" w:right="0" w:hanging="0"/>
              <w:rPr/>
            </w:pPr>
            <w:r>
              <w:rPr/>
              <w:t> </w:t>
            </w:r>
          </w:p>
        </w:tc>
        <w:tc>
          <w:tcPr>
            <w:tcW w:w="1165" w:type="dxa"/>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c>
          <w:tcPr>
            <w:tcW w:w="1250" w:type="dxa"/>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c>
          <w:tcPr>
            <w:tcW w:w="1250" w:type="dxa"/>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c>
          <w:tcPr>
            <w:tcW w:w="1250" w:type="dxa"/>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1235" w:type="dxa"/>
            <w:tcBorders/>
            <w:shd w:fill="CCEEFF" w:val="clear"/>
            <w:vAlign w:val="center"/>
          </w:tcPr>
          <w:p>
            <w:pPr>
              <w:pStyle w:val="TableContents"/>
              <w:spacing w:before="0" w:after="0"/>
              <w:ind w:left="225" w:right="0" w:firstLine="225"/>
              <w:rPr/>
            </w:pPr>
            <w:r>
              <w:rPr/>
              <w:t> </w:t>
            </w:r>
            <w:r>
              <w:rPr>
                <w:rFonts w:ascii="times new roman" w:hAnsi="times new roman"/>
                <w:sz w:val="20"/>
              </w:rPr>
              <w:t>Percent ceded (9)</w:t>
            </w:r>
          </w:p>
        </w:tc>
        <w:tc>
          <w:tcPr>
            <w:tcW w:w="90" w:type="dxa"/>
            <w:tcBorders/>
            <w:shd w:fill="CCEEFF" w:val="clear"/>
            <w:vAlign w:val="center"/>
          </w:tcPr>
          <w:p>
            <w:pPr>
              <w:pStyle w:val="TableContents"/>
              <w:spacing w:before="0" w:after="0"/>
              <w:ind w:left="0" w:right="0" w:hanging="0"/>
              <w:rPr/>
            </w:pPr>
            <w:r>
              <w:rPr/>
              <w:t> </w:t>
            </w:r>
          </w:p>
        </w:tc>
        <w:tc>
          <w:tcPr>
            <w:tcW w:w="175" w:type="dxa"/>
            <w:tcBorders/>
            <w:shd w:fill="CCEEFF" w:val="clear"/>
            <w:vAlign w:val="center"/>
          </w:tcPr>
          <w:p>
            <w:pPr>
              <w:pStyle w:val="TableContents"/>
              <w:spacing w:before="0" w:after="0"/>
              <w:ind w:left="0" w:right="0" w:hanging="0"/>
              <w:rPr/>
            </w:pPr>
            <w:r>
              <w:rPr/>
              <w:t> </w:t>
            </w:r>
          </w:p>
        </w:tc>
        <w:tc>
          <w:tcPr>
            <w:tcW w:w="1165" w:type="dxa"/>
            <w:tcBorders/>
            <w:shd w:fill="CCEEFF" w:val="clear"/>
            <w:vAlign w:val="center"/>
          </w:tcPr>
          <w:p>
            <w:pPr>
              <w:pStyle w:val="TableContents"/>
              <w:spacing w:before="0" w:after="283"/>
              <w:jc w:val="right"/>
              <w:rPr/>
            </w:pPr>
            <w:r>
              <w:rPr/>
              <w:t>30</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30</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30</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30</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420" w:type="dxa"/>
            <w:gridSpan w:val="2"/>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None (5)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20" w:type="dxa"/>
            <w:gridSpan w:val="2"/>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None (5)</w:t>
            </w:r>
          </w:p>
        </w:tc>
        <w:tc>
          <w:tcPr>
            <w:tcW w:w="135" w:type="dxa"/>
            <w:tcBorders/>
            <w:shd w:fill="CCEEFF" w:val="clear"/>
            <w:vAlign w:val="center"/>
          </w:tcPr>
          <w:p>
            <w:pPr>
              <w:pStyle w:val="TableContents"/>
              <w:spacing w:before="0" w:after="0"/>
              <w:ind w:left="0" w:right="0" w:hanging="0"/>
              <w:rPr/>
            </w:pPr>
            <w:r>
              <w:rPr/>
              <w:t> </w:t>
            </w:r>
          </w:p>
        </w:tc>
      </w:tr>
      <w:tr>
        <w:trPr/>
        <w:tc>
          <w:tcPr>
            <w:tcW w:w="1235" w:type="dxa"/>
            <w:tcBorders/>
            <w:shd w:fill="FFFFFF" w:val="clear"/>
            <w:vAlign w:val="center"/>
          </w:tcPr>
          <w:p>
            <w:pPr>
              <w:pStyle w:val="TableContents"/>
              <w:spacing w:before="0" w:after="0"/>
              <w:ind w:left="225" w:right="0" w:hanging="0"/>
              <w:rPr>
                <w:rFonts w:ascii="times new roman" w:hAnsi="times new roman"/>
                <w:sz w:val="20"/>
              </w:rPr>
            </w:pPr>
            <w:r>
              <w:rPr>
                <w:rFonts w:ascii="times new roman" w:hAnsi="times new roman"/>
                <w:sz w:val="20"/>
              </w:rPr>
              <w:t>Risk retained on intial $1,000,000 of losses (5) (7) (8) (9)</w:t>
            </w:r>
          </w:p>
        </w:tc>
        <w:tc>
          <w:tcPr>
            <w:tcW w:w="90" w:type="dxa"/>
            <w:tcBorders/>
            <w:shd w:fill="FFFFFF" w:val="clear"/>
            <w:vAlign w:val="center"/>
          </w:tcPr>
          <w:p>
            <w:pPr>
              <w:pStyle w:val="TableContents"/>
              <w:spacing w:before="0" w:after="0"/>
              <w:ind w:left="0" w:right="0" w:hanging="0"/>
              <w:rPr/>
            </w:pPr>
            <w:r>
              <w:rPr/>
              <w:t> </w:t>
            </w:r>
          </w:p>
        </w:tc>
        <w:tc>
          <w:tcPr>
            <w:tcW w:w="175" w:type="dxa"/>
            <w:tcBorders/>
            <w:shd w:fill="FFFFFF" w:val="clear"/>
            <w:vAlign w:val="center"/>
          </w:tcPr>
          <w:p>
            <w:pPr>
              <w:pStyle w:val="TableContents"/>
              <w:spacing w:before="0" w:after="283"/>
              <w:rPr/>
            </w:pPr>
            <w:r>
              <w:rPr/>
              <w:t>$</w:t>
            </w:r>
          </w:p>
        </w:tc>
        <w:tc>
          <w:tcPr>
            <w:tcW w:w="1165" w:type="dxa"/>
            <w:tcBorders/>
            <w:shd w:fill="FFFFFF" w:val="clear"/>
            <w:vAlign w:val="center"/>
          </w:tcPr>
          <w:p>
            <w:pPr>
              <w:pStyle w:val="TableContents"/>
              <w:spacing w:before="0" w:after="283"/>
              <w:jc w:val="right"/>
              <w:rPr/>
            </w:pPr>
            <w:r>
              <w:rPr/>
              <w:t>700,000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700,000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700,000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700,000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1,000,000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1,000,000</w:t>
            </w:r>
          </w:p>
        </w:tc>
        <w:tc>
          <w:tcPr>
            <w:tcW w:w="135" w:type="dxa"/>
            <w:tcBorders/>
            <w:shd w:fill="FFFFFF" w:val="clear"/>
            <w:vAlign w:val="center"/>
          </w:tcPr>
          <w:p>
            <w:pPr>
              <w:pStyle w:val="TableContents"/>
              <w:spacing w:before="0" w:after="0"/>
              <w:ind w:left="0" w:right="0" w:hanging="0"/>
              <w:rPr/>
            </w:pPr>
            <w:r>
              <w:rPr/>
              <w:t> </w:t>
            </w:r>
          </w:p>
        </w:tc>
      </w:tr>
      <w:tr>
        <w:trPr/>
        <w:tc>
          <w:tcPr>
            <w:tcW w:w="1235" w:type="dxa"/>
            <w:tcBorders/>
            <w:shd w:fill="CCEEFF" w:val="clear"/>
            <w:vAlign w:val="center"/>
          </w:tcPr>
          <w:p>
            <w:pPr>
              <w:pStyle w:val="TableContents"/>
              <w:spacing w:before="0" w:after="0"/>
              <w:ind w:left="225" w:right="0" w:hanging="0"/>
              <w:rPr>
                <w:rFonts w:ascii="times new roman" w:hAnsi="times new roman"/>
                <w:sz w:val="20"/>
              </w:rPr>
            </w:pPr>
            <w:r>
              <w:rPr>
                <w:rFonts w:ascii="times new roman" w:hAnsi="times new roman"/>
                <w:sz w:val="20"/>
              </w:rPr>
              <w:t>Losses per occurrence subject to quota share reinsurance coverage</w:t>
            </w:r>
          </w:p>
        </w:tc>
        <w:tc>
          <w:tcPr>
            <w:tcW w:w="90" w:type="dxa"/>
            <w:tcBorders/>
            <w:shd w:fill="CCEEFF" w:val="clear"/>
            <w:vAlign w:val="center"/>
          </w:tcPr>
          <w:p>
            <w:pPr>
              <w:pStyle w:val="TableContents"/>
              <w:spacing w:before="0" w:after="0"/>
              <w:ind w:left="0" w:right="0" w:hanging="0"/>
              <w:rPr/>
            </w:pPr>
            <w:r>
              <w:rPr/>
              <w:t> </w:t>
            </w:r>
          </w:p>
        </w:tc>
        <w:tc>
          <w:tcPr>
            <w:tcW w:w="175" w:type="dxa"/>
            <w:tcBorders/>
            <w:shd w:fill="CCEEFF" w:val="clear"/>
            <w:vAlign w:val="center"/>
          </w:tcPr>
          <w:p>
            <w:pPr>
              <w:pStyle w:val="TableContents"/>
              <w:spacing w:before="0" w:after="283"/>
              <w:rPr/>
            </w:pPr>
            <w:r>
              <w:rPr/>
              <w:t>$</w:t>
            </w:r>
          </w:p>
        </w:tc>
        <w:tc>
          <w:tcPr>
            <w:tcW w:w="1165" w:type="dxa"/>
            <w:tcBorders/>
            <w:shd w:fill="CCEEFF" w:val="clear"/>
            <w:vAlign w:val="center"/>
          </w:tcPr>
          <w:p>
            <w:pPr>
              <w:pStyle w:val="TableContents"/>
              <w:spacing w:before="0" w:after="283"/>
              <w:jc w:val="right"/>
              <w:rPr/>
            </w:pPr>
            <w:r>
              <w:rPr/>
              <w:t>1,000,000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1,000,000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1,000,000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1,000,000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20" w:type="dxa"/>
            <w:gridSpan w:val="2"/>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None (5)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20" w:type="dxa"/>
            <w:gridSpan w:val="2"/>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None (5)</w:t>
            </w:r>
          </w:p>
        </w:tc>
        <w:tc>
          <w:tcPr>
            <w:tcW w:w="135" w:type="dxa"/>
            <w:tcBorders/>
            <w:shd w:fill="CCEEFF" w:val="clear"/>
            <w:vAlign w:val="center"/>
          </w:tcPr>
          <w:p>
            <w:pPr>
              <w:pStyle w:val="TableContents"/>
              <w:spacing w:before="0" w:after="0"/>
              <w:ind w:left="0" w:right="0" w:hanging="0"/>
              <w:rPr/>
            </w:pPr>
            <w:r>
              <w:rPr/>
              <w:t> </w:t>
            </w:r>
          </w:p>
        </w:tc>
      </w:tr>
      <w:tr>
        <w:trPr/>
        <w:tc>
          <w:tcPr>
            <w:tcW w:w="1235" w:type="dxa"/>
            <w:tcBorders/>
            <w:shd w:fill="FFFFFF" w:val="clear"/>
            <w:vAlign w:val="center"/>
          </w:tcPr>
          <w:p>
            <w:pPr>
              <w:pStyle w:val="TableContents"/>
              <w:spacing w:before="0" w:after="0"/>
              <w:ind w:left="450" w:right="0" w:hanging="0"/>
              <w:rPr>
                <w:rFonts w:ascii="times new roman" w:hAnsi="times new roman"/>
                <w:sz w:val="20"/>
              </w:rPr>
            </w:pPr>
            <w:r>
              <w:rPr>
                <w:rFonts w:ascii="times new roman" w:hAnsi="times new roman"/>
                <w:sz w:val="20"/>
              </w:rPr>
              <w:t>Expiration date</w:t>
            </w:r>
          </w:p>
        </w:tc>
        <w:tc>
          <w:tcPr>
            <w:tcW w:w="90" w:type="dxa"/>
            <w:tcBorders/>
            <w:shd w:fill="FFFFFF" w:val="clear"/>
            <w:vAlign w:val="center"/>
          </w:tcPr>
          <w:p>
            <w:pPr>
              <w:pStyle w:val="TableContents"/>
              <w:spacing w:before="0" w:after="0"/>
              <w:ind w:left="0" w:right="0" w:hanging="0"/>
              <w:rPr/>
            </w:pPr>
            <w:r>
              <w:rPr/>
              <w:t> </w:t>
            </w:r>
          </w:p>
        </w:tc>
        <w:tc>
          <w:tcPr>
            <w:tcW w:w="1340" w:type="dxa"/>
            <w:gridSpan w:val="2"/>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January 1, 2024</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20" w:type="dxa"/>
            <w:gridSpan w:val="2"/>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January 1, 2024</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20" w:type="dxa"/>
            <w:gridSpan w:val="2"/>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January 1, 2023</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20" w:type="dxa"/>
            <w:gridSpan w:val="2"/>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January 1, 2023</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20" w:type="dxa"/>
            <w:gridSpan w:val="2"/>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NA (5)</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20" w:type="dxa"/>
            <w:gridSpan w:val="2"/>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NA (5)</w:t>
            </w:r>
          </w:p>
        </w:tc>
        <w:tc>
          <w:tcPr>
            <w:tcW w:w="135" w:type="dxa"/>
            <w:tcBorders/>
            <w:shd w:fill="FFFFFF" w:val="clear"/>
            <w:vAlign w:val="center"/>
          </w:tcPr>
          <w:p>
            <w:pPr>
              <w:pStyle w:val="TableContents"/>
              <w:spacing w:before="0" w:after="0"/>
              <w:ind w:left="0" w:right="0" w:hanging="0"/>
              <w:rPr/>
            </w:pPr>
            <w:r>
              <w:rPr/>
              <w:t> </w:t>
            </w:r>
          </w:p>
        </w:tc>
      </w:tr>
      <w:tr>
        <w:trPr/>
        <w:tc>
          <w:tcPr>
            <w:tcW w:w="1235" w:type="dxa"/>
            <w:tcBorders/>
            <w:shd w:fill="CCEEFF" w:val="clear"/>
            <w:vAlign w:val="center"/>
          </w:tcPr>
          <w:p>
            <w:pPr>
              <w:pStyle w:val="TableContents"/>
              <w:spacing w:before="0" w:after="0"/>
              <w:ind w:left="225" w:right="0" w:hanging="0"/>
              <w:rPr>
                <w:rFonts w:ascii="times new roman" w:hAnsi="times new roman"/>
                <w:sz w:val="20"/>
              </w:rPr>
            </w:pPr>
            <w:r>
              <w:rPr>
                <w:rFonts w:ascii="times new roman" w:hAnsi="times new roman"/>
                <w:sz w:val="20"/>
              </w:rPr>
              <w:t>Excess of loss coverage and facultative facility coverage (1) (7)</w:t>
            </w:r>
          </w:p>
        </w:tc>
        <w:tc>
          <w:tcPr>
            <w:tcW w:w="90" w:type="dxa"/>
            <w:tcBorders/>
            <w:shd w:fill="CCEEFF" w:val="clear"/>
            <w:vAlign w:val="center"/>
          </w:tcPr>
          <w:p>
            <w:pPr>
              <w:pStyle w:val="TableContents"/>
              <w:spacing w:before="0" w:after="0"/>
              <w:ind w:left="0" w:right="0" w:hanging="0"/>
              <w:rPr/>
            </w:pPr>
            <w:r>
              <w:rPr/>
              <w:t> </w:t>
            </w:r>
          </w:p>
        </w:tc>
        <w:tc>
          <w:tcPr>
            <w:tcW w:w="175" w:type="dxa"/>
            <w:tcBorders/>
            <w:shd w:fill="CCEEFF" w:val="clear"/>
            <w:vAlign w:val="center"/>
          </w:tcPr>
          <w:p>
            <w:pPr>
              <w:pStyle w:val="TableContents"/>
              <w:spacing w:before="0" w:after="0"/>
              <w:ind w:left="0" w:right="0" w:hanging="0"/>
              <w:rPr/>
            </w:pPr>
            <w:r>
              <w:rPr/>
              <w:t> </w:t>
            </w:r>
          </w:p>
        </w:tc>
        <w:tc>
          <w:tcPr>
            <w:tcW w:w="1165" w:type="dxa"/>
            <w:tcBorders/>
            <w:shd w:fill="CCEEFF" w:val="clear"/>
            <w:vAlign w:val="center"/>
          </w:tcPr>
          <w:p>
            <w:pPr>
              <w:pStyle w:val="TableContents"/>
              <w:spacing w:before="0" w:after="283"/>
              <w:jc w:val="right"/>
              <w:rPr/>
            </w:pPr>
            <w:r>
              <w:rPr/>
              <w:t>(8</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8,400,000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8,400,000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8,400,000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8,000,000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8,000,000</w:t>
            </w:r>
          </w:p>
        </w:tc>
        <w:tc>
          <w:tcPr>
            <w:tcW w:w="135" w:type="dxa"/>
            <w:tcBorders/>
            <w:shd w:fill="CCEEFF" w:val="clear"/>
            <w:vAlign w:val="center"/>
          </w:tcPr>
          <w:p>
            <w:pPr>
              <w:pStyle w:val="TableContents"/>
              <w:spacing w:before="0" w:after="0"/>
              <w:ind w:left="0" w:right="0" w:hanging="0"/>
              <w:rPr/>
            </w:pPr>
            <w:r>
              <w:rPr/>
              <w:t> </w:t>
            </w:r>
          </w:p>
        </w:tc>
      </w:tr>
      <w:tr>
        <w:trPr/>
        <w:tc>
          <w:tcPr>
            <w:tcW w:w="123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5" w:type="dxa"/>
            <w:tcBorders/>
            <w:shd w:fill="FFFFFF" w:val="clear"/>
            <w:vAlign w:val="center"/>
          </w:tcPr>
          <w:p>
            <w:pPr>
              <w:pStyle w:val="TableContents"/>
              <w:spacing w:before="0" w:after="0"/>
              <w:ind w:left="0" w:right="0" w:hanging="0"/>
              <w:rPr/>
            </w:pPr>
            <w:r>
              <w:rPr/>
              <w:t> </w:t>
            </w:r>
          </w:p>
        </w:tc>
        <w:tc>
          <w:tcPr>
            <w:tcW w:w="1165"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sz w:val="4"/>
                <w:szCs w:val="4"/>
              </w:rPr>
            </w:pPr>
            <w:r>
              <w:rPr>
                <w:sz w:val="4"/>
                <w:szCs w:val="4"/>
              </w:rPr>
            </w:r>
          </w:p>
        </w:tc>
        <w:tc>
          <w:tcPr>
            <w:tcW w:w="1250" w:type="dxa"/>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in excess of</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sz w:val="4"/>
                <w:szCs w:val="4"/>
              </w:rPr>
            </w:pPr>
            <w:r>
              <w:rPr>
                <w:sz w:val="4"/>
                <w:szCs w:val="4"/>
              </w:rPr>
            </w:r>
          </w:p>
        </w:tc>
        <w:tc>
          <w:tcPr>
            <w:tcW w:w="1250" w:type="dxa"/>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in excess of</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sz w:val="4"/>
                <w:szCs w:val="4"/>
              </w:rPr>
            </w:pPr>
            <w:r>
              <w:rPr>
                <w:sz w:val="4"/>
                <w:szCs w:val="4"/>
              </w:rPr>
            </w:r>
          </w:p>
        </w:tc>
        <w:tc>
          <w:tcPr>
            <w:tcW w:w="1250" w:type="dxa"/>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in excess of</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sz w:val="4"/>
                <w:szCs w:val="4"/>
              </w:rPr>
            </w:pPr>
            <w:r>
              <w:rPr>
                <w:sz w:val="4"/>
                <w:szCs w:val="4"/>
              </w:rPr>
            </w:r>
          </w:p>
        </w:tc>
        <w:tc>
          <w:tcPr>
            <w:tcW w:w="1250" w:type="dxa"/>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in excess of</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sz w:val="4"/>
                <w:szCs w:val="4"/>
              </w:rPr>
            </w:pPr>
            <w:r>
              <w:rPr>
                <w:sz w:val="4"/>
                <w:szCs w:val="4"/>
              </w:rPr>
            </w:r>
          </w:p>
        </w:tc>
        <w:tc>
          <w:tcPr>
            <w:tcW w:w="1250" w:type="dxa"/>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in excess of</w:t>
            </w:r>
          </w:p>
        </w:tc>
        <w:tc>
          <w:tcPr>
            <w:tcW w:w="135" w:type="dxa"/>
            <w:tcBorders/>
            <w:shd w:fill="FFFFFF" w:val="clear"/>
            <w:vAlign w:val="center"/>
          </w:tcPr>
          <w:p>
            <w:pPr>
              <w:pStyle w:val="TableContents"/>
              <w:spacing w:before="0" w:after="0"/>
              <w:ind w:left="0" w:right="0" w:hanging="0"/>
              <w:rPr/>
            </w:pPr>
            <w:r>
              <w:rPr/>
              <w:t> </w:t>
            </w:r>
          </w:p>
        </w:tc>
      </w:tr>
      <w:tr>
        <w:trPr/>
        <w:tc>
          <w:tcPr>
            <w:tcW w:w="123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5" w:type="dxa"/>
            <w:tcBorders/>
            <w:shd w:fill="CCEEFF" w:val="clear"/>
            <w:vAlign w:val="center"/>
          </w:tcPr>
          <w:p>
            <w:pPr>
              <w:pStyle w:val="TableContents"/>
              <w:spacing w:before="0" w:after="0"/>
              <w:ind w:left="0" w:right="0" w:hanging="0"/>
              <w:rPr/>
            </w:pPr>
            <w:r>
              <w:rPr/>
              <w:t> </w:t>
            </w:r>
          </w:p>
        </w:tc>
        <w:tc>
          <w:tcPr>
            <w:tcW w:w="1165"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600,000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600,000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600,000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1,000,000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1,000,000</w:t>
            </w:r>
          </w:p>
        </w:tc>
        <w:tc>
          <w:tcPr>
            <w:tcW w:w="135" w:type="dxa"/>
            <w:tcBorders/>
            <w:shd w:fill="CCEEFF" w:val="clear"/>
            <w:vAlign w:val="center"/>
          </w:tcPr>
          <w:p>
            <w:pPr>
              <w:pStyle w:val="TableContents"/>
              <w:spacing w:before="0" w:after="0"/>
              <w:ind w:left="0" w:right="0" w:hanging="0"/>
              <w:rPr/>
            </w:pPr>
            <w:r>
              <w:rPr/>
              <w:t> </w:t>
            </w:r>
          </w:p>
        </w:tc>
      </w:tr>
      <w:tr>
        <w:trPr/>
        <w:tc>
          <w:tcPr>
            <w:tcW w:w="1235" w:type="dxa"/>
            <w:tcBorders/>
            <w:shd w:fill="FFFFFF" w:val="clear"/>
            <w:vAlign w:val="center"/>
          </w:tcPr>
          <w:p>
            <w:pPr>
              <w:pStyle w:val="TableContents"/>
              <w:spacing w:before="0" w:after="0"/>
              <w:ind w:left="225" w:right="0" w:hanging="0"/>
              <w:rPr>
                <w:rFonts w:ascii="times new roman" w:hAnsi="times new roman"/>
                <w:sz w:val="20"/>
              </w:rPr>
            </w:pPr>
            <w:r>
              <w:rPr>
                <w:rFonts w:ascii="times new roman" w:hAnsi="times new roman"/>
                <w:sz w:val="20"/>
              </w:rPr>
              <w:t>Total reinsurance coverage per occurrence (5) (7) (8)</w:t>
            </w:r>
          </w:p>
        </w:tc>
        <w:tc>
          <w:tcPr>
            <w:tcW w:w="90" w:type="dxa"/>
            <w:tcBorders/>
            <w:shd w:fill="FFFFFF" w:val="clear"/>
            <w:vAlign w:val="center"/>
          </w:tcPr>
          <w:p>
            <w:pPr>
              <w:pStyle w:val="TableContents"/>
              <w:spacing w:before="0" w:after="0"/>
              <w:ind w:left="0" w:right="0" w:hanging="0"/>
              <w:rPr/>
            </w:pPr>
            <w:r>
              <w:rPr/>
              <w:t> </w:t>
            </w:r>
          </w:p>
        </w:tc>
        <w:tc>
          <w:tcPr>
            <w:tcW w:w="175" w:type="dxa"/>
            <w:tcBorders/>
            <w:shd w:fill="FFFFFF" w:val="clear"/>
            <w:vAlign w:val="center"/>
          </w:tcPr>
          <w:p>
            <w:pPr>
              <w:pStyle w:val="TableContents"/>
              <w:spacing w:before="0" w:after="283"/>
              <w:rPr/>
            </w:pPr>
            <w:r>
              <w:rPr/>
              <w:t>$</w:t>
            </w:r>
          </w:p>
        </w:tc>
        <w:tc>
          <w:tcPr>
            <w:tcW w:w="1165" w:type="dxa"/>
            <w:tcBorders/>
            <w:shd w:fill="FFFFFF" w:val="clear"/>
            <w:vAlign w:val="center"/>
          </w:tcPr>
          <w:p>
            <w:pPr>
              <w:pStyle w:val="TableContents"/>
              <w:spacing w:before="0" w:after="283"/>
              <w:jc w:val="right"/>
              <w:rPr/>
            </w:pPr>
            <w:r>
              <w:rPr/>
              <w:t>500,000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8,500,000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8,500,000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8,500,000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8,000,000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8,000,000</w:t>
            </w:r>
          </w:p>
        </w:tc>
        <w:tc>
          <w:tcPr>
            <w:tcW w:w="135" w:type="dxa"/>
            <w:tcBorders/>
            <w:shd w:fill="FFFFFF" w:val="clear"/>
            <w:vAlign w:val="center"/>
          </w:tcPr>
          <w:p>
            <w:pPr>
              <w:pStyle w:val="TableContents"/>
              <w:spacing w:before="0" w:after="0"/>
              <w:ind w:left="0" w:right="0" w:hanging="0"/>
              <w:rPr/>
            </w:pPr>
            <w:r>
              <w:rPr/>
              <w:t> </w:t>
            </w:r>
          </w:p>
        </w:tc>
      </w:tr>
      <w:tr>
        <w:trPr/>
        <w:tc>
          <w:tcPr>
            <w:tcW w:w="1235" w:type="dxa"/>
            <w:tcBorders/>
            <w:shd w:fill="CCEEFF" w:val="clear"/>
            <w:vAlign w:val="center"/>
          </w:tcPr>
          <w:p>
            <w:pPr>
              <w:pStyle w:val="TableContents"/>
              <w:spacing w:before="0" w:after="0"/>
              <w:ind w:left="0" w:right="0" w:firstLine="160"/>
              <w:rPr/>
            </w:pPr>
            <w:r>
              <w:rPr/>
              <w:t> </w:t>
            </w:r>
          </w:p>
        </w:tc>
        <w:tc>
          <w:tcPr>
            <w:tcW w:w="90" w:type="dxa"/>
            <w:tcBorders/>
            <w:shd w:fill="CCEEFF" w:val="clear"/>
            <w:vAlign w:val="center"/>
          </w:tcPr>
          <w:p>
            <w:pPr>
              <w:pStyle w:val="TableContents"/>
              <w:spacing w:before="0" w:after="0"/>
              <w:ind w:left="0" w:right="0" w:hanging="0"/>
              <w:rPr/>
            </w:pPr>
            <w:r>
              <w:rPr/>
              <w:t> </w:t>
            </w:r>
          </w:p>
        </w:tc>
        <w:tc>
          <w:tcPr>
            <w:tcW w:w="175" w:type="dxa"/>
            <w:tcBorders/>
            <w:shd w:fill="CCEEFF" w:val="clear"/>
            <w:vAlign w:val="center"/>
          </w:tcPr>
          <w:p>
            <w:pPr>
              <w:pStyle w:val="TableContents"/>
              <w:spacing w:before="0" w:after="0"/>
              <w:ind w:left="0" w:right="0" w:hanging="0"/>
              <w:rPr/>
            </w:pPr>
            <w:r>
              <w:rPr/>
              <w:t> </w:t>
            </w:r>
          </w:p>
        </w:tc>
        <w:tc>
          <w:tcPr>
            <w:tcW w:w="1165"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35" w:type="dxa"/>
            <w:tcBorders/>
            <w:shd w:fill="CCEEFF" w:val="clear"/>
            <w:vAlign w:val="center"/>
          </w:tcPr>
          <w:p>
            <w:pPr>
              <w:pStyle w:val="TableContents"/>
              <w:spacing w:before="0" w:after="0"/>
              <w:ind w:left="0" w:right="0" w:hanging="0"/>
              <w:rPr/>
            </w:pPr>
            <w:r>
              <w:rPr/>
              <w:t> </w:t>
            </w:r>
          </w:p>
        </w:tc>
      </w:tr>
      <w:tr>
        <w:trPr/>
        <w:tc>
          <w:tcPr>
            <w:tcW w:w="1235" w:type="dxa"/>
            <w:tcBorders/>
            <w:shd w:fill="FFFFFF" w:val="clear"/>
            <w:vAlign w:val="center"/>
          </w:tcPr>
          <w:p>
            <w:pPr>
              <w:pStyle w:val="TableContents"/>
              <w:spacing w:before="0" w:after="0"/>
              <w:ind w:left="225" w:right="0" w:hanging="0"/>
              <w:rPr>
                <w:rFonts w:ascii="times new roman" w:hAnsi="times new roman"/>
                <w:sz w:val="20"/>
              </w:rPr>
            </w:pPr>
            <w:r>
              <w:rPr>
                <w:rFonts w:ascii="times new roman" w:hAnsi="times new roman"/>
                <w:sz w:val="20"/>
              </w:rPr>
              <w:t>Losses per occurrence subject to reinsurance coverage (5)</w:t>
            </w:r>
          </w:p>
        </w:tc>
        <w:tc>
          <w:tcPr>
            <w:tcW w:w="90" w:type="dxa"/>
            <w:tcBorders/>
            <w:shd w:fill="FFFFFF" w:val="clear"/>
            <w:vAlign w:val="center"/>
          </w:tcPr>
          <w:p>
            <w:pPr>
              <w:pStyle w:val="TableContents"/>
              <w:spacing w:before="0" w:after="0"/>
              <w:ind w:left="0" w:right="0" w:hanging="0"/>
              <w:rPr/>
            </w:pPr>
            <w:r>
              <w:rPr/>
              <w:t> </w:t>
            </w:r>
          </w:p>
        </w:tc>
        <w:tc>
          <w:tcPr>
            <w:tcW w:w="175" w:type="dxa"/>
            <w:tcBorders/>
            <w:shd w:fill="FFFFFF" w:val="clear"/>
            <w:vAlign w:val="center"/>
          </w:tcPr>
          <w:p>
            <w:pPr>
              <w:pStyle w:val="TableContents"/>
              <w:spacing w:before="0" w:after="0"/>
              <w:ind w:left="0" w:right="0" w:hanging="0"/>
              <w:rPr/>
            </w:pPr>
            <w:r>
              <w:rPr/>
              <w:t> </w:t>
            </w:r>
          </w:p>
        </w:tc>
        <w:tc>
          <w:tcPr>
            <w:tcW w:w="1165" w:type="dxa"/>
            <w:tcBorders/>
            <w:shd w:fill="FFFFFF" w:val="clear"/>
            <w:vAlign w:val="center"/>
          </w:tcPr>
          <w:p>
            <w:pPr>
              <w:pStyle w:val="TableContents"/>
              <w:spacing w:before="0" w:after="283"/>
              <w:jc w:val="right"/>
              <w:rPr/>
            </w:pPr>
            <w:r>
              <w:rPr/>
              <w:t>(8</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8,000,000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9,000,000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9,000,000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9,000,000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9,000,000</w:t>
            </w:r>
          </w:p>
        </w:tc>
        <w:tc>
          <w:tcPr>
            <w:tcW w:w="135" w:type="dxa"/>
            <w:tcBorders/>
            <w:shd w:fill="FFFFFF" w:val="clear"/>
            <w:vAlign w:val="center"/>
          </w:tcPr>
          <w:p>
            <w:pPr>
              <w:pStyle w:val="TableContents"/>
              <w:spacing w:before="0" w:after="0"/>
              <w:ind w:left="0" w:right="0" w:hanging="0"/>
              <w:rPr/>
            </w:pPr>
            <w:r>
              <w:rPr/>
              <w:t> </w:t>
            </w:r>
          </w:p>
        </w:tc>
      </w:tr>
      <w:tr>
        <w:trPr/>
        <w:tc>
          <w:tcPr>
            <w:tcW w:w="1235" w:type="dxa"/>
            <w:tcBorders/>
            <w:shd w:fill="CCEEFF" w:val="clear"/>
            <w:vAlign w:val="center"/>
          </w:tcPr>
          <w:p>
            <w:pPr>
              <w:pStyle w:val="TableContents"/>
              <w:spacing w:before="0" w:after="0"/>
              <w:ind w:left="450" w:right="0" w:hanging="0"/>
              <w:rPr>
                <w:rFonts w:ascii="times new roman" w:hAnsi="times new roman"/>
                <w:sz w:val="20"/>
              </w:rPr>
            </w:pPr>
            <w:r>
              <w:rPr>
                <w:rFonts w:ascii="times new roman" w:hAnsi="times new roman"/>
                <w:sz w:val="20"/>
              </w:rPr>
              <w:t>Expiration date</w:t>
            </w:r>
          </w:p>
        </w:tc>
        <w:tc>
          <w:tcPr>
            <w:tcW w:w="90" w:type="dxa"/>
            <w:tcBorders/>
            <w:shd w:fill="CCEEFF" w:val="clear"/>
            <w:vAlign w:val="center"/>
          </w:tcPr>
          <w:p>
            <w:pPr>
              <w:pStyle w:val="TableContents"/>
              <w:spacing w:before="0" w:after="0"/>
              <w:ind w:left="0" w:right="0" w:hanging="0"/>
              <w:rPr/>
            </w:pPr>
            <w:r>
              <w:rPr/>
              <w:t> </w:t>
            </w:r>
          </w:p>
        </w:tc>
        <w:tc>
          <w:tcPr>
            <w:tcW w:w="175" w:type="dxa"/>
            <w:tcBorders/>
            <w:shd w:fill="CCEEFF" w:val="clear"/>
            <w:vAlign w:val="center"/>
          </w:tcPr>
          <w:p>
            <w:pPr>
              <w:pStyle w:val="TableContents"/>
              <w:spacing w:before="0" w:after="0"/>
              <w:ind w:left="0" w:right="0" w:hanging="0"/>
              <w:rPr/>
            </w:pPr>
            <w:r>
              <w:rPr/>
              <w:t> </w:t>
            </w:r>
          </w:p>
        </w:tc>
        <w:tc>
          <w:tcPr>
            <w:tcW w:w="1165" w:type="dxa"/>
            <w:tcBorders/>
            <w:shd w:fill="CCEEFF" w:val="clear"/>
            <w:vAlign w:val="center"/>
          </w:tcPr>
          <w:p>
            <w:pPr>
              <w:pStyle w:val="TableContents"/>
              <w:spacing w:before="0" w:after="283"/>
              <w:jc w:val="right"/>
              <w:rPr/>
            </w:pPr>
            <w:r>
              <w:rPr/>
              <w:t>(8</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420" w:type="dxa"/>
            <w:gridSpan w:val="2"/>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June 30, 2023</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20" w:type="dxa"/>
            <w:gridSpan w:val="2"/>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June 30, 2023</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20" w:type="dxa"/>
            <w:gridSpan w:val="2"/>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June 30, 2022</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20" w:type="dxa"/>
            <w:gridSpan w:val="2"/>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June 30, 2022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20" w:type="dxa"/>
            <w:gridSpan w:val="2"/>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June 30, 2021</w:t>
            </w:r>
          </w:p>
        </w:tc>
        <w:tc>
          <w:tcPr>
            <w:tcW w:w="135" w:type="dxa"/>
            <w:tcBorders/>
            <w:shd w:fill="CCEEFF" w:val="clear"/>
            <w:vAlign w:val="center"/>
          </w:tcPr>
          <w:p>
            <w:pPr>
              <w:pStyle w:val="TableContents"/>
              <w:spacing w:before="0" w:after="0"/>
              <w:ind w:left="0" w:right="0" w:hanging="0"/>
              <w:rPr/>
            </w:pPr>
            <w:r>
              <w:rPr/>
              <w:t> </w:t>
            </w:r>
          </w:p>
        </w:tc>
      </w:tr>
      <w:tr>
        <w:trPr/>
        <w:tc>
          <w:tcPr>
            <w:tcW w:w="123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5" w:type="dxa"/>
            <w:tcBorders/>
            <w:shd w:fill="FFFFFF" w:val="clear"/>
            <w:vAlign w:val="center"/>
          </w:tcPr>
          <w:p>
            <w:pPr>
              <w:pStyle w:val="TableContents"/>
              <w:spacing w:before="0" w:after="0"/>
              <w:ind w:left="0" w:right="0" w:hanging="0"/>
              <w:rPr/>
            </w:pPr>
            <w:r>
              <w:rPr/>
              <w:t> </w:t>
            </w:r>
          </w:p>
        </w:tc>
        <w:tc>
          <w:tcPr>
            <w:tcW w:w="1165"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35" w:type="dxa"/>
            <w:tcBorders/>
            <w:shd w:fill="FFFFFF" w:val="clear"/>
            <w:vAlign w:val="center"/>
          </w:tcPr>
          <w:p>
            <w:pPr>
              <w:pStyle w:val="TableContents"/>
              <w:spacing w:before="0" w:after="0"/>
              <w:ind w:left="0" w:right="0" w:hanging="0"/>
              <w:rPr/>
            </w:pPr>
            <w:r>
              <w:rPr/>
              <w:t> </w:t>
            </w:r>
          </w:p>
        </w:tc>
      </w:tr>
      <w:tr>
        <w:trPr/>
        <w:tc>
          <w:tcPr>
            <w:tcW w:w="1235" w:type="dxa"/>
            <w:tcBorders/>
            <w:shd w:fill="CCEEFF"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Catastrophe Reinsurance</w:t>
            </w:r>
            <w:r>
              <w:rPr>
                <w:rFonts w:ascii="times new roman" w:hAnsi="times new roman"/>
                <w:sz w:val="20"/>
              </w:rPr>
              <w:t>:</w:t>
            </w:r>
          </w:p>
        </w:tc>
        <w:tc>
          <w:tcPr>
            <w:tcW w:w="90" w:type="dxa"/>
            <w:tcBorders/>
            <w:shd w:fill="CCEEFF" w:val="clear"/>
            <w:vAlign w:val="center"/>
          </w:tcPr>
          <w:p>
            <w:pPr>
              <w:pStyle w:val="TableContents"/>
              <w:spacing w:before="0" w:after="0"/>
              <w:ind w:left="0" w:right="0" w:hanging="0"/>
              <w:rPr/>
            </w:pPr>
            <w:r>
              <w:rPr/>
              <w:t> </w:t>
            </w:r>
          </w:p>
        </w:tc>
        <w:tc>
          <w:tcPr>
            <w:tcW w:w="175" w:type="dxa"/>
            <w:tcBorders/>
            <w:shd w:fill="CCEEFF" w:val="clear"/>
            <w:vAlign w:val="center"/>
          </w:tcPr>
          <w:p>
            <w:pPr>
              <w:pStyle w:val="TableContents"/>
              <w:spacing w:before="0" w:after="0"/>
              <w:ind w:left="0" w:right="0" w:hanging="0"/>
              <w:rPr/>
            </w:pPr>
            <w:r>
              <w:rPr/>
              <w:t> </w:t>
            </w:r>
          </w:p>
        </w:tc>
        <w:tc>
          <w:tcPr>
            <w:tcW w:w="1165"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35" w:type="dxa"/>
            <w:tcBorders/>
            <w:shd w:fill="CCEEFF" w:val="clear"/>
            <w:vAlign w:val="center"/>
          </w:tcPr>
          <w:p>
            <w:pPr>
              <w:pStyle w:val="TableContents"/>
              <w:spacing w:before="0" w:after="0"/>
              <w:ind w:left="0" w:right="0" w:hanging="0"/>
              <w:rPr/>
            </w:pPr>
            <w:r>
              <w:rPr/>
              <w:t> </w:t>
            </w:r>
          </w:p>
        </w:tc>
      </w:tr>
      <w:tr>
        <w:trPr/>
        <w:tc>
          <w:tcPr>
            <w:tcW w:w="1235" w:type="dxa"/>
            <w:tcBorders/>
            <w:shd w:fill="FFFFFF" w:val="clear"/>
            <w:vAlign w:val="center"/>
          </w:tcPr>
          <w:p>
            <w:pPr>
              <w:pStyle w:val="TableContents"/>
              <w:spacing w:before="0" w:after="283"/>
              <w:rPr>
                <w:sz w:val="4"/>
                <w:szCs w:val="4"/>
              </w:rPr>
            </w:pPr>
            <w:r>
              <w:rPr>
                <w:sz w:val="4"/>
                <w:szCs w:val="4"/>
              </w:rPr>
            </w:r>
          </w:p>
        </w:tc>
        <w:tc>
          <w:tcPr>
            <w:tcW w:w="90" w:type="dxa"/>
            <w:tcBorders/>
            <w:shd w:fill="FFFFFF" w:val="clear"/>
            <w:vAlign w:val="center"/>
          </w:tcPr>
          <w:p>
            <w:pPr>
              <w:pStyle w:val="TableContents"/>
              <w:spacing w:before="0" w:after="0"/>
              <w:ind w:left="0" w:right="0" w:hanging="0"/>
              <w:rPr/>
            </w:pPr>
            <w:r>
              <w:rPr/>
              <w:t> </w:t>
            </w:r>
          </w:p>
        </w:tc>
        <w:tc>
          <w:tcPr>
            <w:tcW w:w="175" w:type="dxa"/>
            <w:tcBorders/>
            <w:shd w:fill="FFFFFF" w:val="clear"/>
            <w:vAlign w:val="center"/>
          </w:tcPr>
          <w:p>
            <w:pPr>
              <w:pStyle w:val="TableContents"/>
              <w:spacing w:before="0" w:after="0"/>
              <w:ind w:left="0" w:right="0" w:hanging="0"/>
              <w:rPr/>
            </w:pPr>
            <w:r>
              <w:rPr/>
              <w:t> </w:t>
            </w:r>
          </w:p>
        </w:tc>
        <w:tc>
          <w:tcPr>
            <w:tcW w:w="1165"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35" w:type="dxa"/>
            <w:tcBorders/>
            <w:shd w:fill="FFFFFF" w:val="clear"/>
            <w:vAlign w:val="center"/>
          </w:tcPr>
          <w:p>
            <w:pPr>
              <w:pStyle w:val="TableContents"/>
              <w:spacing w:before="0" w:after="0"/>
              <w:ind w:left="0" w:right="0" w:hanging="0"/>
              <w:rPr/>
            </w:pPr>
            <w:r>
              <w:rPr/>
              <w:t> </w:t>
            </w:r>
          </w:p>
        </w:tc>
      </w:tr>
      <w:tr>
        <w:trPr/>
        <w:tc>
          <w:tcPr>
            <w:tcW w:w="1235" w:type="dxa"/>
            <w:tcBorders/>
            <w:shd w:fill="CCEEFF" w:val="clear"/>
            <w:vAlign w:val="center"/>
          </w:tcPr>
          <w:p>
            <w:pPr>
              <w:pStyle w:val="TableContents"/>
              <w:spacing w:before="0" w:after="0"/>
              <w:ind w:left="225" w:right="0" w:hanging="0"/>
              <w:rPr>
                <w:rFonts w:ascii="times new roman" w:hAnsi="times new roman"/>
                <w:sz w:val="20"/>
              </w:rPr>
            </w:pPr>
            <w:r>
              <w:rPr>
                <w:rFonts w:ascii="times new roman" w:hAnsi="times new roman"/>
                <w:sz w:val="20"/>
              </w:rPr>
              <w:t>Initial loss subject to personal lines quota share treaty (8)</w:t>
            </w:r>
          </w:p>
        </w:tc>
        <w:tc>
          <w:tcPr>
            <w:tcW w:w="90" w:type="dxa"/>
            <w:tcBorders/>
            <w:shd w:fill="CCEEFF" w:val="clear"/>
            <w:vAlign w:val="center"/>
          </w:tcPr>
          <w:p>
            <w:pPr>
              <w:pStyle w:val="TableContents"/>
              <w:spacing w:before="0" w:after="0"/>
              <w:ind w:left="0" w:right="0" w:hanging="0"/>
              <w:rPr/>
            </w:pPr>
            <w:r>
              <w:rPr/>
              <w:t> </w:t>
            </w:r>
          </w:p>
        </w:tc>
        <w:tc>
          <w:tcPr>
            <w:tcW w:w="175" w:type="dxa"/>
            <w:tcBorders/>
            <w:shd w:fill="CCEEFF" w:val="clear"/>
            <w:vAlign w:val="center"/>
          </w:tcPr>
          <w:p>
            <w:pPr>
              <w:pStyle w:val="TableContents"/>
              <w:spacing w:before="0" w:after="283"/>
              <w:rPr/>
            </w:pPr>
            <w:r>
              <w:rPr/>
              <w:t>$</w:t>
            </w:r>
          </w:p>
        </w:tc>
        <w:tc>
          <w:tcPr>
            <w:tcW w:w="1165" w:type="dxa"/>
            <w:tcBorders/>
            <w:shd w:fill="CCEEFF" w:val="clear"/>
            <w:vAlign w:val="center"/>
          </w:tcPr>
          <w:p>
            <w:pPr>
              <w:pStyle w:val="TableContents"/>
              <w:spacing w:before="0" w:after="283"/>
              <w:jc w:val="right"/>
              <w:rPr/>
            </w:pPr>
            <w:r>
              <w:rPr/>
              <w:t>10,000,000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10,000,000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10,000,000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10,000,000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20" w:type="dxa"/>
            <w:gridSpan w:val="2"/>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None (5)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20" w:type="dxa"/>
            <w:gridSpan w:val="2"/>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None (5)</w:t>
            </w:r>
          </w:p>
        </w:tc>
        <w:tc>
          <w:tcPr>
            <w:tcW w:w="135" w:type="dxa"/>
            <w:tcBorders/>
            <w:shd w:fill="CCEEFF" w:val="clear"/>
            <w:vAlign w:val="center"/>
          </w:tcPr>
          <w:p>
            <w:pPr>
              <w:pStyle w:val="TableContents"/>
              <w:spacing w:before="0" w:after="0"/>
              <w:ind w:left="0" w:right="0" w:hanging="0"/>
              <w:rPr/>
            </w:pPr>
            <w:r>
              <w:rPr/>
              <w:t> </w:t>
            </w:r>
          </w:p>
        </w:tc>
      </w:tr>
      <w:tr>
        <w:trPr/>
        <w:tc>
          <w:tcPr>
            <w:tcW w:w="1235" w:type="dxa"/>
            <w:tcBorders/>
            <w:shd w:fill="FFFFFF" w:val="clear"/>
            <w:vAlign w:val="center"/>
          </w:tcPr>
          <w:p>
            <w:pPr>
              <w:pStyle w:val="TableContents"/>
              <w:spacing w:before="0" w:after="0"/>
              <w:ind w:left="225" w:right="0" w:hanging="0"/>
              <w:rPr>
                <w:rFonts w:ascii="times new roman" w:hAnsi="times new roman"/>
                <w:sz w:val="20"/>
              </w:rPr>
            </w:pPr>
            <w:r>
              <w:rPr>
                <w:rFonts w:ascii="times new roman" w:hAnsi="times new roman"/>
                <w:sz w:val="20"/>
              </w:rPr>
              <w:t>Risk retained per catastrophe occurrence (5) (9) (10)</w:t>
            </w:r>
          </w:p>
        </w:tc>
        <w:tc>
          <w:tcPr>
            <w:tcW w:w="90" w:type="dxa"/>
            <w:tcBorders/>
            <w:shd w:fill="FFFFFF" w:val="clear"/>
            <w:vAlign w:val="center"/>
          </w:tcPr>
          <w:p>
            <w:pPr>
              <w:pStyle w:val="TableContents"/>
              <w:spacing w:before="0" w:after="0"/>
              <w:ind w:left="0" w:right="0" w:hanging="0"/>
              <w:rPr/>
            </w:pPr>
            <w:r>
              <w:rPr/>
              <w:t> </w:t>
            </w:r>
          </w:p>
        </w:tc>
        <w:tc>
          <w:tcPr>
            <w:tcW w:w="175" w:type="dxa"/>
            <w:tcBorders/>
            <w:shd w:fill="FFFFFF" w:val="clear"/>
            <w:vAlign w:val="center"/>
          </w:tcPr>
          <w:p>
            <w:pPr>
              <w:pStyle w:val="TableContents"/>
              <w:spacing w:before="0" w:after="0"/>
              <w:ind w:left="0" w:right="0" w:hanging="0"/>
              <w:rPr/>
            </w:pPr>
            <w:r>
              <w:rPr/>
              <w:t> </w:t>
            </w:r>
          </w:p>
        </w:tc>
        <w:tc>
          <w:tcPr>
            <w:tcW w:w="1165" w:type="dxa"/>
            <w:tcBorders/>
            <w:shd w:fill="FFFFFF" w:val="clear"/>
            <w:vAlign w:val="center"/>
          </w:tcPr>
          <w:p>
            <w:pPr>
              <w:pStyle w:val="TableContents"/>
              <w:spacing w:before="0" w:after="283"/>
              <w:jc w:val="right"/>
              <w:rPr/>
            </w:pPr>
            <w:r>
              <w:rPr/>
              <w:t>(8</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8,750,000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7,400,000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7,400,000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10,000,000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10,000,000</w:t>
            </w:r>
          </w:p>
        </w:tc>
        <w:tc>
          <w:tcPr>
            <w:tcW w:w="135" w:type="dxa"/>
            <w:tcBorders/>
            <w:shd w:fill="FFFFFF" w:val="clear"/>
            <w:vAlign w:val="center"/>
          </w:tcPr>
          <w:p>
            <w:pPr>
              <w:pStyle w:val="TableContents"/>
              <w:spacing w:before="0" w:after="0"/>
              <w:ind w:left="0" w:right="0" w:hanging="0"/>
              <w:rPr/>
            </w:pPr>
            <w:r>
              <w:rPr/>
              <w:t> </w:t>
            </w:r>
          </w:p>
        </w:tc>
      </w:tr>
      <w:tr>
        <w:trPr/>
        <w:tc>
          <w:tcPr>
            <w:tcW w:w="1235" w:type="dxa"/>
            <w:tcBorders/>
            <w:shd w:fill="CCEEFF" w:val="clear"/>
            <w:vAlign w:val="center"/>
          </w:tcPr>
          <w:p>
            <w:pPr>
              <w:pStyle w:val="TableContents"/>
              <w:spacing w:before="0" w:after="0"/>
              <w:ind w:left="0" w:right="0" w:firstLine="160"/>
              <w:rPr/>
            </w:pPr>
            <w:r>
              <w:rPr/>
              <w:t> </w:t>
            </w:r>
          </w:p>
        </w:tc>
        <w:tc>
          <w:tcPr>
            <w:tcW w:w="90" w:type="dxa"/>
            <w:tcBorders/>
            <w:shd w:fill="CCEEFF" w:val="clear"/>
            <w:vAlign w:val="center"/>
          </w:tcPr>
          <w:p>
            <w:pPr>
              <w:pStyle w:val="TableContents"/>
              <w:spacing w:before="0" w:after="0"/>
              <w:ind w:left="0" w:right="0" w:hanging="0"/>
              <w:rPr/>
            </w:pPr>
            <w:r>
              <w:rPr/>
              <w:t> </w:t>
            </w:r>
          </w:p>
        </w:tc>
        <w:tc>
          <w:tcPr>
            <w:tcW w:w="175" w:type="dxa"/>
            <w:tcBorders/>
            <w:shd w:fill="CCEEFF" w:val="clear"/>
            <w:vAlign w:val="center"/>
          </w:tcPr>
          <w:p>
            <w:pPr>
              <w:pStyle w:val="TableContents"/>
              <w:spacing w:before="0" w:after="0"/>
              <w:ind w:left="0" w:right="0" w:hanging="0"/>
              <w:rPr/>
            </w:pPr>
            <w:r>
              <w:rPr/>
              <w:t> </w:t>
            </w:r>
          </w:p>
        </w:tc>
        <w:tc>
          <w:tcPr>
            <w:tcW w:w="1165"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35" w:type="dxa"/>
            <w:tcBorders/>
            <w:shd w:fill="CCEEFF" w:val="clear"/>
            <w:vAlign w:val="center"/>
          </w:tcPr>
          <w:p>
            <w:pPr>
              <w:pStyle w:val="TableContents"/>
              <w:spacing w:before="0" w:after="0"/>
              <w:ind w:left="0" w:right="0" w:hanging="0"/>
              <w:rPr/>
            </w:pPr>
            <w:r>
              <w:rPr/>
              <w:t> </w:t>
            </w:r>
          </w:p>
        </w:tc>
      </w:tr>
      <w:tr>
        <w:trPr/>
        <w:tc>
          <w:tcPr>
            <w:tcW w:w="1235" w:type="dxa"/>
            <w:tcBorders/>
            <w:shd w:fill="FFFFFF" w:val="clear"/>
            <w:vAlign w:val="center"/>
          </w:tcPr>
          <w:p>
            <w:pPr>
              <w:pStyle w:val="TableContents"/>
              <w:spacing w:before="0" w:after="0"/>
              <w:ind w:left="225" w:right="0" w:hanging="0"/>
              <w:rPr>
                <w:rFonts w:ascii="times new roman" w:hAnsi="times new roman"/>
                <w:sz w:val="20"/>
              </w:rPr>
            </w:pPr>
            <w:r>
              <w:rPr>
                <w:rFonts w:ascii="times new roman" w:hAnsi="times new roman"/>
                <w:sz w:val="20"/>
              </w:rPr>
              <w:t>Catastrophe loss coverage in excess of quota share coverage (2) (5)</w:t>
            </w:r>
          </w:p>
        </w:tc>
        <w:tc>
          <w:tcPr>
            <w:tcW w:w="90" w:type="dxa"/>
            <w:tcBorders/>
            <w:shd w:fill="FFFFFF" w:val="clear"/>
            <w:vAlign w:val="center"/>
          </w:tcPr>
          <w:p>
            <w:pPr>
              <w:pStyle w:val="TableContents"/>
              <w:spacing w:before="0" w:after="0"/>
              <w:ind w:left="0" w:right="0" w:hanging="0"/>
              <w:rPr/>
            </w:pPr>
            <w:r>
              <w:rPr/>
              <w:t> </w:t>
            </w:r>
          </w:p>
        </w:tc>
        <w:tc>
          <w:tcPr>
            <w:tcW w:w="175" w:type="dxa"/>
            <w:tcBorders/>
            <w:shd w:fill="FFFFFF" w:val="clear"/>
            <w:vAlign w:val="center"/>
          </w:tcPr>
          <w:p>
            <w:pPr>
              <w:pStyle w:val="TableContents"/>
              <w:spacing w:before="0" w:after="0"/>
              <w:ind w:left="0" w:right="0" w:hanging="0"/>
              <w:rPr/>
            </w:pPr>
            <w:r>
              <w:rPr/>
              <w:t> </w:t>
            </w:r>
          </w:p>
        </w:tc>
        <w:tc>
          <w:tcPr>
            <w:tcW w:w="1165" w:type="dxa"/>
            <w:tcBorders/>
            <w:shd w:fill="FFFFFF" w:val="clear"/>
            <w:vAlign w:val="center"/>
          </w:tcPr>
          <w:p>
            <w:pPr>
              <w:pStyle w:val="TableContents"/>
              <w:spacing w:before="0" w:after="283"/>
              <w:jc w:val="right"/>
              <w:rPr/>
            </w:pPr>
            <w:r>
              <w:rPr/>
              <w:t>(8</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335,000,000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335,000,000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490,000,000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490,000,000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475,000,000</w:t>
            </w:r>
          </w:p>
        </w:tc>
        <w:tc>
          <w:tcPr>
            <w:tcW w:w="135" w:type="dxa"/>
            <w:tcBorders/>
            <w:shd w:fill="FFFFFF" w:val="clear"/>
            <w:vAlign w:val="center"/>
          </w:tcPr>
          <w:p>
            <w:pPr>
              <w:pStyle w:val="TableContents"/>
              <w:spacing w:before="0" w:after="0"/>
              <w:ind w:left="0" w:right="0" w:hanging="0"/>
              <w:rPr/>
            </w:pPr>
            <w:r>
              <w:rPr/>
              <w:t> </w:t>
            </w:r>
          </w:p>
        </w:tc>
      </w:tr>
      <w:tr>
        <w:trPr/>
        <w:tc>
          <w:tcPr>
            <w:tcW w:w="1235" w:type="dxa"/>
            <w:tcBorders/>
            <w:shd w:fill="CCEEFF" w:val="clear"/>
            <w:vAlign w:val="center"/>
          </w:tcPr>
          <w:p>
            <w:pPr>
              <w:pStyle w:val="TableContents"/>
              <w:spacing w:before="0" w:after="283"/>
              <w:rPr>
                <w:sz w:val="4"/>
                <w:szCs w:val="4"/>
              </w:rPr>
            </w:pPr>
            <w:r>
              <w:rPr>
                <w:sz w:val="4"/>
                <w:szCs w:val="4"/>
              </w:rPr>
            </w:r>
          </w:p>
        </w:tc>
        <w:tc>
          <w:tcPr>
            <w:tcW w:w="90" w:type="dxa"/>
            <w:tcBorders/>
            <w:shd w:fill="CCEEFF" w:val="clear"/>
            <w:vAlign w:val="center"/>
          </w:tcPr>
          <w:p>
            <w:pPr>
              <w:pStyle w:val="TableContents"/>
              <w:spacing w:before="0" w:after="0"/>
              <w:ind w:left="0" w:right="0" w:hanging="0"/>
              <w:rPr/>
            </w:pPr>
            <w:r>
              <w:rPr/>
              <w:t> </w:t>
            </w:r>
          </w:p>
        </w:tc>
        <w:tc>
          <w:tcPr>
            <w:tcW w:w="175" w:type="dxa"/>
            <w:tcBorders/>
            <w:shd w:fill="CCEEFF" w:val="clear"/>
            <w:vAlign w:val="center"/>
          </w:tcPr>
          <w:p>
            <w:pPr>
              <w:pStyle w:val="TableContents"/>
              <w:spacing w:before="0" w:after="0"/>
              <w:ind w:left="0" w:right="0" w:hanging="0"/>
              <w:rPr/>
            </w:pPr>
            <w:r>
              <w:rPr/>
              <w:t> </w:t>
            </w:r>
          </w:p>
        </w:tc>
        <w:tc>
          <w:tcPr>
            <w:tcW w:w="1165"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35" w:type="dxa"/>
            <w:tcBorders/>
            <w:shd w:fill="CCEEFF" w:val="clear"/>
            <w:vAlign w:val="center"/>
          </w:tcPr>
          <w:p>
            <w:pPr>
              <w:pStyle w:val="TableContents"/>
              <w:spacing w:before="0" w:after="0"/>
              <w:ind w:left="0" w:right="0" w:hanging="0"/>
              <w:rPr/>
            </w:pPr>
            <w:r>
              <w:rPr/>
              <w:t> </w:t>
            </w:r>
          </w:p>
        </w:tc>
      </w:tr>
      <w:tr>
        <w:trPr/>
        <w:tc>
          <w:tcPr>
            <w:tcW w:w="1235" w:type="dxa"/>
            <w:tcBorders/>
            <w:shd w:fill="FFFFFF" w:val="clear"/>
            <w:vAlign w:val="center"/>
          </w:tcPr>
          <w:p>
            <w:pPr>
              <w:pStyle w:val="TableContents"/>
              <w:spacing w:before="0" w:after="0"/>
              <w:ind w:left="225" w:right="0" w:hanging="0"/>
              <w:rPr>
                <w:rFonts w:ascii="times new roman" w:hAnsi="times new roman"/>
                <w:sz w:val="20"/>
              </w:rPr>
            </w:pPr>
            <w:r>
              <w:rPr>
                <w:rFonts w:ascii="times new roman" w:hAnsi="times new roman"/>
                <w:sz w:val="20"/>
              </w:rPr>
              <w:t>Catastrophe stub coverage for the period from October 18, 2021 through December 31, 2021 (6)</w:t>
            </w:r>
          </w:p>
        </w:tc>
        <w:tc>
          <w:tcPr>
            <w:tcW w:w="90" w:type="dxa"/>
            <w:tcBorders/>
            <w:shd w:fill="FFFFFF" w:val="clear"/>
            <w:vAlign w:val="center"/>
          </w:tcPr>
          <w:p>
            <w:pPr>
              <w:pStyle w:val="TableContents"/>
              <w:spacing w:before="0" w:after="0"/>
              <w:ind w:left="0" w:right="0" w:hanging="0"/>
              <w:rPr/>
            </w:pPr>
            <w:r>
              <w:rPr/>
              <w:t> </w:t>
            </w:r>
          </w:p>
        </w:tc>
        <w:tc>
          <w:tcPr>
            <w:tcW w:w="1340" w:type="dxa"/>
            <w:gridSpan w:val="2"/>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NA</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20" w:type="dxa"/>
            <w:gridSpan w:val="2"/>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NA</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20" w:type="dxa"/>
            <w:gridSpan w:val="2"/>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NA</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20" w:type="dxa"/>
            <w:gridSpan w:val="2"/>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NA</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5,000,000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20" w:type="dxa"/>
            <w:gridSpan w:val="2"/>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NA</w:t>
            </w:r>
          </w:p>
        </w:tc>
        <w:tc>
          <w:tcPr>
            <w:tcW w:w="135" w:type="dxa"/>
            <w:tcBorders/>
            <w:shd w:fill="FFFFFF" w:val="clear"/>
            <w:vAlign w:val="center"/>
          </w:tcPr>
          <w:p>
            <w:pPr>
              <w:pStyle w:val="TableContents"/>
              <w:spacing w:before="0" w:after="0"/>
              <w:ind w:left="0" w:right="0" w:hanging="0"/>
              <w:rPr/>
            </w:pPr>
            <w:r>
              <w:rPr/>
              <w:t> </w:t>
            </w:r>
          </w:p>
        </w:tc>
      </w:tr>
      <w:tr>
        <w:trPr/>
        <w:tc>
          <w:tcPr>
            <w:tcW w:w="123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5" w:type="dxa"/>
            <w:tcBorders/>
            <w:shd w:fill="CCEEFF" w:val="clear"/>
            <w:vAlign w:val="center"/>
          </w:tcPr>
          <w:p>
            <w:pPr>
              <w:pStyle w:val="TableContents"/>
              <w:spacing w:before="0" w:after="0"/>
              <w:ind w:left="0" w:right="0" w:hanging="0"/>
              <w:rPr/>
            </w:pPr>
            <w:r>
              <w:rPr/>
              <w:t> </w:t>
            </w:r>
          </w:p>
        </w:tc>
        <w:tc>
          <w:tcPr>
            <w:tcW w:w="1165"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sz w:val="4"/>
                <w:szCs w:val="4"/>
              </w:rPr>
            </w:pPr>
            <w:r>
              <w:rPr>
                <w:sz w:val="4"/>
                <w:szCs w:val="4"/>
              </w:rPr>
            </w:r>
          </w:p>
        </w:tc>
        <w:tc>
          <w:tcPr>
            <w:tcW w:w="125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in excess of</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35" w:type="dxa"/>
            <w:tcBorders/>
            <w:shd w:fill="CCEEFF" w:val="clear"/>
            <w:vAlign w:val="center"/>
          </w:tcPr>
          <w:p>
            <w:pPr>
              <w:pStyle w:val="TableContents"/>
              <w:spacing w:before="0" w:after="0"/>
              <w:ind w:left="0" w:right="0" w:hanging="0"/>
              <w:rPr/>
            </w:pPr>
            <w:r>
              <w:rPr/>
              <w:t> </w:t>
            </w:r>
          </w:p>
        </w:tc>
      </w:tr>
      <w:tr>
        <w:trPr/>
        <w:tc>
          <w:tcPr>
            <w:tcW w:w="123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5" w:type="dxa"/>
            <w:tcBorders/>
            <w:shd w:fill="FFFFFF" w:val="clear"/>
            <w:vAlign w:val="center"/>
          </w:tcPr>
          <w:p>
            <w:pPr>
              <w:pStyle w:val="TableContents"/>
              <w:spacing w:before="0" w:after="0"/>
              <w:ind w:left="0" w:right="0" w:hanging="0"/>
              <w:rPr/>
            </w:pPr>
            <w:r>
              <w:rPr/>
              <w:t> </w:t>
            </w:r>
          </w:p>
        </w:tc>
        <w:tc>
          <w:tcPr>
            <w:tcW w:w="1165"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5,000,000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35" w:type="dxa"/>
            <w:tcBorders/>
            <w:shd w:fill="FFFFFF" w:val="clear"/>
            <w:vAlign w:val="center"/>
          </w:tcPr>
          <w:p>
            <w:pPr>
              <w:pStyle w:val="TableContents"/>
              <w:spacing w:before="0" w:after="0"/>
              <w:ind w:left="0" w:right="0" w:hanging="0"/>
              <w:rPr/>
            </w:pPr>
            <w:r>
              <w:rPr/>
              <w:t> </w:t>
            </w:r>
          </w:p>
        </w:tc>
      </w:tr>
      <w:tr>
        <w:trPr/>
        <w:tc>
          <w:tcPr>
            <w:tcW w:w="1235" w:type="dxa"/>
            <w:tcBorders/>
            <w:shd w:fill="CCEEFF" w:val="clear"/>
            <w:vAlign w:val="center"/>
          </w:tcPr>
          <w:p>
            <w:pPr>
              <w:pStyle w:val="TableContents"/>
              <w:spacing w:before="0" w:after="0"/>
              <w:ind w:left="0" w:right="0" w:firstLine="160"/>
              <w:rPr/>
            </w:pPr>
            <w:r>
              <w:rPr/>
              <w:t> </w:t>
            </w:r>
          </w:p>
        </w:tc>
        <w:tc>
          <w:tcPr>
            <w:tcW w:w="90" w:type="dxa"/>
            <w:tcBorders/>
            <w:shd w:fill="CCEEFF" w:val="clear"/>
            <w:vAlign w:val="center"/>
          </w:tcPr>
          <w:p>
            <w:pPr>
              <w:pStyle w:val="TableContents"/>
              <w:spacing w:before="0" w:after="0"/>
              <w:ind w:left="0" w:right="0" w:hanging="0"/>
              <w:rPr/>
            </w:pPr>
            <w:r>
              <w:rPr/>
              <w:t> </w:t>
            </w:r>
          </w:p>
        </w:tc>
        <w:tc>
          <w:tcPr>
            <w:tcW w:w="175" w:type="dxa"/>
            <w:tcBorders/>
            <w:shd w:fill="CCEEFF" w:val="clear"/>
            <w:vAlign w:val="center"/>
          </w:tcPr>
          <w:p>
            <w:pPr>
              <w:pStyle w:val="TableContents"/>
              <w:spacing w:before="0" w:after="0"/>
              <w:ind w:left="0" w:right="0" w:hanging="0"/>
              <w:rPr/>
            </w:pPr>
            <w:r>
              <w:rPr/>
              <w:t> </w:t>
            </w:r>
          </w:p>
        </w:tc>
        <w:tc>
          <w:tcPr>
            <w:tcW w:w="1165"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35" w:type="dxa"/>
            <w:tcBorders/>
            <w:shd w:fill="CCEEFF" w:val="clear"/>
            <w:vAlign w:val="center"/>
          </w:tcPr>
          <w:p>
            <w:pPr>
              <w:pStyle w:val="TableContents"/>
              <w:spacing w:before="0" w:after="0"/>
              <w:ind w:left="0" w:right="0" w:hanging="0"/>
              <w:rPr/>
            </w:pPr>
            <w:r>
              <w:rPr/>
              <w:t> </w:t>
            </w:r>
          </w:p>
        </w:tc>
      </w:tr>
      <w:tr>
        <w:trPr/>
        <w:tc>
          <w:tcPr>
            <w:tcW w:w="1235" w:type="dxa"/>
            <w:tcBorders/>
            <w:shd w:fill="FFFFFF" w:val="clear"/>
            <w:vAlign w:val="center"/>
          </w:tcPr>
          <w:p>
            <w:pPr>
              <w:pStyle w:val="TableContents"/>
              <w:spacing w:before="0" w:after="0"/>
              <w:ind w:left="225" w:right="0" w:hanging="0"/>
              <w:rPr>
                <w:rFonts w:ascii="times new roman" w:hAnsi="times new roman"/>
                <w:sz w:val="20"/>
              </w:rPr>
            </w:pPr>
            <w:r>
              <w:rPr>
                <w:rFonts w:ascii="times new roman" w:hAnsi="times new roman"/>
                <w:sz w:val="20"/>
              </w:rPr>
              <w:t>Reinstatement premium protection (3) (4)</w:t>
            </w:r>
          </w:p>
        </w:tc>
        <w:tc>
          <w:tcPr>
            <w:tcW w:w="90" w:type="dxa"/>
            <w:tcBorders/>
            <w:shd w:fill="FFFFFF" w:val="clear"/>
            <w:vAlign w:val="center"/>
          </w:tcPr>
          <w:p>
            <w:pPr>
              <w:pStyle w:val="TableContents"/>
              <w:spacing w:before="0" w:after="0"/>
              <w:ind w:left="0" w:right="0" w:hanging="0"/>
              <w:rPr/>
            </w:pPr>
            <w:r>
              <w:rPr/>
              <w:t> </w:t>
            </w:r>
          </w:p>
        </w:tc>
        <w:tc>
          <w:tcPr>
            <w:tcW w:w="175" w:type="dxa"/>
            <w:tcBorders/>
            <w:shd w:fill="FFFFFF" w:val="clear"/>
            <w:vAlign w:val="center"/>
          </w:tcPr>
          <w:p>
            <w:pPr>
              <w:pStyle w:val="TableContents"/>
              <w:spacing w:before="0" w:after="0"/>
              <w:ind w:left="0" w:right="0" w:hanging="0"/>
              <w:rPr/>
            </w:pPr>
            <w:r>
              <w:rPr/>
              <w:t> </w:t>
            </w:r>
          </w:p>
        </w:tc>
        <w:tc>
          <w:tcPr>
            <w:tcW w:w="1165" w:type="dxa"/>
            <w:tcBorders/>
            <w:shd w:fill="FFFFFF" w:val="clear"/>
            <w:vAlign w:val="center"/>
          </w:tcPr>
          <w:p>
            <w:pPr>
              <w:pStyle w:val="TableContents"/>
              <w:spacing w:before="0" w:after="283"/>
              <w:jc w:val="right"/>
              <w:rPr/>
            </w:pPr>
            <w:r>
              <w:rPr/>
              <w:t>(8</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420" w:type="dxa"/>
            <w:gridSpan w:val="2"/>
            <w:tcBorders/>
            <w:shd w:fill="FFFFFF" w:val="clear"/>
            <w:vAlign w:val="center"/>
          </w:tcPr>
          <w:p>
            <w:pPr>
              <w:pStyle w:val="TableContents"/>
              <w:spacing w:before="0" w:after="0"/>
              <w:ind w:left="0" w:right="0" w:hanging="0"/>
              <w:jc w:val="center"/>
              <w:rPr/>
            </w:pPr>
            <w:r>
              <w:rPr/>
              <w:t> </w:t>
            </w:r>
            <w:r>
              <w:rPr>
                <w:rFonts w:ascii="times new roman" w:hAnsi="times new roman"/>
                <w:sz w:val="20"/>
              </w:rPr>
              <w:t xml:space="preserve">Yes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20" w:type="dxa"/>
            <w:gridSpan w:val="2"/>
            <w:tcBorders/>
            <w:shd w:fill="FFFFFF" w:val="clear"/>
            <w:vAlign w:val="center"/>
          </w:tcPr>
          <w:p>
            <w:pPr>
              <w:pStyle w:val="TableContents"/>
              <w:spacing w:before="0" w:after="0"/>
              <w:ind w:left="0" w:right="0" w:hanging="0"/>
              <w:jc w:val="center"/>
              <w:rPr/>
            </w:pPr>
            <w:r>
              <w:rPr/>
              <w:t> </w:t>
            </w:r>
            <w:r>
              <w:rPr>
                <w:rFonts w:ascii="times new roman" w:hAnsi="times new roman"/>
                <w:sz w:val="20"/>
              </w:rPr>
              <w:t xml:space="preserve">Yes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20" w:type="dxa"/>
            <w:gridSpan w:val="2"/>
            <w:tcBorders/>
            <w:shd w:fill="FFFFFF" w:val="clear"/>
            <w:vAlign w:val="center"/>
          </w:tcPr>
          <w:p>
            <w:pPr>
              <w:pStyle w:val="TableContents"/>
              <w:spacing w:before="0" w:after="0"/>
              <w:ind w:left="0" w:right="0" w:hanging="0"/>
              <w:jc w:val="center"/>
              <w:rPr/>
            </w:pPr>
            <w:r>
              <w:rPr/>
              <w:t> </w:t>
            </w:r>
            <w:r>
              <w:rPr>
                <w:rFonts w:ascii="times new roman" w:hAnsi="times new roman"/>
                <w:sz w:val="20"/>
              </w:rPr>
              <w:t xml:space="preserve">Yes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20" w:type="dxa"/>
            <w:gridSpan w:val="2"/>
            <w:tcBorders/>
            <w:shd w:fill="FFFFFF" w:val="clear"/>
            <w:vAlign w:val="center"/>
          </w:tcPr>
          <w:p>
            <w:pPr>
              <w:pStyle w:val="TableContents"/>
              <w:spacing w:before="0" w:after="0"/>
              <w:ind w:left="0" w:right="0" w:hanging="0"/>
              <w:jc w:val="center"/>
              <w:rPr/>
            </w:pPr>
            <w:r>
              <w:rPr/>
              <w:t> </w:t>
            </w:r>
            <w:r>
              <w:rPr>
                <w:rFonts w:ascii="times new roman" w:hAnsi="times new roman"/>
                <w:sz w:val="20"/>
              </w:rPr>
              <w:t xml:space="preserve">Yes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20" w:type="dxa"/>
            <w:gridSpan w:val="2"/>
            <w:tcBorders/>
            <w:shd w:fill="FFFFFF" w:val="clear"/>
            <w:vAlign w:val="center"/>
          </w:tcPr>
          <w:p>
            <w:pPr>
              <w:pStyle w:val="TableContents"/>
              <w:spacing w:before="0" w:after="0"/>
              <w:ind w:left="0" w:right="0" w:hanging="0"/>
              <w:jc w:val="center"/>
              <w:rPr/>
            </w:pPr>
            <w:r>
              <w:rPr/>
              <w:t> </w:t>
            </w:r>
            <w:r>
              <w:rPr>
                <w:rFonts w:ascii="times new roman" w:hAnsi="times new roman"/>
                <w:sz w:val="20"/>
              </w:rPr>
              <w:t xml:space="preserve">Yes </w:t>
            </w:r>
          </w:p>
        </w:tc>
        <w:tc>
          <w:tcPr>
            <w:tcW w:w="135" w:type="dxa"/>
            <w:tcBorders/>
            <w:shd w:fill="FFFFFF" w:val="clear"/>
            <w:vAlign w:val="center"/>
          </w:tcPr>
          <w:p>
            <w:pPr>
              <w:pStyle w:val="TableContents"/>
              <w:spacing w:before="0" w:after="0"/>
              <w:ind w:left="0" w:right="0" w:hanging="0"/>
              <w:rPr/>
            </w:pPr>
            <w:r>
              <w:rPr/>
              <w:t> </w:t>
            </w:r>
          </w:p>
        </w:tc>
      </w:tr>
    </w:tbl>
    <w:p>
      <w:pPr>
        <w:pStyle w:val="TextBody"/>
        <w:spacing w:before="0" w:after="0"/>
        <w:ind w:left="0" w:right="0" w:firstLine="720"/>
        <w:jc w:val="both"/>
        <w:rPr/>
      </w:pPr>
      <w:r>
        <w:rPr/>
        <w:t> </w:t>
      </w:r>
    </w:p>
    <w:tbl>
      <w:tblPr>
        <w:tblW w:w="10205" w:type="dxa"/>
        <w:jc w:val="left"/>
        <w:tblInd w:w="0" w:type="dxa"/>
        <w:tblCellMar>
          <w:top w:w="0" w:type="dxa"/>
          <w:left w:w="0" w:type="dxa"/>
          <w:bottom w:w="0" w:type="dxa"/>
          <w:right w:w="0" w:type="dxa"/>
        </w:tblCellMar>
      </w:tblPr>
      <w:tblGrid>
        <w:gridCol w:w="105"/>
        <w:gridCol w:w="237"/>
        <w:gridCol w:w="9863"/>
      </w:tblGrid>
      <w:tr>
        <w:trPr/>
        <w:tc>
          <w:tcPr>
            <w:tcW w:w="105" w:type="dxa"/>
            <w:tcBorders/>
            <w:shd w:fill="auto" w:val="clear"/>
            <w:vAlign w:val="center"/>
          </w:tcPr>
          <w:p>
            <w:pPr>
              <w:pStyle w:val="TableContents"/>
              <w:spacing w:before="0" w:after="0"/>
              <w:ind w:left="0" w:right="0" w:hanging="0"/>
              <w:rPr/>
            </w:pPr>
            <w:r>
              <w:rPr/>
              <w:t> </w:t>
            </w:r>
          </w:p>
        </w:tc>
        <w:tc>
          <w:tcPr>
            <w:tcW w:w="237"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86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For personal lines, includes the addition of an automatic facultative facility allowing KICO to obtain homeowners single risk coverage up to $9,000,000 in total insured value, which covers direct losses from $3,500,000 to $9,000,000 through June 30, 2023.</w:t>
            </w:r>
          </w:p>
        </w:tc>
      </w:tr>
      <w:tr>
        <w:trPr/>
        <w:tc>
          <w:tcPr>
            <w:tcW w:w="105" w:type="dxa"/>
            <w:tcBorders/>
            <w:shd w:fill="auto" w:val="clear"/>
            <w:vAlign w:val="center"/>
          </w:tcPr>
          <w:p>
            <w:pPr>
              <w:pStyle w:val="TableContents"/>
              <w:spacing w:before="0" w:after="0"/>
              <w:ind w:left="0" w:right="0" w:hanging="0"/>
              <w:rPr/>
            </w:pPr>
            <w:r>
              <w:rPr/>
              <w:t> </w:t>
            </w:r>
          </w:p>
        </w:tc>
        <w:tc>
          <w:tcPr>
            <w:tcW w:w="237"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86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Catastrophe coverage is limited on an annual basis to two times the per occurrence amounts. Duration of 168 consecutive hours for a catastrophe occurrence from windstorm, hail, tornado, hurricane and cyclone.</w:t>
            </w:r>
          </w:p>
        </w:tc>
      </w:tr>
      <w:tr>
        <w:trPr/>
        <w:tc>
          <w:tcPr>
            <w:tcW w:w="105" w:type="dxa"/>
            <w:tcBorders/>
            <w:shd w:fill="auto" w:val="clear"/>
            <w:vAlign w:val="center"/>
          </w:tcPr>
          <w:p>
            <w:pPr>
              <w:pStyle w:val="TableContents"/>
              <w:spacing w:before="0" w:after="0"/>
              <w:ind w:left="0" w:right="0" w:hanging="0"/>
              <w:rPr/>
            </w:pPr>
            <w:r>
              <w:rPr/>
              <w:t> </w:t>
            </w:r>
          </w:p>
        </w:tc>
        <w:tc>
          <w:tcPr>
            <w:tcW w:w="237"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986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For the period July 1, 2020 through June 30, 2021, reinstatement premium protection for $70,000,000 of catastrophe coverage in excess of $10,000,000. For the period July 1, 2021 through June 30, 2022, reinstatement premium protection for $70,000,000 of catastrophe coverage in excess of $10,000,000.</w:t>
            </w:r>
          </w:p>
        </w:tc>
      </w:tr>
      <w:tr>
        <w:trPr/>
        <w:tc>
          <w:tcPr>
            <w:tcW w:w="105" w:type="dxa"/>
            <w:tcBorders/>
            <w:shd w:fill="auto" w:val="clear"/>
            <w:vAlign w:val="center"/>
          </w:tcPr>
          <w:p>
            <w:pPr>
              <w:pStyle w:val="TableContents"/>
              <w:spacing w:before="0" w:after="0"/>
              <w:ind w:left="0" w:right="0" w:hanging="0"/>
              <w:rPr/>
            </w:pPr>
            <w:r>
              <w:rPr/>
              <w:t> </w:t>
            </w:r>
          </w:p>
        </w:tc>
        <w:tc>
          <w:tcPr>
            <w:tcW w:w="237"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986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For the period July 1, 2022 through June 30, 2023, reinstatement premium protection for $9,800,000 of catastrophe coverage in excess of $10,000,000.</w:t>
            </w:r>
          </w:p>
        </w:tc>
      </w:tr>
    </w:tbl>
    <w:p>
      <w:pPr>
        <w:pStyle w:val="TextBody"/>
        <w:spacing w:before="0" w:after="0"/>
        <w:ind w:left="0" w:right="0" w:hanging="0"/>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56</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105"/>
        <w:gridCol w:w="341"/>
        <w:gridCol w:w="9759"/>
      </w:tblGrid>
      <w:tr>
        <w:trPr/>
        <w:tc>
          <w:tcPr>
            <w:tcW w:w="105" w:type="dxa"/>
            <w:tcBorders/>
            <w:shd w:fill="auto" w:val="clear"/>
            <w:vAlign w:val="center"/>
          </w:tcPr>
          <w:p>
            <w:pPr>
              <w:pStyle w:val="TableContents"/>
              <w:spacing w:before="0" w:after="0"/>
              <w:ind w:left="0" w:right="0" w:hanging="0"/>
              <w:rPr/>
            </w:pPr>
            <w:r>
              <w:rPr/>
              <w:t> </w:t>
            </w:r>
          </w:p>
        </w:tc>
        <w:tc>
          <w:tcPr>
            <w:tcW w:w="341"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(5)</w:t>
            </w:r>
          </w:p>
        </w:tc>
        <w:tc>
          <w:tcPr>
            <w:tcW w:w="9759"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The personal lines quota share (homeowners, dwelling fire and canine legal liability) expired on December 30, 2020; reinsurance coverage from December 31, 2020 through December 30, 2021 is only for excess of loss and catastrophe reinsurance.</w:t>
            </w:r>
          </w:p>
        </w:tc>
      </w:tr>
      <w:tr>
        <w:trPr/>
        <w:tc>
          <w:tcPr>
            <w:tcW w:w="105" w:type="dxa"/>
            <w:tcBorders/>
            <w:shd w:fill="auto" w:val="clear"/>
            <w:vAlign w:val="center"/>
          </w:tcPr>
          <w:p>
            <w:pPr>
              <w:pStyle w:val="TableContents"/>
              <w:spacing w:before="0" w:after="0"/>
              <w:ind w:left="0" w:right="0" w:hanging="0"/>
              <w:rPr/>
            </w:pPr>
            <w:r>
              <w:rPr/>
              <w:t> </w:t>
            </w:r>
          </w:p>
        </w:tc>
        <w:tc>
          <w:tcPr>
            <w:tcW w:w="341"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(6)</w:t>
            </w:r>
          </w:p>
        </w:tc>
        <w:tc>
          <w:tcPr>
            <w:tcW w:w="9759"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Excludes freeze and freeze related claims.</w:t>
            </w:r>
          </w:p>
        </w:tc>
      </w:tr>
      <w:tr>
        <w:trPr/>
        <w:tc>
          <w:tcPr>
            <w:tcW w:w="105" w:type="dxa"/>
            <w:tcBorders/>
            <w:shd w:fill="auto" w:val="clear"/>
            <w:vAlign w:val="center"/>
          </w:tcPr>
          <w:p>
            <w:pPr>
              <w:pStyle w:val="TableContents"/>
              <w:spacing w:before="0" w:after="0"/>
              <w:ind w:left="0" w:right="0" w:hanging="0"/>
              <w:rPr/>
            </w:pPr>
            <w:r>
              <w:rPr/>
              <w:t> </w:t>
            </w:r>
          </w:p>
        </w:tc>
        <w:tc>
          <w:tcPr>
            <w:tcW w:w="341"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(7)</w:t>
            </w:r>
          </w:p>
        </w:tc>
        <w:tc>
          <w:tcPr>
            <w:tcW w:w="9759"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For the period January 1, 2022 through January 1, 2024, underlying excess of loss treaty provides 50% reinsurance coverage for losses of $400,000 in excess of $600,000. Reduces retention to $500,000 from $700,000 under the 2021/2023 Treaty and 2022/2023 Treaty. Excludes losses from named storms.</w:t>
            </w:r>
          </w:p>
        </w:tc>
      </w:tr>
      <w:tr>
        <w:trPr/>
        <w:tc>
          <w:tcPr>
            <w:tcW w:w="105" w:type="dxa"/>
            <w:tcBorders/>
            <w:shd w:fill="auto" w:val="clear"/>
            <w:vAlign w:val="center"/>
          </w:tcPr>
          <w:p>
            <w:pPr>
              <w:pStyle w:val="TableContents"/>
              <w:spacing w:before="0" w:after="0"/>
              <w:ind w:left="0" w:right="0" w:hanging="0"/>
              <w:rPr/>
            </w:pPr>
            <w:r>
              <w:rPr/>
              <w:t> </w:t>
            </w:r>
          </w:p>
        </w:tc>
        <w:tc>
          <w:tcPr>
            <w:tcW w:w="341"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(8)</w:t>
            </w:r>
          </w:p>
        </w:tc>
        <w:tc>
          <w:tcPr>
            <w:tcW w:w="9759"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Excess of loss and facultative facility, and catastrophe treaties will expire on June 30, 2023; reinsurance coverage in effect from July 1, 2023 through January 1, 2024 is only for Personal lines quota share (homeowners, dwelling fire and canine liability) and underlying excess of loss reinsurance.</w:t>
            </w:r>
          </w:p>
        </w:tc>
      </w:tr>
      <w:tr>
        <w:trPr/>
        <w:tc>
          <w:tcPr>
            <w:tcW w:w="105" w:type="dxa"/>
            <w:tcBorders/>
            <w:shd w:fill="auto" w:val="clear"/>
            <w:vAlign w:val="center"/>
          </w:tcPr>
          <w:p>
            <w:pPr>
              <w:pStyle w:val="TableContents"/>
              <w:spacing w:before="0" w:after="0"/>
              <w:ind w:left="0" w:right="0" w:hanging="0"/>
              <w:rPr/>
            </w:pPr>
            <w:r>
              <w:rPr/>
              <w:t> </w:t>
            </w:r>
          </w:p>
        </w:tc>
        <w:tc>
          <w:tcPr>
            <w:tcW w:w="341"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(9)</w:t>
            </w:r>
          </w:p>
        </w:tc>
        <w:tc>
          <w:tcPr>
            <w:tcW w:w="9759"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For the 2021/2023 Treaty, 4% of the 30% total of losses ceded under this treaty are excluded from a named catastrophe event. For the 2023/2024 Treaty, 17.5% of the 30% total of losses ceded under this treaty are excluded from a named catastrophe event.</w:t>
            </w:r>
          </w:p>
        </w:tc>
      </w:tr>
      <w:tr>
        <w:trPr/>
        <w:tc>
          <w:tcPr>
            <w:tcW w:w="105" w:type="dxa"/>
            <w:tcBorders/>
            <w:shd w:fill="auto" w:val="clear"/>
            <w:vAlign w:val="center"/>
          </w:tcPr>
          <w:p>
            <w:pPr>
              <w:pStyle w:val="TableContents"/>
              <w:spacing w:before="0" w:after="0"/>
              <w:ind w:left="0" w:right="0" w:hanging="0"/>
              <w:rPr/>
            </w:pPr>
            <w:r>
              <w:rPr/>
              <w:t> </w:t>
            </w:r>
          </w:p>
        </w:tc>
        <w:tc>
          <w:tcPr>
            <w:tcW w:w="341"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(10)</w:t>
            </w:r>
          </w:p>
        </w:tc>
        <w:tc>
          <w:tcPr>
            <w:tcW w:w="9759"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Plus losses in excess of catastrophe coverage</w:t>
            </w:r>
          </w:p>
        </w:tc>
      </w:tr>
    </w:tbl>
    <w:p>
      <w:pPr>
        <w:pStyle w:val="TextBody"/>
        <w:spacing w:before="0" w:after="0"/>
        <w:ind w:left="0" w:right="0" w:hanging="0"/>
        <w:rPr/>
      </w:pPr>
      <w:r>
        <w:rPr/>
        <w:t xml:space="preserve">  </w:t>
      </w:r>
    </w:p>
    <w:tbl>
      <w:tblPr>
        <w:tblW w:w="10157" w:type="dxa"/>
        <w:jc w:val="left"/>
        <w:tblInd w:w="0" w:type="dxa"/>
        <w:tblCellMar>
          <w:top w:w="0" w:type="dxa"/>
          <w:left w:w="0" w:type="dxa"/>
          <w:bottom w:w="0" w:type="dxa"/>
          <w:right w:w="0" w:type="dxa"/>
        </w:tblCellMar>
      </w:tblPr>
      <w:tblGrid>
        <w:gridCol w:w="5450"/>
        <w:gridCol w:w="90"/>
        <w:gridCol w:w="175"/>
        <w:gridCol w:w="1044"/>
        <w:gridCol w:w="245"/>
        <w:gridCol w:w="90"/>
        <w:gridCol w:w="175"/>
        <w:gridCol w:w="1044"/>
        <w:gridCol w:w="245"/>
        <w:gridCol w:w="90"/>
        <w:gridCol w:w="175"/>
        <w:gridCol w:w="1044"/>
        <w:gridCol w:w="290"/>
      </w:tblGrid>
      <w:tr>
        <w:trPr/>
        <w:tc>
          <w:tcPr>
            <w:tcW w:w="545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4327" w:type="dxa"/>
            <w:gridSpan w:val="10"/>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Treaty Year </w:t>
            </w:r>
          </w:p>
        </w:tc>
        <w:tc>
          <w:tcPr>
            <w:tcW w:w="290" w:type="dxa"/>
            <w:tcBorders/>
            <w:shd w:fill="auto" w:val="clear"/>
            <w:vAlign w:val="center"/>
          </w:tcPr>
          <w:p>
            <w:pPr>
              <w:pStyle w:val="TableContents"/>
              <w:spacing w:before="0" w:after="0"/>
              <w:ind w:left="0" w:right="0" w:hanging="0"/>
              <w:rPr/>
            </w:pPr>
            <w:r>
              <w:rPr>
                <w:rStyle w:val="StrongEmphasis"/>
              </w:rPr>
              <w:t> </w:t>
            </w:r>
          </w:p>
        </w:tc>
      </w:tr>
      <w:tr>
        <w:trPr/>
        <w:tc>
          <w:tcPr>
            <w:tcW w:w="545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219"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July 1, 2022</w:t>
            </w:r>
          </w:p>
        </w:tc>
        <w:tc>
          <w:tcPr>
            <w:tcW w:w="24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219"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July 1, 2021</w:t>
            </w:r>
          </w:p>
        </w:tc>
        <w:tc>
          <w:tcPr>
            <w:tcW w:w="24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219"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July 1, 2020</w:t>
            </w:r>
          </w:p>
        </w:tc>
        <w:tc>
          <w:tcPr>
            <w:tcW w:w="290" w:type="dxa"/>
            <w:tcBorders/>
            <w:shd w:fill="auto" w:val="clear"/>
            <w:vAlign w:val="center"/>
          </w:tcPr>
          <w:p>
            <w:pPr>
              <w:pStyle w:val="TableContents"/>
              <w:spacing w:before="0" w:after="0"/>
              <w:ind w:left="0" w:right="0" w:hanging="0"/>
              <w:rPr/>
            </w:pPr>
            <w:r>
              <w:rPr>
                <w:rStyle w:val="StrongEmphasis"/>
              </w:rPr>
              <w:t> </w:t>
            </w:r>
          </w:p>
        </w:tc>
      </w:tr>
      <w:tr>
        <w:trPr/>
        <w:tc>
          <w:tcPr>
            <w:tcW w:w="545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219"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to</w:t>
            </w:r>
          </w:p>
        </w:tc>
        <w:tc>
          <w:tcPr>
            <w:tcW w:w="24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219"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to</w:t>
            </w:r>
          </w:p>
        </w:tc>
        <w:tc>
          <w:tcPr>
            <w:tcW w:w="24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219"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to</w:t>
            </w:r>
          </w:p>
        </w:tc>
        <w:tc>
          <w:tcPr>
            <w:tcW w:w="290" w:type="dxa"/>
            <w:tcBorders/>
            <w:shd w:fill="auto" w:val="clear"/>
            <w:vAlign w:val="center"/>
          </w:tcPr>
          <w:p>
            <w:pPr>
              <w:pStyle w:val="TableContents"/>
              <w:spacing w:before="0" w:after="0"/>
              <w:ind w:left="0" w:right="0" w:hanging="0"/>
              <w:rPr/>
            </w:pPr>
            <w:r>
              <w:rPr>
                <w:rStyle w:val="StrongEmphasis"/>
              </w:rPr>
              <w:t> </w:t>
            </w:r>
          </w:p>
        </w:tc>
      </w:tr>
      <w:tr>
        <w:trPr/>
        <w:tc>
          <w:tcPr>
            <w:tcW w:w="5450" w:type="dxa"/>
            <w:tcBorders>
              <w:bottom w:val="single" w:sz="2" w:space="0" w:color="000000"/>
            </w:tcBorders>
            <w:shd w:fill="auto" w:val="clear"/>
            <w:tcMar>
              <w:bottom w:w="28" w:type="dxa"/>
            </w:tcMar>
            <w:vAlign w:val="center"/>
          </w:tcPr>
          <w:p>
            <w:pPr>
              <w:pStyle w:val="TableContents"/>
              <w:spacing w:before="0" w:after="283"/>
              <w:rPr/>
            </w:pPr>
            <w:r>
              <w:rPr>
                <w:rStyle w:val="StrongEmphasis"/>
              </w:rPr>
              <w:t xml:space="preserve">Line of Business </w:t>
            </w:r>
          </w:p>
        </w:tc>
        <w:tc>
          <w:tcPr>
            <w:tcW w:w="90" w:type="dxa"/>
            <w:tcBorders/>
            <w:shd w:fill="auto" w:val="clear"/>
            <w:vAlign w:val="center"/>
          </w:tcPr>
          <w:p>
            <w:pPr>
              <w:pStyle w:val="TableContents"/>
              <w:spacing w:before="0" w:after="0"/>
              <w:ind w:left="0" w:right="0" w:hanging="0"/>
              <w:rPr/>
            </w:pPr>
            <w:r>
              <w:rPr>
                <w:rStyle w:val="StrongEmphasis"/>
              </w:rPr>
              <w:t> </w:t>
            </w:r>
          </w:p>
        </w:tc>
        <w:tc>
          <w:tcPr>
            <w:tcW w:w="121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June 30, 2023</w:t>
            </w:r>
          </w:p>
        </w:tc>
        <w:tc>
          <w:tcPr>
            <w:tcW w:w="24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21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June 30, 2022</w:t>
            </w:r>
          </w:p>
        </w:tc>
        <w:tc>
          <w:tcPr>
            <w:tcW w:w="24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21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June 30, 2021</w:t>
            </w:r>
          </w:p>
        </w:tc>
        <w:tc>
          <w:tcPr>
            <w:tcW w:w="290" w:type="dxa"/>
            <w:tcBorders/>
            <w:shd w:fill="auto" w:val="clear"/>
            <w:vAlign w:val="center"/>
          </w:tcPr>
          <w:p>
            <w:pPr>
              <w:pStyle w:val="TableContents"/>
              <w:spacing w:before="0" w:after="0"/>
              <w:ind w:left="0" w:right="0" w:hanging="0"/>
              <w:rPr/>
            </w:pPr>
            <w:r>
              <w:rPr/>
              <w:t> </w:t>
            </w:r>
          </w:p>
        </w:tc>
      </w:tr>
      <w:tr>
        <w:trPr/>
        <w:tc>
          <w:tcPr>
            <w:tcW w:w="545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19"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19"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19" w:type="dxa"/>
            <w:gridSpan w:val="2"/>
            <w:tcBorders/>
            <w:shd w:fill="auto" w:val="clear"/>
            <w:vAlign w:val="center"/>
          </w:tcPr>
          <w:p>
            <w:pPr>
              <w:pStyle w:val="TableContents"/>
              <w:spacing w:before="0" w:after="0"/>
              <w:ind w:left="0" w:right="0" w:hanging="0"/>
              <w:rPr/>
            </w:pPr>
            <w:r>
              <w:rPr/>
              <w:t> </w:t>
            </w:r>
          </w:p>
        </w:tc>
        <w:tc>
          <w:tcPr>
            <w:tcW w:w="290" w:type="dxa"/>
            <w:tcBorders/>
            <w:shd w:fill="auto" w:val="clear"/>
            <w:vAlign w:val="center"/>
          </w:tcPr>
          <w:p>
            <w:pPr>
              <w:pStyle w:val="TableContents"/>
              <w:spacing w:before="0" w:after="0"/>
              <w:ind w:left="0" w:right="0" w:hanging="0"/>
              <w:rPr/>
            </w:pPr>
            <w:r>
              <w:rPr/>
              <w:t> </w:t>
            </w:r>
          </w:p>
        </w:tc>
      </w:tr>
      <w:tr>
        <w:trPr/>
        <w:tc>
          <w:tcPr>
            <w:tcW w:w="5450"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Personal Lines</w:t>
            </w:r>
            <w:r>
              <w:rPr>
                <w:rFonts w:ascii="times new roman" w:hAnsi="times new roman"/>
                <w:sz w:val="20"/>
              </w:rPr>
              <w:t>:</w:t>
            </w:r>
          </w:p>
        </w:tc>
        <w:tc>
          <w:tcPr>
            <w:tcW w:w="90" w:type="dxa"/>
            <w:tcBorders/>
            <w:shd w:fill="auto" w:val="clear"/>
            <w:vAlign w:val="center"/>
          </w:tcPr>
          <w:p>
            <w:pPr>
              <w:pStyle w:val="TableContents"/>
              <w:spacing w:before="0" w:after="0"/>
              <w:ind w:left="0" w:right="0" w:hanging="0"/>
              <w:rPr/>
            </w:pPr>
            <w:r>
              <w:rPr/>
              <w:t> </w:t>
            </w:r>
          </w:p>
        </w:tc>
        <w:tc>
          <w:tcPr>
            <w:tcW w:w="1219"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19"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19" w:type="dxa"/>
            <w:gridSpan w:val="2"/>
            <w:tcBorders/>
            <w:shd w:fill="auto" w:val="clear"/>
            <w:vAlign w:val="center"/>
          </w:tcPr>
          <w:p>
            <w:pPr>
              <w:pStyle w:val="TableContents"/>
              <w:spacing w:before="0" w:after="0"/>
              <w:ind w:left="0" w:right="0" w:hanging="0"/>
              <w:rPr/>
            </w:pPr>
            <w:r>
              <w:rPr/>
              <w:t> </w:t>
            </w:r>
          </w:p>
        </w:tc>
        <w:tc>
          <w:tcPr>
            <w:tcW w:w="290" w:type="dxa"/>
            <w:tcBorders/>
            <w:shd w:fill="auto" w:val="clear"/>
            <w:vAlign w:val="center"/>
          </w:tcPr>
          <w:p>
            <w:pPr>
              <w:pStyle w:val="TableContents"/>
              <w:spacing w:before="0" w:after="0"/>
              <w:ind w:left="0" w:right="0" w:hanging="0"/>
              <w:rPr/>
            </w:pPr>
            <w:r>
              <w:rPr/>
              <w:t> </w:t>
            </w:r>
          </w:p>
        </w:tc>
      </w:tr>
      <w:tr>
        <w:trPr/>
        <w:tc>
          <w:tcPr>
            <w:tcW w:w="5450" w:type="dxa"/>
            <w:tcBorders/>
            <w:shd w:fill="auto" w:val="clear"/>
            <w:vAlign w:val="center"/>
          </w:tcPr>
          <w:p>
            <w:pPr>
              <w:pStyle w:val="TableContents"/>
              <w:spacing w:before="0" w:after="283"/>
              <w:rPr/>
            </w:pPr>
            <w:r>
              <w:rPr/>
              <w:t xml:space="preserve">Personal Umbrella </w:t>
            </w:r>
          </w:p>
        </w:tc>
        <w:tc>
          <w:tcPr>
            <w:tcW w:w="90" w:type="dxa"/>
            <w:tcBorders/>
            <w:shd w:fill="auto" w:val="clear"/>
            <w:vAlign w:val="center"/>
          </w:tcPr>
          <w:p>
            <w:pPr>
              <w:pStyle w:val="TableContents"/>
              <w:spacing w:before="0" w:after="0"/>
              <w:ind w:left="0" w:right="0" w:hanging="0"/>
              <w:rPr/>
            </w:pPr>
            <w:r>
              <w:rPr/>
              <w:t> </w:t>
            </w:r>
          </w:p>
        </w:tc>
        <w:tc>
          <w:tcPr>
            <w:tcW w:w="1219"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19"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19" w:type="dxa"/>
            <w:gridSpan w:val="2"/>
            <w:tcBorders/>
            <w:shd w:fill="auto" w:val="clear"/>
            <w:vAlign w:val="center"/>
          </w:tcPr>
          <w:p>
            <w:pPr>
              <w:pStyle w:val="TableContents"/>
              <w:spacing w:before="0" w:after="0"/>
              <w:ind w:left="0" w:right="0" w:hanging="0"/>
              <w:rPr/>
            </w:pPr>
            <w:r>
              <w:rPr/>
              <w:t> </w:t>
            </w:r>
          </w:p>
        </w:tc>
        <w:tc>
          <w:tcPr>
            <w:tcW w:w="290" w:type="dxa"/>
            <w:tcBorders/>
            <w:shd w:fill="auto" w:val="clear"/>
            <w:vAlign w:val="center"/>
          </w:tcPr>
          <w:p>
            <w:pPr>
              <w:pStyle w:val="TableContents"/>
              <w:spacing w:before="0" w:after="0"/>
              <w:ind w:left="0" w:right="0" w:hanging="0"/>
              <w:rPr/>
            </w:pPr>
            <w:r>
              <w:rPr/>
              <w:t> </w:t>
            </w:r>
          </w:p>
        </w:tc>
      </w:tr>
      <w:tr>
        <w:trPr/>
        <w:tc>
          <w:tcPr>
            <w:tcW w:w="5450" w:type="dxa"/>
            <w:tcBorders/>
            <w:shd w:fill="auto"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Quota share treaty: </w:t>
            </w:r>
          </w:p>
        </w:tc>
        <w:tc>
          <w:tcPr>
            <w:tcW w:w="90" w:type="dxa"/>
            <w:tcBorders/>
            <w:shd w:fill="auto" w:val="clear"/>
            <w:vAlign w:val="center"/>
          </w:tcPr>
          <w:p>
            <w:pPr>
              <w:pStyle w:val="TableContents"/>
              <w:spacing w:before="0" w:after="0"/>
              <w:ind w:left="0" w:right="0" w:hanging="0"/>
              <w:rPr/>
            </w:pPr>
            <w:r>
              <w:rPr/>
              <w:t> </w:t>
            </w:r>
          </w:p>
        </w:tc>
        <w:tc>
          <w:tcPr>
            <w:tcW w:w="1219"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19"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19" w:type="dxa"/>
            <w:gridSpan w:val="2"/>
            <w:tcBorders/>
            <w:shd w:fill="auto" w:val="clear"/>
            <w:vAlign w:val="center"/>
          </w:tcPr>
          <w:p>
            <w:pPr>
              <w:pStyle w:val="TableContents"/>
              <w:spacing w:before="0" w:after="0"/>
              <w:ind w:left="0" w:right="0" w:hanging="0"/>
              <w:rPr/>
            </w:pPr>
            <w:r>
              <w:rPr/>
              <w:t> </w:t>
            </w:r>
          </w:p>
        </w:tc>
        <w:tc>
          <w:tcPr>
            <w:tcW w:w="290" w:type="dxa"/>
            <w:tcBorders/>
            <w:shd w:fill="auto" w:val="clear"/>
            <w:vAlign w:val="center"/>
          </w:tcPr>
          <w:p>
            <w:pPr>
              <w:pStyle w:val="TableContents"/>
              <w:spacing w:before="0" w:after="0"/>
              <w:ind w:left="0" w:right="0" w:hanging="0"/>
              <w:rPr/>
            </w:pPr>
            <w:r>
              <w:rPr/>
              <w:t> </w:t>
            </w:r>
          </w:p>
        </w:tc>
      </w:tr>
      <w:tr>
        <w:trPr/>
        <w:tc>
          <w:tcPr>
            <w:tcW w:w="5450" w:type="dxa"/>
            <w:tcBorders/>
            <w:shd w:fill="CCEEFF" w:val="clear"/>
            <w:vAlign w:val="center"/>
          </w:tcPr>
          <w:p>
            <w:pPr>
              <w:pStyle w:val="TableContents"/>
              <w:spacing w:before="0" w:after="0"/>
              <w:ind w:left="450" w:right="0" w:hanging="0"/>
              <w:jc w:val="left"/>
              <w:rPr>
                <w:rFonts w:ascii="times new roman" w:hAnsi="times new roman"/>
                <w:sz w:val="20"/>
              </w:rPr>
            </w:pPr>
            <w:r>
              <w:rPr>
                <w:rFonts w:ascii="times new roman" w:hAnsi="times new roman"/>
                <w:sz w:val="20"/>
              </w:rPr>
              <w:t xml:space="preserve">Percent ceded - first $1,000,000 of coverage </w:t>
            </w:r>
          </w:p>
        </w:tc>
        <w:tc>
          <w:tcPr>
            <w:tcW w:w="90" w:type="dxa"/>
            <w:tcBorders/>
            <w:shd w:fill="CCEEFF" w:val="clear"/>
            <w:vAlign w:val="center"/>
          </w:tcPr>
          <w:p>
            <w:pPr>
              <w:pStyle w:val="TableContents"/>
              <w:spacing w:before="0" w:after="0"/>
              <w:ind w:left="0" w:right="0" w:hanging="0"/>
              <w:rPr/>
            </w:pPr>
            <w:r>
              <w:rPr/>
              <w:t> </w:t>
            </w:r>
          </w:p>
        </w:tc>
        <w:tc>
          <w:tcPr>
            <w:tcW w:w="175" w:type="dxa"/>
            <w:tcBorders/>
            <w:shd w:fill="CCEEFF" w:val="clear"/>
            <w:vAlign w:val="center"/>
          </w:tcPr>
          <w:p>
            <w:pPr>
              <w:pStyle w:val="TableContents"/>
              <w:spacing w:before="0" w:after="0"/>
              <w:ind w:left="0" w:right="0" w:hanging="0"/>
              <w:rPr/>
            </w:pPr>
            <w:r>
              <w:rPr/>
              <w:t> </w:t>
            </w:r>
          </w:p>
        </w:tc>
        <w:tc>
          <w:tcPr>
            <w:tcW w:w="1044" w:type="dxa"/>
            <w:tcBorders/>
            <w:shd w:fill="CCEEFF" w:val="clear"/>
            <w:vAlign w:val="center"/>
          </w:tcPr>
          <w:p>
            <w:pPr>
              <w:pStyle w:val="TableContents"/>
              <w:spacing w:before="0" w:after="283"/>
              <w:jc w:val="right"/>
              <w:rPr/>
            </w:pPr>
            <w:r>
              <w:rPr/>
              <w:t>90</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5" w:type="dxa"/>
            <w:tcBorders/>
            <w:shd w:fill="CCEEFF" w:val="clear"/>
            <w:vAlign w:val="center"/>
          </w:tcPr>
          <w:p>
            <w:pPr>
              <w:pStyle w:val="TableContents"/>
              <w:spacing w:before="0" w:after="0"/>
              <w:ind w:left="0" w:right="0" w:hanging="0"/>
              <w:rPr/>
            </w:pPr>
            <w:r>
              <w:rPr/>
              <w:t> </w:t>
            </w:r>
          </w:p>
        </w:tc>
        <w:tc>
          <w:tcPr>
            <w:tcW w:w="1044" w:type="dxa"/>
            <w:tcBorders/>
            <w:shd w:fill="CCEEFF" w:val="clear"/>
            <w:vAlign w:val="center"/>
          </w:tcPr>
          <w:p>
            <w:pPr>
              <w:pStyle w:val="TableContents"/>
              <w:spacing w:before="0" w:after="283"/>
              <w:jc w:val="right"/>
              <w:rPr/>
            </w:pPr>
            <w:r>
              <w:rPr/>
              <w:t>90</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5" w:type="dxa"/>
            <w:tcBorders/>
            <w:shd w:fill="CCEEFF" w:val="clear"/>
            <w:vAlign w:val="center"/>
          </w:tcPr>
          <w:p>
            <w:pPr>
              <w:pStyle w:val="TableContents"/>
              <w:spacing w:before="0" w:after="0"/>
              <w:ind w:left="0" w:right="0" w:hanging="0"/>
              <w:rPr/>
            </w:pPr>
            <w:r>
              <w:rPr/>
              <w:t> </w:t>
            </w:r>
          </w:p>
        </w:tc>
        <w:tc>
          <w:tcPr>
            <w:tcW w:w="1044" w:type="dxa"/>
            <w:tcBorders/>
            <w:shd w:fill="CCEEFF" w:val="clear"/>
            <w:vAlign w:val="center"/>
          </w:tcPr>
          <w:p>
            <w:pPr>
              <w:pStyle w:val="TableContents"/>
              <w:spacing w:before="0" w:after="283"/>
              <w:jc w:val="right"/>
              <w:rPr/>
            </w:pPr>
            <w:r>
              <w:rPr/>
              <w:t>90</w:t>
            </w:r>
          </w:p>
        </w:tc>
        <w:tc>
          <w:tcPr>
            <w:tcW w:w="290" w:type="dxa"/>
            <w:tcBorders/>
            <w:shd w:fill="CCEEFF" w:val="clear"/>
            <w:vAlign w:val="center"/>
          </w:tcPr>
          <w:p>
            <w:pPr>
              <w:pStyle w:val="TableContents"/>
              <w:spacing w:before="0" w:after="283"/>
              <w:rPr/>
            </w:pPr>
            <w:r>
              <w:rPr/>
              <w:t>%</w:t>
            </w:r>
          </w:p>
        </w:tc>
      </w:tr>
      <w:tr>
        <w:trPr/>
        <w:tc>
          <w:tcPr>
            <w:tcW w:w="5450" w:type="dxa"/>
            <w:tcBorders/>
            <w:shd w:fill="FFFFFF" w:val="clear"/>
            <w:vAlign w:val="center"/>
          </w:tcPr>
          <w:p>
            <w:pPr>
              <w:pStyle w:val="TableContents"/>
              <w:spacing w:before="0" w:after="0"/>
              <w:ind w:left="450" w:right="0" w:hanging="0"/>
              <w:jc w:val="left"/>
              <w:rPr>
                <w:rFonts w:ascii="times new roman" w:hAnsi="times new roman"/>
                <w:sz w:val="20"/>
              </w:rPr>
            </w:pPr>
            <w:r>
              <w:rPr>
                <w:rFonts w:ascii="times new roman" w:hAnsi="times new roman"/>
                <w:sz w:val="20"/>
              </w:rPr>
              <w:t xml:space="preserve">Percent ceded - excess of $1,000,000 dollars of coverage </w:t>
            </w:r>
          </w:p>
        </w:tc>
        <w:tc>
          <w:tcPr>
            <w:tcW w:w="90" w:type="dxa"/>
            <w:tcBorders/>
            <w:shd w:fill="FFFFFF" w:val="clear"/>
            <w:vAlign w:val="center"/>
          </w:tcPr>
          <w:p>
            <w:pPr>
              <w:pStyle w:val="TableContents"/>
              <w:spacing w:before="0" w:after="0"/>
              <w:ind w:left="0" w:right="0" w:hanging="0"/>
              <w:rPr/>
            </w:pPr>
            <w:r>
              <w:rPr/>
              <w:t> </w:t>
            </w:r>
          </w:p>
        </w:tc>
        <w:tc>
          <w:tcPr>
            <w:tcW w:w="175" w:type="dxa"/>
            <w:tcBorders/>
            <w:shd w:fill="FFFFFF" w:val="clear"/>
            <w:vAlign w:val="center"/>
          </w:tcPr>
          <w:p>
            <w:pPr>
              <w:pStyle w:val="TableContents"/>
              <w:spacing w:before="0" w:after="0"/>
              <w:ind w:left="0" w:right="0" w:hanging="0"/>
              <w:rPr/>
            </w:pPr>
            <w:r>
              <w:rPr/>
              <w:t> </w:t>
            </w:r>
          </w:p>
        </w:tc>
        <w:tc>
          <w:tcPr>
            <w:tcW w:w="1044" w:type="dxa"/>
            <w:tcBorders/>
            <w:shd w:fill="FFFFFF" w:val="clear"/>
            <w:vAlign w:val="center"/>
          </w:tcPr>
          <w:p>
            <w:pPr>
              <w:pStyle w:val="TableContents"/>
              <w:spacing w:before="0" w:after="283"/>
              <w:jc w:val="right"/>
              <w:rPr/>
            </w:pPr>
            <w:r>
              <w:rPr/>
              <w:t>95</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5" w:type="dxa"/>
            <w:tcBorders/>
            <w:shd w:fill="FFFFFF" w:val="clear"/>
            <w:vAlign w:val="center"/>
          </w:tcPr>
          <w:p>
            <w:pPr>
              <w:pStyle w:val="TableContents"/>
              <w:spacing w:before="0" w:after="0"/>
              <w:ind w:left="0" w:right="0" w:hanging="0"/>
              <w:rPr/>
            </w:pPr>
            <w:r>
              <w:rPr/>
              <w:t> </w:t>
            </w:r>
          </w:p>
        </w:tc>
        <w:tc>
          <w:tcPr>
            <w:tcW w:w="1044" w:type="dxa"/>
            <w:tcBorders/>
            <w:shd w:fill="FFFFFF" w:val="clear"/>
            <w:vAlign w:val="center"/>
          </w:tcPr>
          <w:p>
            <w:pPr>
              <w:pStyle w:val="TableContents"/>
              <w:spacing w:before="0" w:after="283"/>
              <w:jc w:val="right"/>
              <w:rPr/>
            </w:pPr>
            <w:r>
              <w:rPr/>
              <w:t>95</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5" w:type="dxa"/>
            <w:tcBorders/>
            <w:shd w:fill="FFFFFF" w:val="clear"/>
            <w:vAlign w:val="center"/>
          </w:tcPr>
          <w:p>
            <w:pPr>
              <w:pStyle w:val="TableContents"/>
              <w:spacing w:before="0" w:after="0"/>
              <w:ind w:left="0" w:right="0" w:hanging="0"/>
              <w:rPr/>
            </w:pPr>
            <w:r>
              <w:rPr/>
              <w:t> </w:t>
            </w:r>
          </w:p>
        </w:tc>
        <w:tc>
          <w:tcPr>
            <w:tcW w:w="1044" w:type="dxa"/>
            <w:tcBorders/>
            <w:shd w:fill="FFFFFF" w:val="clear"/>
            <w:vAlign w:val="center"/>
          </w:tcPr>
          <w:p>
            <w:pPr>
              <w:pStyle w:val="TableContents"/>
              <w:spacing w:before="0" w:after="283"/>
              <w:jc w:val="right"/>
              <w:rPr/>
            </w:pPr>
            <w:r>
              <w:rPr/>
              <w:t>95</w:t>
            </w:r>
          </w:p>
        </w:tc>
        <w:tc>
          <w:tcPr>
            <w:tcW w:w="290" w:type="dxa"/>
            <w:tcBorders/>
            <w:shd w:fill="FFFFFF" w:val="clear"/>
            <w:vAlign w:val="center"/>
          </w:tcPr>
          <w:p>
            <w:pPr>
              <w:pStyle w:val="TableContents"/>
              <w:spacing w:before="0" w:after="283"/>
              <w:rPr/>
            </w:pPr>
            <w:r>
              <w:rPr/>
              <w:t>%</w:t>
            </w:r>
          </w:p>
        </w:tc>
      </w:tr>
      <w:tr>
        <w:trPr/>
        <w:tc>
          <w:tcPr>
            <w:tcW w:w="5450" w:type="dxa"/>
            <w:tcBorders/>
            <w:shd w:fill="CCEEFF" w:val="clear"/>
            <w:vAlign w:val="center"/>
          </w:tcPr>
          <w:p>
            <w:pPr>
              <w:pStyle w:val="TableContents"/>
              <w:spacing w:before="0" w:after="0"/>
              <w:ind w:left="450" w:right="0" w:hanging="0"/>
              <w:jc w:val="left"/>
              <w:rPr>
                <w:rFonts w:ascii="times new roman" w:hAnsi="times new roman"/>
                <w:sz w:val="20"/>
              </w:rPr>
            </w:pPr>
            <w:r>
              <w:rPr>
                <w:rFonts w:ascii="times new roman" w:hAnsi="times new roman"/>
                <w:sz w:val="20"/>
              </w:rPr>
              <w:t xml:space="preserve">Risk retained </w:t>
            </w:r>
          </w:p>
        </w:tc>
        <w:tc>
          <w:tcPr>
            <w:tcW w:w="90" w:type="dxa"/>
            <w:tcBorders/>
            <w:shd w:fill="CCEEFF" w:val="clear"/>
            <w:vAlign w:val="center"/>
          </w:tcPr>
          <w:p>
            <w:pPr>
              <w:pStyle w:val="TableContents"/>
              <w:spacing w:before="0" w:after="0"/>
              <w:ind w:left="0" w:right="0" w:hanging="0"/>
              <w:rPr/>
            </w:pPr>
            <w:r>
              <w:rPr/>
              <w:t> </w:t>
            </w:r>
          </w:p>
        </w:tc>
        <w:tc>
          <w:tcPr>
            <w:tcW w:w="175" w:type="dxa"/>
            <w:tcBorders/>
            <w:shd w:fill="CCEEFF" w:val="clear"/>
            <w:vAlign w:val="center"/>
          </w:tcPr>
          <w:p>
            <w:pPr>
              <w:pStyle w:val="TableContents"/>
              <w:spacing w:before="0" w:after="283"/>
              <w:rPr/>
            </w:pPr>
            <w:r>
              <w:rPr/>
              <w:t>$</w:t>
            </w:r>
          </w:p>
        </w:tc>
        <w:tc>
          <w:tcPr>
            <w:tcW w:w="1044" w:type="dxa"/>
            <w:tcBorders/>
            <w:shd w:fill="CCEEFF" w:val="clear"/>
            <w:vAlign w:val="center"/>
          </w:tcPr>
          <w:p>
            <w:pPr>
              <w:pStyle w:val="TableContents"/>
              <w:spacing w:before="0" w:after="283"/>
              <w:jc w:val="right"/>
              <w:rPr/>
            </w:pPr>
            <w:r>
              <w:rPr/>
              <w:t>300,000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5" w:type="dxa"/>
            <w:tcBorders/>
            <w:shd w:fill="CCEEFF" w:val="clear"/>
            <w:vAlign w:val="center"/>
          </w:tcPr>
          <w:p>
            <w:pPr>
              <w:pStyle w:val="TableContents"/>
              <w:spacing w:before="0" w:after="283"/>
              <w:rPr/>
            </w:pPr>
            <w:r>
              <w:rPr/>
              <w:t>$</w:t>
            </w:r>
          </w:p>
        </w:tc>
        <w:tc>
          <w:tcPr>
            <w:tcW w:w="1044" w:type="dxa"/>
            <w:tcBorders/>
            <w:shd w:fill="CCEEFF" w:val="clear"/>
            <w:vAlign w:val="center"/>
          </w:tcPr>
          <w:p>
            <w:pPr>
              <w:pStyle w:val="TableContents"/>
              <w:spacing w:before="0" w:after="283"/>
              <w:jc w:val="right"/>
              <w:rPr/>
            </w:pPr>
            <w:r>
              <w:rPr/>
              <w:t>300,000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5" w:type="dxa"/>
            <w:tcBorders/>
            <w:shd w:fill="CCEEFF" w:val="clear"/>
            <w:vAlign w:val="center"/>
          </w:tcPr>
          <w:p>
            <w:pPr>
              <w:pStyle w:val="TableContents"/>
              <w:spacing w:before="0" w:after="283"/>
              <w:rPr/>
            </w:pPr>
            <w:r>
              <w:rPr/>
              <w:t>$</w:t>
            </w:r>
          </w:p>
        </w:tc>
        <w:tc>
          <w:tcPr>
            <w:tcW w:w="1044" w:type="dxa"/>
            <w:tcBorders/>
            <w:shd w:fill="CCEEFF" w:val="clear"/>
            <w:vAlign w:val="center"/>
          </w:tcPr>
          <w:p>
            <w:pPr>
              <w:pStyle w:val="TableContents"/>
              <w:spacing w:before="0" w:after="283"/>
              <w:jc w:val="right"/>
              <w:rPr/>
            </w:pPr>
            <w:r>
              <w:rPr/>
              <w:t>300,000</w:t>
            </w:r>
          </w:p>
        </w:tc>
        <w:tc>
          <w:tcPr>
            <w:tcW w:w="290" w:type="dxa"/>
            <w:tcBorders/>
            <w:shd w:fill="CCEEFF" w:val="clear"/>
            <w:vAlign w:val="center"/>
          </w:tcPr>
          <w:p>
            <w:pPr>
              <w:pStyle w:val="TableContents"/>
              <w:spacing w:before="0" w:after="0"/>
              <w:ind w:left="0" w:right="0" w:hanging="0"/>
              <w:rPr/>
            </w:pPr>
            <w:r>
              <w:rPr/>
              <w:t> </w:t>
            </w:r>
          </w:p>
        </w:tc>
      </w:tr>
      <w:tr>
        <w:trPr/>
        <w:tc>
          <w:tcPr>
            <w:tcW w:w="5450" w:type="dxa"/>
            <w:tcBorders/>
            <w:shd w:fill="FFFFFF" w:val="clear"/>
            <w:vAlign w:val="center"/>
          </w:tcPr>
          <w:p>
            <w:pPr>
              <w:pStyle w:val="TableContents"/>
              <w:spacing w:before="0" w:after="0"/>
              <w:ind w:left="450" w:right="0" w:hanging="0"/>
              <w:jc w:val="left"/>
              <w:rPr>
                <w:rFonts w:ascii="times new roman" w:hAnsi="times new roman"/>
                <w:sz w:val="20"/>
              </w:rPr>
            </w:pPr>
            <w:r>
              <w:rPr>
                <w:rFonts w:ascii="times new roman" w:hAnsi="times new roman"/>
                <w:sz w:val="20"/>
              </w:rPr>
              <w:t xml:space="preserve">Total reinsurance coverage per occurrence </w:t>
            </w:r>
          </w:p>
        </w:tc>
        <w:tc>
          <w:tcPr>
            <w:tcW w:w="90" w:type="dxa"/>
            <w:tcBorders/>
            <w:shd w:fill="FFFFFF" w:val="clear"/>
            <w:vAlign w:val="center"/>
          </w:tcPr>
          <w:p>
            <w:pPr>
              <w:pStyle w:val="TableContents"/>
              <w:spacing w:before="0" w:after="0"/>
              <w:ind w:left="0" w:right="0" w:hanging="0"/>
              <w:rPr/>
            </w:pPr>
            <w:r>
              <w:rPr/>
              <w:t> </w:t>
            </w:r>
          </w:p>
        </w:tc>
        <w:tc>
          <w:tcPr>
            <w:tcW w:w="175" w:type="dxa"/>
            <w:tcBorders/>
            <w:shd w:fill="FFFFFF" w:val="clear"/>
            <w:vAlign w:val="center"/>
          </w:tcPr>
          <w:p>
            <w:pPr>
              <w:pStyle w:val="TableContents"/>
              <w:spacing w:before="0" w:after="283"/>
              <w:rPr/>
            </w:pPr>
            <w:r>
              <w:rPr/>
              <w:t>$</w:t>
            </w:r>
          </w:p>
        </w:tc>
        <w:tc>
          <w:tcPr>
            <w:tcW w:w="1044" w:type="dxa"/>
            <w:tcBorders/>
            <w:shd w:fill="FFFFFF" w:val="clear"/>
            <w:vAlign w:val="center"/>
          </w:tcPr>
          <w:p>
            <w:pPr>
              <w:pStyle w:val="TableContents"/>
              <w:spacing w:before="0" w:after="283"/>
              <w:jc w:val="right"/>
              <w:rPr/>
            </w:pPr>
            <w:r>
              <w:rPr/>
              <w:t>4,700,000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5" w:type="dxa"/>
            <w:tcBorders/>
            <w:shd w:fill="FFFFFF" w:val="clear"/>
            <w:vAlign w:val="center"/>
          </w:tcPr>
          <w:p>
            <w:pPr>
              <w:pStyle w:val="TableContents"/>
              <w:spacing w:before="0" w:after="283"/>
              <w:rPr/>
            </w:pPr>
            <w:r>
              <w:rPr/>
              <w:t>$</w:t>
            </w:r>
          </w:p>
        </w:tc>
        <w:tc>
          <w:tcPr>
            <w:tcW w:w="1044" w:type="dxa"/>
            <w:tcBorders/>
            <w:shd w:fill="FFFFFF" w:val="clear"/>
            <w:vAlign w:val="center"/>
          </w:tcPr>
          <w:p>
            <w:pPr>
              <w:pStyle w:val="TableContents"/>
              <w:spacing w:before="0" w:after="283"/>
              <w:jc w:val="right"/>
              <w:rPr/>
            </w:pPr>
            <w:r>
              <w:rPr/>
              <w:t>4,700,000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5" w:type="dxa"/>
            <w:tcBorders/>
            <w:shd w:fill="FFFFFF" w:val="clear"/>
            <w:vAlign w:val="center"/>
          </w:tcPr>
          <w:p>
            <w:pPr>
              <w:pStyle w:val="TableContents"/>
              <w:spacing w:before="0" w:after="283"/>
              <w:rPr/>
            </w:pPr>
            <w:r>
              <w:rPr/>
              <w:t>$</w:t>
            </w:r>
          </w:p>
        </w:tc>
        <w:tc>
          <w:tcPr>
            <w:tcW w:w="1044" w:type="dxa"/>
            <w:tcBorders/>
            <w:shd w:fill="FFFFFF" w:val="clear"/>
            <w:vAlign w:val="center"/>
          </w:tcPr>
          <w:p>
            <w:pPr>
              <w:pStyle w:val="TableContents"/>
              <w:spacing w:before="0" w:after="283"/>
              <w:jc w:val="right"/>
              <w:rPr/>
            </w:pPr>
            <w:r>
              <w:rPr/>
              <w:t>4,700,000</w:t>
            </w:r>
          </w:p>
        </w:tc>
        <w:tc>
          <w:tcPr>
            <w:tcW w:w="290" w:type="dxa"/>
            <w:tcBorders/>
            <w:shd w:fill="FFFFFF" w:val="clear"/>
            <w:vAlign w:val="center"/>
          </w:tcPr>
          <w:p>
            <w:pPr>
              <w:pStyle w:val="TableContents"/>
              <w:spacing w:before="0" w:after="0"/>
              <w:ind w:left="0" w:right="0" w:hanging="0"/>
              <w:rPr/>
            </w:pPr>
            <w:r>
              <w:rPr/>
              <w:t> </w:t>
            </w:r>
          </w:p>
        </w:tc>
      </w:tr>
      <w:tr>
        <w:trPr/>
        <w:tc>
          <w:tcPr>
            <w:tcW w:w="5450" w:type="dxa"/>
            <w:tcBorders/>
            <w:shd w:fill="CCEEFF" w:val="clear"/>
            <w:vAlign w:val="center"/>
          </w:tcPr>
          <w:p>
            <w:pPr>
              <w:pStyle w:val="TableContents"/>
              <w:spacing w:before="0" w:after="0"/>
              <w:ind w:left="450" w:right="0" w:hanging="0"/>
              <w:jc w:val="left"/>
              <w:rPr>
                <w:rFonts w:ascii="times new roman" w:hAnsi="times new roman"/>
                <w:sz w:val="20"/>
              </w:rPr>
            </w:pPr>
            <w:r>
              <w:rPr>
                <w:rFonts w:ascii="times new roman" w:hAnsi="times new roman"/>
                <w:sz w:val="20"/>
              </w:rPr>
              <w:t xml:space="preserve">Losses per occurrence subject to quota share reinsurance coverage </w:t>
            </w:r>
          </w:p>
        </w:tc>
        <w:tc>
          <w:tcPr>
            <w:tcW w:w="90" w:type="dxa"/>
            <w:tcBorders/>
            <w:shd w:fill="CCEEFF" w:val="clear"/>
            <w:vAlign w:val="center"/>
          </w:tcPr>
          <w:p>
            <w:pPr>
              <w:pStyle w:val="TableContents"/>
              <w:spacing w:before="0" w:after="0"/>
              <w:ind w:left="0" w:right="0" w:hanging="0"/>
              <w:rPr/>
            </w:pPr>
            <w:r>
              <w:rPr/>
              <w:t> </w:t>
            </w:r>
          </w:p>
        </w:tc>
        <w:tc>
          <w:tcPr>
            <w:tcW w:w="175" w:type="dxa"/>
            <w:tcBorders/>
            <w:shd w:fill="CCEEFF" w:val="clear"/>
            <w:vAlign w:val="center"/>
          </w:tcPr>
          <w:p>
            <w:pPr>
              <w:pStyle w:val="TableContents"/>
              <w:spacing w:before="0" w:after="283"/>
              <w:rPr/>
            </w:pPr>
            <w:r>
              <w:rPr/>
              <w:t>$</w:t>
            </w:r>
          </w:p>
        </w:tc>
        <w:tc>
          <w:tcPr>
            <w:tcW w:w="1044" w:type="dxa"/>
            <w:tcBorders/>
            <w:shd w:fill="CCEEFF" w:val="clear"/>
            <w:vAlign w:val="center"/>
          </w:tcPr>
          <w:p>
            <w:pPr>
              <w:pStyle w:val="TableContents"/>
              <w:spacing w:before="0" w:after="283"/>
              <w:jc w:val="right"/>
              <w:rPr/>
            </w:pPr>
            <w:r>
              <w:rPr/>
              <w:t>5,000,000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5" w:type="dxa"/>
            <w:tcBorders/>
            <w:shd w:fill="CCEEFF" w:val="clear"/>
            <w:vAlign w:val="center"/>
          </w:tcPr>
          <w:p>
            <w:pPr>
              <w:pStyle w:val="TableContents"/>
              <w:spacing w:before="0" w:after="283"/>
              <w:rPr/>
            </w:pPr>
            <w:r>
              <w:rPr/>
              <w:t>$</w:t>
            </w:r>
          </w:p>
        </w:tc>
        <w:tc>
          <w:tcPr>
            <w:tcW w:w="1044" w:type="dxa"/>
            <w:tcBorders/>
            <w:shd w:fill="CCEEFF" w:val="clear"/>
            <w:vAlign w:val="center"/>
          </w:tcPr>
          <w:p>
            <w:pPr>
              <w:pStyle w:val="TableContents"/>
              <w:spacing w:before="0" w:after="283"/>
              <w:jc w:val="right"/>
              <w:rPr/>
            </w:pPr>
            <w:r>
              <w:rPr/>
              <w:t>5,000,000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5" w:type="dxa"/>
            <w:tcBorders/>
            <w:shd w:fill="CCEEFF" w:val="clear"/>
            <w:vAlign w:val="center"/>
          </w:tcPr>
          <w:p>
            <w:pPr>
              <w:pStyle w:val="TableContents"/>
              <w:spacing w:before="0" w:after="283"/>
              <w:rPr/>
            </w:pPr>
            <w:r>
              <w:rPr/>
              <w:t>$</w:t>
            </w:r>
          </w:p>
        </w:tc>
        <w:tc>
          <w:tcPr>
            <w:tcW w:w="1044" w:type="dxa"/>
            <w:tcBorders/>
            <w:shd w:fill="CCEEFF" w:val="clear"/>
            <w:vAlign w:val="center"/>
          </w:tcPr>
          <w:p>
            <w:pPr>
              <w:pStyle w:val="TableContents"/>
              <w:spacing w:before="0" w:after="283"/>
              <w:jc w:val="right"/>
              <w:rPr/>
            </w:pPr>
            <w:r>
              <w:rPr/>
              <w:t>5,000,000</w:t>
            </w:r>
          </w:p>
        </w:tc>
        <w:tc>
          <w:tcPr>
            <w:tcW w:w="290" w:type="dxa"/>
            <w:tcBorders/>
            <w:shd w:fill="CCEEFF" w:val="clear"/>
            <w:vAlign w:val="center"/>
          </w:tcPr>
          <w:p>
            <w:pPr>
              <w:pStyle w:val="TableContents"/>
              <w:spacing w:before="0" w:after="0"/>
              <w:ind w:left="0" w:right="0" w:hanging="0"/>
              <w:rPr/>
            </w:pPr>
            <w:r>
              <w:rPr/>
              <w:t> </w:t>
            </w:r>
          </w:p>
        </w:tc>
      </w:tr>
      <w:tr>
        <w:trPr/>
        <w:tc>
          <w:tcPr>
            <w:tcW w:w="5450"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Expiration date </w:t>
            </w:r>
          </w:p>
        </w:tc>
        <w:tc>
          <w:tcPr>
            <w:tcW w:w="90" w:type="dxa"/>
            <w:tcBorders/>
            <w:shd w:fill="FFFFFF" w:val="clear"/>
            <w:vAlign w:val="center"/>
          </w:tcPr>
          <w:p>
            <w:pPr>
              <w:pStyle w:val="TableContents"/>
              <w:spacing w:before="0" w:after="0"/>
              <w:ind w:left="0" w:right="0" w:hanging="0"/>
              <w:rPr/>
            </w:pPr>
            <w:r>
              <w:rPr/>
              <w:t> </w:t>
            </w:r>
          </w:p>
        </w:tc>
        <w:tc>
          <w:tcPr>
            <w:tcW w:w="1219" w:type="dxa"/>
            <w:gridSpan w:val="2"/>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June 30, 2023</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219" w:type="dxa"/>
            <w:gridSpan w:val="2"/>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June 30, 2022</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219" w:type="dxa"/>
            <w:gridSpan w:val="2"/>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June 30, 2021</w:t>
            </w:r>
          </w:p>
        </w:tc>
        <w:tc>
          <w:tcPr>
            <w:tcW w:w="290" w:type="dxa"/>
            <w:tcBorders/>
            <w:shd w:fill="FFFFFF" w:val="clear"/>
            <w:vAlign w:val="center"/>
          </w:tcPr>
          <w:p>
            <w:pPr>
              <w:pStyle w:val="TableContents"/>
              <w:spacing w:before="0" w:after="0"/>
              <w:ind w:left="0" w:right="0" w:hanging="0"/>
              <w:rPr/>
            </w:pPr>
            <w:r>
              <w:rPr/>
              <w:t> </w:t>
            </w:r>
          </w:p>
        </w:tc>
      </w:tr>
      <w:tr>
        <w:trPr/>
        <w:tc>
          <w:tcPr>
            <w:tcW w:w="54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5" w:type="dxa"/>
            <w:tcBorders/>
            <w:shd w:fill="FFFFFF" w:val="clear"/>
            <w:vAlign w:val="center"/>
          </w:tcPr>
          <w:p>
            <w:pPr>
              <w:pStyle w:val="TableContents"/>
              <w:spacing w:before="0" w:after="0"/>
              <w:ind w:left="0" w:right="0" w:hanging="0"/>
              <w:rPr/>
            </w:pPr>
            <w:r>
              <w:rPr/>
              <w:t> </w:t>
            </w:r>
          </w:p>
        </w:tc>
        <w:tc>
          <w:tcPr>
            <w:tcW w:w="1044"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5" w:type="dxa"/>
            <w:tcBorders/>
            <w:shd w:fill="FFFFFF" w:val="clear"/>
            <w:vAlign w:val="center"/>
          </w:tcPr>
          <w:p>
            <w:pPr>
              <w:pStyle w:val="TableContents"/>
              <w:spacing w:before="0" w:after="0"/>
              <w:ind w:left="0" w:right="0" w:hanging="0"/>
              <w:rPr/>
            </w:pPr>
            <w:r>
              <w:rPr/>
              <w:t> </w:t>
            </w:r>
          </w:p>
        </w:tc>
        <w:tc>
          <w:tcPr>
            <w:tcW w:w="1044"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5" w:type="dxa"/>
            <w:tcBorders/>
            <w:shd w:fill="FFFFFF" w:val="clear"/>
            <w:vAlign w:val="center"/>
          </w:tcPr>
          <w:p>
            <w:pPr>
              <w:pStyle w:val="TableContents"/>
              <w:spacing w:before="0" w:after="0"/>
              <w:ind w:left="0" w:right="0" w:hanging="0"/>
              <w:rPr/>
            </w:pPr>
            <w:r>
              <w:rPr/>
              <w:t> </w:t>
            </w:r>
          </w:p>
        </w:tc>
        <w:tc>
          <w:tcPr>
            <w:tcW w:w="1044" w:type="dxa"/>
            <w:tcBorders/>
            <w:shd w:fill="FFFFFF" w:val="clear"/>
            <w:vAlign w:val="center"/>
          </w:tcPr>
          <w:p>
            <w:pPr>
              <w:pStyle w:val="TableContents"/>
              <w:spacing w:before="0" w:after="0"/>
              <w:ind w:left="0" w:right="0" w:hanging="0"/>
              <w:rPr/>
            </w:pPr>
            <w:r>
              <w:rPr/>
              <w:t> </w:t>
            </w:r>
          </w:p>
        </w:tc>
        <w:tc>
          <w:tcPr>
            <w:tcW w:w="290" w:type="dxa"/>
            <w:tcBorders/>
            <w:shd w:fill="FFFFFF" w:val="clear"/>
            <w:vAlign w:val="center"/>
          </w:tcPr>
          <w:p>
            <w:pPr>
              <w:pStyle w:val="TableContents"/>
              <w:spacing w:before="0" w:after="0"/>
              <w:ind w:left="0" w:right="0" w:hanging="0"/>
              <w:rPr/>
            </w:pPr>
            <w:r>
              <w:rPr/>
              <w:t> </w:t>
            </w:r>
          </w:p>
        </w:tc>
      </w:tr>
      <w:tr>
        <w:trPr/>
        <w:tc>
          <w:tcPr>
            <w:tcW w:w="5450" w:type="dxa"/>
            <w:tcBorders/>
            <w:shd w:fill="FFFFFF" w:val="clear"/>
            <w:vAlign w:val="cente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Commercial Lines (1):</w:t>
            </w:r>
          </w:p>
        </w:tc>
        <w:tc>
          <w:tcPr>
            <w:tcW w:w="90" w:type="dxa"/>
            <w:tcBorders/>
            <w:shd w:fill="FFFFFF" w:val="clear"/>
            <w:vAlign w:val="center"/>
          </w:tcPr>
          <w:p>
            <w:pPr>
              <w:pStyle w:val="TableContents"/>
              <w:spacing w:before="0" w:after="0"/>
              <w:ind w:left="0" w:right="0" w:hanging="0"/>
              <w:rPr/>
            </w:pPr>
            <w:r>
              <w:rPr/>
              <w:t> </w:t>
            </w:r>
          </w:p>
        </w:tc>
        <w:tc>
          <w:tcPr>
            <w:tcW w:w="175" w:type="dxa"/>
            <w:tcBorders/>
            <w:shd w:fill="FFFFFF" w:val="clear"/>
            <w:vAlign w:val="center"/>
          </w:tcPr>
          <w:p>
            <w:pPr>
              <w:pStyle w:val="TableContents"/>
              <w:spacing w:before="0" w:after="0"/>
              <w:ind w:left="0" w:right="0" w:hanging="0"/>
              <w:rPr/>
            </w:pPr>
            <w:r>
              <w:rPr/>
              <w:t> </w:t>
            </w:r>
          </w:p>
        </w:tc>
        <w:tc>
          <w:tcPr>
            <w:tcW w:w="1044"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5" w:type="dxa"/>
            <w:tcBorders/>
            <w:shd w:fill="FFFFFF" w:val="clear"/>
            <w:vAlign w:val="center"/>
          </w:tcPr>
          <w:p>
            <w:pPr>
              <w:pStyle w:val="TableContents"/>
              <w:spacing w:before="0" w:after="0"/>
              <w:ind w:left="0" w:right="0" w:hanging="0"/>
              <w:rPr/>
            </w:pPr>
            <w:r>
              <w:rPr/>
              <w:t> </w:t>
            </w:r>
          </w:p>
        </w:tc>
        <w:tc>
          <w:tcPr>
            <w:tcW w:w="1044"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5" w:type="dxa"/>
            <w:tcBorders/>
            <w:shd w:fill="FFFFFF" w:val="clear"/>
            <w:vAlign w:val="center"/>
          </w:tcPr>
          <w:p>
            <w:pPr>
              <w:pStyle w:val="TableContents"/>
              <w:spacing w:before="0" w:after="0"/>
              <w:ind w:left="0" w:right="0" w:hanging="0"/>
              <w:rPr/>
            </w:pPr>
            <w:r>
              <w:rPr/>
              <w:t> </w:t>
            </w:r>
          </w:p>
        </w:tc>
        <w:tc>
          <w:tcPr>
            <w:tcW w:w="1044" w:type="dxa"/>
            <w:tcBorders/>
            <w:shd w:fill="FFFFFF" w:val="clear"/>
            <w:vAlign w:val="center"/>
          </w:tcPr>
          <w:p>
            <w:pPr>
              <w:pStyle w:val="TableContents"/>
              <w:spacing w:before="0" w:after="0"/>
              <w:ind w:left="0" w:right="0" w:hanging="0"/>
              <w:rPr/>
            </w:pPr>
            <w:r>
              <w:rPr/>
              <w:t> </w:t>
            </w:r>
          </w:p>
        </w:tc>
        <w:tc>
          <w:tcPr>
            <w:tcW w:w="290" w:type="dxa"/>
            <w:tcBorders/>
            <w:shd w:fill="FFFFFF" w:val="clear"/>
            <w:vAlign w:val="center"/>
          </w:tcPr>
          <w:p>
            <w:pPr>
              <w:pStyle w:val="TableContents"/>
              <w:spacing w:before="0" w:after="0"/>
              <w:ind w:left="0" w:right="0" w:hanging="0"/>
              <w:rPr/>
            </w:pPr>
            <w:r>
              <w:rPr/>
              <w:t> </w:t>
            </w:r>
          </w:p>
        </w:tc>
      </w:tr>
      <w:tr>
        <w:trPr/>
        <w:tc>
          <w:tcPr>
            <w:tcW w:w="5450" w:type="dxa"/>
            <w:tcBorders/>
            <w:shd w:fill="FFFFFF" w:val="clear"/>
            <w:vAlign w:val="center"/>
          </w:tcPr>
          <w:p>
            <w:pPr>
              <w:pStyle w:val="TableContents"/>
              <w:spacing w:before="0" w:after="283"/>
              <w:rPr/>
            </w:pPr>
            <w:r>
              <w:rPr/>
              <w:t xml:space="preserve">General liability commercial policies </w:t>
            </w:r>
          </w:p>
        </w:tc>
        <w:tc>
          <w:tcPr>
            <w:tcW w:w="90" w:type="dxa"/>
            <w:tcBorders/>
            <w:shd w:fill="FFFFFF" w:val="clear"/>
            <w:vAlign w:val="center"/>
          </w:tcPr>
          <w:p>
            <w:pPr>
              <w:pStyle w:val="TableContents"/>
              <w:spacing w:before="0" w:after="0"/>
              <w:ind w:left="0" w:right="0" w:hanging="0"/>
              <w:rPr/>
            </w:pPr>
            <w:r>
              <w:rPr/>
              <w:t> </w:t>
            </w:r>
          </w:p>
        </w:tc>
        <w:tc>
          <w:tcPr>
            <w:tcW w:w="175" w:type="dxa"/>
            <w:tcBorders/>
            <w:shd w:fill="FFFFFF" w:val="clear"/>
            <w:vAlign w:val="center"/>
          </w:tcPr>
          <w:p>
            <w:pPr>
              <w:pStyle w:val="TableContents"/>
              <w:spacing w:before="0" w:after="0"/>
              <w:ind w:left="0" w:right="0" w:hanging="0"/>
              <w:rPr/>
            </w:pPr>
            <w:r>
              <w:rPr/>
              <w:t> </w:t>
            </w:r>
          </w:p>
        </w:tc>
        <w:tc>
          <w:tcPr>
            <w:tcW w:w="1044"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5" w:type="dxa"/>
            <w:tcBorders/>
            <w:shd w:fill="FFFFFF" w:val="clear"/>
            <w:vAlign w:val="center"/>
          </w:tcPr>
          <w:p>
            <w:pPr>
              <w:pStyle w:val="TableContents"/>
              <w:spacing w:before="0" w:after="0"/>
              <w:ind w:left="0" w:right="0" w:hanging="0"/>
              <w:rPr/>
            </w:pPr>
            <w:r>
              <w:rPr/>
              <w:t> </w:t>
            </w:r>
          </w:p>
        </w:tc>
        <w:tc>
          <w:tcPr>
            <w:tcW w:w="1044"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5" w:type="dxa"/>
            <w:tcBorders/>
            <w:shd w:fill="FFFFFF" w:val="clear"/>
            <w:vAlign w:val="center"/>
          </w:tcPr>
          <w:p>
            <w:pPr>
              <w:pStyle w:val="TableContents"/>
              <w:spacing w:before="0" w:after="0"/>
              <w:ind w:left="0" w:right="0" w:hanging="0"/>
              <w:rPr/>
            </w:pPr>
            <w:r>
              <w:rPr/>
              <w:t> </w:t>
            </w:r>
          </w:p>
        </w:tc>
        <w:tc>
          <w:tcPr>
            <w:tcW w:w="1044" w:type="dxa"/>
            <w:tcBorders/>
            <w:shd w:fill="FFFFFF" w:val="clear"/>
            <w:vAlign w:val="center"/>
          </w:tcPr>
          <w:p>
            <w:pPr>
              <w:pStyle w:val="TableContents"/>
              <w:spacing w:before="0" w:after="0"/>
              <w:ind w:left="0" w:right="0" w:hanging="0"/>
              <w:rPr/>
            </w:pPr>
            <w:r>
              <w:rPr/>
              <w:t> </w:t>
            </w:r>
          </w:p>
        </w:tc>
        <w:tc>
          <w:tcPr>
            <w:tcW w:w="290" w:type="dxa"/>
            <w:tcBorders/>
            <w:shd w:fill="FFFFFF" w:val="clear"/>
            <w:vAlign w:val="center"/>
          </w:tcPr>
          <w:p>
            <w:pPr>
              <w:pStyle w:val="TableContents"/>
              <w:spacing w:before="0" w:after="0"/>
              <w:ind w:left="0" w:right="0" w:hanging="0"/>
              <w:rPr/>
            </w:pPr>
            <w:r>
              <w:rPr/>
              <w:t> </w:t>
            </w:r>
          </w:p>
        </w:tc>
      </w:tr>
      <w:tr>
        <w:trPr/>
        <w:tc>
          <w:tcPr>
            <w:tcW w:w="5450" w:type="dxa"/>
            <w:tcBorders/>
            <w:shd w:fill="CCEE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Quota share treaty </w:t>
            </w:r>
          </w:p>
        </w:tc>
        <w:tc>
          <w:tcPr>
            <w:tcW w:w="90" w:type="dxa"/>
            <w:tcBorders/>
            <w:shd w:fill="CCEEFF" w:val="clear"/>
            <w:vAlign w:val="center"/>
          </w:tcPr>
          <w:p>
            <w:pPr>
              <w:pStyle w:val="TableContents"/>
              <w:spacing w:before="0" w:after="0"/>
              <w:ind w:left="0" w:right="0" w:hanging="0"/>
              <w:rPr/>
            </w:pPr>
            <w:r>
              <w:rPr/>
              <w:t> </w:t>
            </w:r>
          </w:p>
        </w:tc>
        <w:tc>
          <w:tcPr>
            <w:tcW w:w="175" w:type="dxa"/>
            <w:tcBorders/>
            <w:shd w:fill="CCEEFF" w:val="clear"/>
            <w:vAlign w:val="center"/>
          </w:tcPr>
          <w:p>
            <w:pPr>
              <w:pStyle w:val="TableContents"/>
              <w:spacing w:before="0" w:after="0"/>
              <w:ind w:left="0" w:right="0" w:hanging="0"/>
              <w:rPr/>
            </w:pPr>
            <w:r>
              <w:rPr/>
              <w:t> </w:t>
            </w:r>
          </w:p>
        </w:tc>
        <w:tc>
          <w:tcPr>
            <w:tcW w:w="1044"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5" w:type="dxa"/>
            <w:tcBorders/>
            <w:shd w:fill="CCEEFF" w:val="clear"/>
            <w:vAlign w:val="center"/>
          </w:tcPr>
          <w:p>
            <w:pPr>
              <w:pStyle w:val="TableContents"/>
              <w:spacing w:before="0" w:after="0"/>
              <w:ind w:left="0" w:right="0" w:hanging="0"/>
              <w:rPr/>
            </w:pPr>
            <w:r>
              <w:rPr/>
              <w:t> </w:t>
            </w:r>
          </w:p>
        </w:tc>
        <w:tc>
          <w:tcPr>
            <w:tcW w:w="1044"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219" w:type="dxa"/>
            <w:gridSpan w:val="2"/>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None</w:t>
            </w:r>
          </w:p>
        </w:tc>
        <w:tc>
          <w:tcPr>
            <w:tcW w:w="290" w:type="dxa"/>
            <w:tcBorders/>
            <w:shd w:fill="CCEEFF" w:val="clear"/>
            <w:vAlign w:val="center"/>
          </w:tcPr>
          <w:p>
            <w:pPr>
              <w:pStyle w:val="TableContents"/>
              <w:spacing w:before="0" w:after="0"/>
              <w:ind w:left="0" w:right="0" w:hanging="0"/>
              <w:rPr/>
            </w:pPr>
            <w:r>
              <w:rPr/>
              <w:t> </w:t>
            </w:r>
          </w:p>
        </w:tc>
      </w:tr>
      <w:tr>
        <w:trPr/>
        <w:tc>
          <w:tcPr>
            <w:tcW w:w="5450" w:type="dxa"/>
            <w:tcBorders/>
            <w:shd w:fill="FFFF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Risk retained </w:t>
            </w:r>
          </w:p>
        </w:tc>
        <w:tc>
          <w:tcPr>
            <w:tcW w:w="90" w:type="dxa"/>
            <w:tcBorders/>
            <w:shd w:fill="FFFFFF" w:val="clear"/>
            <w:vAlign w:val="center"/>
          </w:tcPr>
          <w:p>
            <w:pPr>
              <w:pStyle w:val="TableContents"/>
              <w:spacing w:before="0" w:after="0"/>
              <w:ind w:left="0" w:right="0" w:hanging="0"/>
              <w:rPr/>
            </w:pPr>
            <w:r>
              <w:rPr/>
              <w:t> </w:t>
            </w:r>
          </w:p>
        </w:tc>
        <w:tc>
          <w:tcPr>
            <w:tcW w:w="175" w:type="dxa"/>
            <w:tcBorders/>
            <w:shd w:fill="FFFFFF" w:val="clear"/>
            <w:vAlign w:val="center"/>
          </w:tcPr>
          <w:p>
            <w:pPr>
              <w:pStyle w:val="TableContents"/>
              <w:spacing w:before="0" w:after="0"/>
              <w:ind w:left="0" w:right="0" w:hanging="0"/>
              <w:rPr/>
            </w:pPr>
            <w:r>
              <w:rPr/>
              <w:t> </w:t>
            </w:r>
          </w:p>
        </w:tc>
        <w:tc>
          <w:tcPr>
            <w:tcW w:w="1044"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5" w:type="dxa"/>
            <w:tcBorders/>
            <w:shd w:fill="FFFFFF" w:val="clear"/>
            <w:vAlign w:val="center"/>
          </w:tcPr>
          <w:p>
            <w:pPr>
              <w:pStyle w:val="TableContents"/>
              <w:spacing w:before="0" w:after="0"/>
              <w:ind w:left="0" w:right="0" w:hanging="0"/>
              <w:rPr/>
            </w:pPr>
            <w:r>
              <w:rPr/>
              <w:t> </w:t>
            </w:r>
          </w:p>
        </w:tc>
        <w:tc>
          <w:tcPr>
            <w:tcW w:w="1044"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5" w:type="dxa"/>
            <w:tcBorders/>
            <w:shd w:fill="FFFFFF" w:val="clear"/>
            <w:vAlign w:val="center"/>
          </w:tcPr>
          <w:p>
            <w:pPr>
              <w:pStyle w:val="TableContents"/>
              <w:spacing w:before="0" w:after="283"/>
              <w:rPr/>
            </w:pPr>
            <w:r>
              <w:rPr/>
              <w:t>$</w:t>
            </w:r>
          </w:p>
        </w:tc>
        <w:tc>
          <w:tcPr>
            <w:tcW w:w="1044" w:type="dxa"/>
            <w:tcBorders/>
            <w:shd w:fill="FFFFFF" w:val="clear"/>
            <w:vAlign w:val="center"/>
          </w:tcPr>
          <w:p>
            <w:pPr>
              <w:pStyle w:val="TableContents"/>
              <w:spacing w:before="0" w:after="283"/>
              <w:jc w:val="right"/>
              <w:rPr/>
            </w:pPr>
            <w:r>
              <w:rPr/>
              <w:t>750,000</w:t>
            </w:r>
          </w:p>
        </w:tc>
        <w:tc>
          <w:tcPr>
            <w:tcW w:w="290" w:type="dxa"/>
            <w:tcBorders/>
            <w:shd w:fill="FFFFFF" w:val="clear"/>
            <w:vAlign w:val="center"/>
          </w:tcPr>
          <w:p>
            <w:pPr>
              <w:pStyle w:val="TableContents"/>
              <w:spacing w:before="0" w:after="0"/>
              <w:ind w:left="0" w:right="0" w:hanging="0"/>
              <w:rPr/>
            </w:pPr>
            <w:r>
              <w:rPr/>
              <w:t> </w:t>
            </w:r>
          </w:p>
        </w:tc>
      </w:tr>
      <w:tr>
        <w:trPr/>
        <w:tc>
          <w:tcPr>
            <w:tcW w:w="5450" w:type="dxa"/>
            <w:tcBorders/>
            <w:shd w:fill="CCEE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Excess of loss coverage above risk retained </w:t>
            </w:r>
          </w:p>
        </w:tc>
        <w:tc>
          <w:tcPr>
            <w:tcW w:w="90" w:type="dxa"/>
            <w:tcBorders/>
            <w:shd w:fill="CCEEFF" w:val="clear"/>
            <w:vAlign w:val="center"/>
          </w:tcPr>
          <w:p>
            <w:pPr>
              <w:pStyle w:val="TableContents"/>
              <w:spacing w:before="0" w:after="0"/>
              <w:ind w:left="0" w:right="0" w:hanging="0"/>
              <w:rPr/>
            </w:pPr>
            <w:r>
              <w:rPr/>
              <w:t> </w:t>
            </w:r>
          </w:p>
        </w:tc>
        <w:tc>
          <w:tcPr>
            <w:tcW w:w="175" w:type="dxa"/>
            <w:tcBorders/>
            <w:shd w:fill="CCEEFF" w:val="clear"/>
            <w:vAlign w:val="center"/>
          </w:tcPr>
          <w:p>
            <w:pPr>
              <w:pStyle w:val="TableContents"/>
              <w:spacing w:before="0" w:after="0"/>
              <w:ind w:left="0" w:right="0" w:hanging="0"/>
              <w:rPr/>
            </w:pPr>
            <w:r>
              <w:rPr/>
              <w:t> </w:t>
            </w:r>
          </w:p>
        </w:tc>
        <w:tc>
          <w:tcPr>
            <w:tcW w:w="1044"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5" w:type="dxa"/>
            <w:tcBorders/>
            <w:shd w:fill="CCEEFF" w:val="clear"/>
            <w:vAlign w:val="center"/>
          </w:tcPr>
          <w:p>
            <w:pPr>
              <w:pStyle w:val="TableContents"/>
              <w:spacing w:before="0" w:after="0"/>
              <w:ind w:left="0" w:right="0" w:hanging="0"/>
              <w:rPr/>
            </w:pPr>
            <w:r>
              <w:rPr/>
              <w:t> </w:t>
            </w:r>
          </w:p>
        </w:tc>
        <w:tc>
          <w:tcPr>
            <w:tcW w:w="1044"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5" w:type="dxa"/>
            <w:tcBorders/>
            <w:shd w:fill="CCEEFF" w:val="clear"/>
            <w:vAlign w:val="center"/>
          </w:tcPr>
          <w:p>
            <w:pPr>
              <w:pStyle w:val="TableContents"/>
              <w:spacing w:before="0" w:after="283"/>
              <w:rPr/>
            </w:pPr>
            <w:r>
              <w:rPr/>
              <w:t>$</w:t>
            </w:r>
          </w:p>
        </w:tc>
        <w:tc>
          <w:tcPr>
            <w:tcW w:w="1044" w:type="dxa"/>
            <w:tcBorders/>
            <w:shd w:fill="CCEEFF" w:val="clear"/>
            <w:vAlign w:val="center"/>
          </w:tcPr>
          <w:p>
            <w:pPr>
              <w:pStyle w:val="TableContents"/>
              <w:spacing w:before="0" w:after="283"/>
              <w:jc w:val="right"/>
              <w:rPr/>
            </w:pPr>
            <w:r>
              <w:rPr/>
              <w:t>3,750,000</w:t>
            </w:r>
          </w:p>
        </w:tc>
        <w:tc>
          <w:tcPr>
            <w:tcW w:w="290" w:type="dxa"/>
            <w:tcBorders/>
            <w:shd w:fill="CCEEFF" w:val="clear"/>
            <w:vAlign w:val="center"/>
          </w:tcPr>
          <w:p>
            <w:pPr>
              <w:pStyle w:val="TableContents"/>
              <w:spacing w:before="0" w:after="0"/>
              <w:ind w:left="0" w:right="0" w:hanging="0"/>
              <w:rPr/>
            </w:pPr>
            <w:r>
              <w:rPr/>
              <w:t> </w:t>
            </w:r>
          </w:p>
        </w:tc>
      </w:tr>
      <w:tr>
        <w:trPr/>
        <w:tc>
          <w:tcPr>
            <w:tcW w:w="54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5" w:type="dxa"/>
            <w:tcBorders/>
            <w:shd w:fill="FFFFFF" w:val="clear"/>
            <w:vAlign w:val="center"/>
          </w:tcPr>
          <w:p>
            <w:pPr>
              <w:pStyle w:val="TableContents"/>
              <w:spacing w:before="0" w:after="0"/>
              <w:ind w:left="0" w:right="0" w:hanging="0"/>
              <w:rPr/>
            </w:pPr>
            <w:r>
              <w:rPr/>
              <w:t> </w:t>
            </w:r>
          </w:p>
        </w:tc>
        <w:tc>
          <w:tcPr>
            <w:tcW w:w="1044"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5" w:type="dxa"/>
            <w:tcBorders/>
            <w:shd w:fill="FFFFFF" w:val="clear"/>
            <w:vAlign w:val="center"/>
          </w:tcPr>
          <w:p>
            <w:pPr>
              <w:pStyle w:val="TableContents"/>
              <w:spacing w:before="0" w:after="0"/>
              <w:ind w:left="0" w:right="0" w:hanging="0"/>
              <w:rPr/>
            </w:pPr>
            <w:r>
              <w:rPr/>
              <w:t> </w:t>
            </w:r>
          </w:p>
        </w:tc>
        <w:tc>
          <w:tcPr>
            <w:tcW w:w="1044"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219" w:type="dxa"/>
            <w:gridSpan w:val="2"/>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in excess of </w:t>
            </w:r>
          </w:p>
        </w:tc>
        <w:tc>
          <w:tcPr>
            <w:tcW w:w="290" w:type="dxa"/>
            <w:tcBorders/>
            <w:shd w:fill="FFFFFF" w:val="clear"/>
            <w:vAlign w:val="center"/>
          </w:tcPr>
          <w:p>
            <w:pPr>
              <w:pStyle w:val="TableContents"/>
              <w:spacing w:before="0" w:after="0"/>
              <w:ind w:left="0" w:right="0" w:hanging="0"/>
              <w:rPr/>
            </w:pPr>
            <w:r>
              <w:rPr/>
              <w:t> </w:t>
            </w:r>
          </w:p>
        </w:tc>
      </w:tr>
      <w:tr>
        <w:trPr/>
        <w:tc>
          <w:tcPr>
            <w:tcW w:w="54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5" w:type="dxa"/>
            <w:tcBorders/>
            <w:shd w:fill="CCEEFF" w:val="clear"/>
            <w:vAlign w:val="center"/>
          </w:tcPr>
          <w:p>
            <w:pPr>
              <w:pStyle w:val="TableContents"/>
              <w:spacing w:before="0" w:after="0"/>
              <w:ind w:left="0" w:right="0" w:hanging="0"/>
              <w:rPr/>
            </w:pPr>
            <w:r>
              <w:rPr/>
              <w:t> </w:t>
            </w:r>
          </w:p>
        </w:tc>
        <w:tc>
          <w:tcPr>
            <w:tcW w:w="1044"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5" w:type="dxa"/>
            <w:tcBorders/>
            <w:shd w:fill="CCEEFF" w:val="clear"/>
            <w:vAlign w:val="center"/>
          </w:tcPr>
          <w:p>
            <w:pPr>
              <w:pStyle w:val="TableContents"/>
              <w:spacing w:before="0" w:after="0"/>
              <w:ind w:left="0" w:right="0" w:hanging="0"/>
              <w:rPr/>
            </w:pPr>
            <w:r>
              <w:rPr/>
              <w:t> </w:t>
            </w:r>
          </w:p>
        </w:tc>
        <w:tc>
          <w:tcPr>
            <w:tcW w:w="1044"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5" w:type="dxa"/>
            <w:tcBorders/>
            <w:shd w:fill="CCEEFF" w:val="clear"/>
            <w:vAlign w:val="center"/>
          </w:tcPr>
          <w:p>
            <w:pPr>
              <w:pStyle w:val="TableContents"/>
              <w:spacing w:before="0" w:after="283"/>
              <w:rPr/>
            </w:pPr>
            <w:r>
              <w:rPr/>
              <w:t>$</w:t>
            </w:r>
          </w:p>
        </w:tc>
        <w:tc>
          <w:tcPr>
            <w:tcW w:w="1044" w:type="dxa"/>
            <w:tcBorders/>
            <w:shd w:fill="CCEEFF" w:val="clear"/>
            <w:vAlign w:val="center"/>
          </w:tcPr>
          <w:p>
            <w:pPr>
              <w:pStyle w:val="TableContents"/>
              <w:spacing w:before="0" w:after="283"/>
              <w:jc w:val="right"/>
              <w:rPr/>
            </w:pPr>
            <w:r>
              <w:rPr/>
              <w:t>750,000</w:t>
            </w:r>
          </w:p>
        </w:tc>
        <w:tc>
          <w:tcPr>
            <w:tcW w:w="290" w:type="dxa"/>
            <w:tcBorders/>
            <w:shd w:fill="CCEEFF" w:val="clear"/>
            <w:vAlign w:val="center"/>
          </w:tcPr>
          <w:p>
            <w:pPr>
              <w:pStyle w:val="TableContents"/>
              <w:spacing w:before="0" w:after="0"/>
              <w:ind w:left="0" w:right="0" w:hanging="0"/>
              <w:rPr/>
            </w:pPr>
            <w:r>
              <w:rPr/>
              <w:t> </w:t>
            </w:r>
          </w:p>
        </w:tc>
      </w:tr>
      <w:tr>
        <w:trPr/>
        <w:tc>
          <w:tcPr>
            <w:tcW w:w="5450" w:type="dxa"/>
            <w:tcBorders/>
            <w:shd w:fill="FFFF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Total reinsurance coverage per occurrence </w:t>
            </w:r>
          </w:p>
        </w:tc>
        <w:tc>
          <w:tcPr>
            <w:tcW w:w="90" w:type="dxa"/>
            <w:tcBorders/>
            <w:shd w:fill="FFFFFF" w:val="clear"/>
            <w:vAlign w:val="center"/>
          </w:tcPr>
          <w:p>
            <w:pPr>
              <w:pStyle w:val="TableContents"/>
              <w:spacing w:before="0" w:after="0"/>
              <w:ind w:left="0" w:right="0" w:hanging="0"/>
              <w:rPr/>
            </w:pPr>
            <w:r>
              <w:rPr/>
              <w:t> </w:t>
            </w:r>
          </w:p>
        </w:tc>
        <w:tc>
          <w:tcPr>
            <w:tcW w:w="175" w:type="dxa"/>
            <w:tcBorders/>
            <w:shd w:fill="FFFFFF" w:val="clear"/>
            <w:vAlign w:val="center"/>
          </w:tcPr>
          <w:p>
            <w:pPr>
              <w:pStyle w:val="TableContents"/>
              <w:spacing w:before="0" w:after="0"/>
              <w:ind w:left="0" w:right="0" w:hanging="0"/>
              <w:rPr/>
            </w:pPr>
            <w:r>
              <w:rPr/>
              <w:t> </w:t>
            </w:r>
          </w:p>
        </w:tc>
        <w:tc>
          <w:tcPr>
            <w:tcW w:w="1044"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5" w:type="dxa"/>
            <w:tcBorders/>
            <w:shd w:fill="FFFFFF" w:val="clear"/>
            <w:vAlign w:val="center"/>
          </w:tcPr>
          <w:p>
            <w:pPr>
              <w:pStyle w:val="TableContents"/>
              <w:spacing w:before="0" w:after="0"/>
              <w:ind w:left="0" w:right="0" w:hanging="0"/>
              <w:rPr/>
            </w:pPr>
            <w:r>
              <w:rPr/>
              <w:t> </w:t>
            </w:r>
          </w:p>
        </w:tc>
        <w:tc>
          <w:tcPr>
            <w:tcW w:w="1044"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5" w:type="dxa"/>
            <w:tcBorders/>
            <w:shd w:fill="FFFFFF" w:val="clear"/>
            <w:vAlign w:val="center"/>
          </w:tcPr>
          <w:p>
            <w:pPr>
              <w:pStyle w:val="TableContents"/>
              <w:spacing w:before="0" w:after="283"/>
              <w:rPr/>
            </w:pPr>
            <w:r>
              <w:rPr/>
              <w:t>$</w:t>
            </w:r>
          </w:p>
        </w:tc>
        <w:tc>
          <w:tcPr>
            <w:tcW w:w="1044" w:type="dxa"/>
            <w:tcBorders/>
            <w:shd w:fill="FFFFFF" w:val="clear"/>
            <w:vAlign w:val="center"/>
          </w:tcPr>
          <w:p>
            <w:pPr>
              <w:pStyle w:val="TableContents"/>
              <w:spacing w:before="0" w:after="283"/>
              <w:jc w:val="right"/>
              <w:rPr/>
            </w:pPr>
            <w:r>
              <w:rPr/>
              <w:t>3,750,000</w:t>
            </w:r>
          </w:p>
        </w:tc>
        <w:tc>
          <w:tcPr>
            <w:tcW w:w="290" w:type="dxa"/>
            <w:tcBorders/>
            <w:shd w:fill="FFFFFF" w:val="clear"/>
            <w:vAlign w:val="center"/>
          </w:tcPr>
          <w:p>
            <w:pPr>
              <w:pStyle w:val="TableContents"/>
              <w:spacing w:before="0" w:after="0"/>
              <w:ind w:left="0" w:right="0" w:hanging="0"/>
              <w:rPr/>
            </w:pPr>
            <w:r>
              <w:rPr/>
              <w:t> </w:t>
            </w:r>
          </w:p>
        </w:tc>
      </w:tr>
      <w:tr>
        <w:trPr/>
        <w:tc>
          <w:tcPr>
            <w:tcW w:w="5450" w:type="dxa"/>
            <w:tcBorders/>
            <w:shd w:fill="CCEE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Losses per occurrence subject to reinsurance coverage </w:t>
            </w:r>
          </w:p>
        </w:tc>
        <w:tc>
          <w:tcPr>
            <w:tcW w:w="90" w:type="dxa"/>
            <w:tcBorders/>
            <w:shd w:fill="CCEEFF" w:val="clear"/>
            <w:vAlign w:val="center"/>
          </w:tcPr>
          <w:p>
            <w:pPr>
              <w:pStyle w:val="TableContents"/>
              <w:spacing w:before="0" w:after="0"/>
              <w:ind w:left="0" w:right="0" w:hanging="0"/>
              <w:rPr/>
            </w:pPr>
            <w:r>
              <w:rPr/>
              <w:t> </w:t>
            </w:r>
          </w:p>
        </w:tc>
        <w:tc>
          <w:tcPr>
            <w:tcW w:w="175" w:type="dxa"/>
            <w:tcBorders/>
            <w:shd w:fill="CCEEFF" w:val="clear"/>
            <w:vAlign w:val="center"/>
          </w:tcPr>
          <w:p>
            <w:pPr>
              <w:pStyle w:val="TableContents"/>
              <w:spacing w:before="0" w:after="0"/>
              <w:ind w:left="0" w:right="0" w:hanging="0"/>
              <w:rPr/>
            </w:pPr>
            <w:r>
              <w:rPr/>
              <w:t> </w:t>
            </w:r>
          </w:p>
        </w:tc>
        <w:tc>
          <w:tcPr>
            <w:tcW w:w="1044"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5" w:type="dxa"/>
            <w:tcBorders/>
            <w:shd w:fill="CCEEFF" w:val="clear"/>
            <w:vAlign w:val="center"/>
          </w:tcPr>
          <w:p>
            <w:pPr>
              <w:pStyle w:val="TableContents"/>
              <w:spacing w:before="0" w:after="0"/>
              <w:ind w:left="0" w:right="0" w:hanging="0"/>
              <w:rPr/>
            </w:pPr>
            <w:r>
              <w:rPr/>
              <w:t> </w:t>
            </w:r>
          </w:p>
        </w:tc>
        <w:tc>
          <w:tcPr>
            <w:tcW w:w="1044"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5" w:type="dxa"/>
            <w:tcBorders/>
            <w:shd w:fill="CCEEFF" w:val="clear"/>
            <w:vAlign w:val="center"/>
          </w:tcPr>
          <w:p>
            <w:pPr>
              <w:pStyle w:val="TableContents"/>
              <w:spacing w:before="0" w:after="283"/>
              <w:rPr/>
            </w:pPr>
            <w:r>
              <w:rPr/>
              <w:t>$</w:t>
            </w:r>
          </w:p>
        </w:tc>
        <w:tc>
          <w:tcPr>
            <w:tcW w:w="1044" w:type="dxa"/>
            <w:tcBorders/>
            <w:shd w:fill="CCEEFF" w:val="clear"/>
            <w:vAlign w:val="center"/>
          </w:tcPr>
          <w:p>
            <w:pPr>
              <w:pStyle w:val="TableContents"/>
              <w:spacing w:before="0" w:after="283"/>
              <w:jc w:val="right"/>
              <w:rPr/>
            </w:pPr>
            <w:r>
              <w:rPr/>
              <w:t>4,500,000</w:t>
            </w:r>
          </w:p>
        </w:tc>
        <w:tc>
          <w:tcPr>
            <w:tcW w:w="290" w:type="dxa"/>
            <w:tcBorders/>
            <w:shd w:fill="CCEEFF" w:val="clear"/>
            <w:vAlign w:val="center"/>
          </w:tcPr>
          <w:p>
            <w:pPr>
              <w:pStyle w:val="TableContents"/>
              <w:spacing w:before="0" w:after="0"/>
              <w:ind w:left="0" w:right="0" w:hanging="0"/>
              <w:rPr/>
            </w:pPr>
            <w:r>
              <w:rPr/>
              <w:t> </w:t>
            </w:r>
          </w:p>
        </w:tc>
      </w:tr>
      <w:tr>
        <w:trPr/>
        <w:tc>
          <w:tcPr>
            <w:tcW w:w="54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5" w:type="dxa"/>
            <w:tcBorders/>
            <w:shd w:fill="FFFFFF" w:val="clear"/>
            <w:vAlign w:val="center"/>
          </w:tcPr>
          <w:p>
            <w:pPr>
              <w:pStyle w:val="TableContents"/>
              <w:spacing w:before="0" w:after="0"/>
              <w:ind w:left="0" w:right="0" w:hanging="0"/>
              <w:rPr/>
            </w:pPr>
            <w:r>
              <w:rPr/>
              <w:t> </w:t>
            </w:r>
          </w:p>
        </w:tc>
        <w:tc>
          <w:tcPr>
            <w:tcW w:w="1044"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5" w:type="dxa"/>
            <w:tcBorders/>
            <w:shd w:fill="FFFFFF" w:val="clear"/>
            <w:vAlign w:val="center"/>
          </w:tcPr>
          <w:p>
            <w:pPr>
              <w:pStyle w:val="TableContents"/>
              <w:spacing w:before="0" w:after="0"/>
              <w:ind w:left="0" w:right="0" w:hanging="0"/>
              <w:rPr/>
            </w:pPr>
            <w:r>
              <w:rPr/>
              <w:t> </w:t>
            </w:r>
          </w:p>
        </w:tc>
        <w:tc>
          <w:tcPr>
            <w:tcW w:w="1044"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5" w:type="dxa"/>
            <w:tcBorders/>
            <w:shd w:fill="FFFFFF" w:val="clear"/>
            <w:vAlign w:val="center"/>
          </w:tcPr>
          <w:p>
            <w:pPr>
              <w:pStyle w:val="TableContents"/>
              <w:spacing w:before="0" w:after="0"/>
              <w:ind w:left="0" w:right="0" w:hanging="0"/>
              <w:rPr/>
            </w:pPr>
            <w:r>
              <w:rPr/>
              <w:t> </w:t>
            </w:r>
          </w:p>
        </w:tc>
        <w:tc>
          <w:tcPr>
            <w:tcW w:w="1044" w:type="dxa"/>
            <w:tcBorders/>
            <w:shd w:fill="FFFFFF" w:val="clear"/>
            <w:vAlign w:val="center"/>
          </w:tcPr>
          <w:p>
            <w:pPr>
              <w:pStyle w:val="TableContents"/>
              <w:spacing w:before="0" w:after="0"/>
              <w:ind w:left="0" w:right="0" w:hanging="0"/>
              <w:rPr/>
            </w:pPr>
            <w:r>
              <w:rPr/>
              <w:t> </w:t>
            </w:r>
          </w:p>
        </w:tc>
        <w:tc>
          <w:tcPr>
            <w:tcW w:w="290" w:type="dxa"/>
            <w:tcBorders/>
            <w:shd w:fill="FFFFFF" w:val="clear"/>
            <w:vAlign w:val="center"/>
          </w:tcPr>
          <w:p>
            <w:pPr>
              <w:pStyle w:val="TableContents"/>
              <w:spacing w:before="0" w:after="0"/>
              <w:ind w:left="0" w:right="0" w:hanging="0"/>
              <w:rPr/>
            </w:pPr>
            <w:r>
              <w:rPr/>
              <w:t> </w:t>
            </w:r>
          </w:p>
        </w:tc>
      </w:tr>
      <w:tr>
        <w:trPr/>
        <w:tc>
          <w:tcPr>
            <w:tcW w:w="5450" w:type="dxa"/>
            <w:tcBorders/>
            <w:shd w:fill="CCEEFF" w:val="clear"/>
            <w:vAlign w:val="center"/>
          </w:tcPr>
          <w:p>
            <w:pPr>
              <w:pStyle w:val="TableContents"/>
              <w:spacing w:before="0" w:after="283"/>
              <w:rPr/>
            </w:pPr>
            <w:r>
              <w:rPr/>
              <w:t xml:space="preserve">Commercial Umbrella </w:t>
            </w:r>
          </w:p>
        </w:tc>
        <w:tc>
          <w:tcPr>
            <w:tcW w:w="90" w:type="dxa"/>
            <w:tcBorders/>
            <w:shd w:fill="CCEEFF" w:val="clear"/>
            <w:vAlign w:val="center"/>
          </w:tcPr>
          <w:p>
            <w:pPr>
              <w:pStyle w:val="TableContents"/>
              <w:spacing w:before="0" w:after="0"/>
              <w:ind w:left="0" w:right="0" w:hanging="0"/>
              <w:rPr/>
            </w:pPr>
            <w:r>
              <w:rPr/>
              <w:t> </w:t>
            </w:r>
          </w:p>
        </w:tc>
        <w:tc>
          <w:tcPr>
            <w:tcW w:w="175" w:type="dxa"/>
            <w:tcBorders/>
            <w:shd w:fill="CCEEFF" w:val="clear"/>
            <w:vAlign w:val="center"/>
          </w:tcPr>
          <w:p>
            <w:pPr>
              <w:pStyle w:val="TableContents"/>
              <w:spacing w:before="0" w:after="0"/>
              <w:ind w:left="0" w:right="0" w:hanging="0"/>
              <w:rPr/>
            </w:pPr>
            <w:r>
              <w:rPr/>
              <w:t> </w:t>
            </w:r>
          </w:p>
        </w:tc>
        <w:tc>
          <w:tcPr>
            <w:tcW w:w="1044"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5" w:type="dxa"/>
            <w:tcBorders/>
            <w:shd w:fill="CCEEFF" w:val="clear"/>
            <w:vAlign w:val="center"/>
          </w:tcPr>
          <w:p>
            <w:pPr>
              <w:pStyle w:val="TableContents"/>
              <w:spacing w:before="0" w:after="0"/>
              <w:ind w:left="0" w:right="0" w:hanging="0"/>
              <w:rPr/>
            </w:pPr>
            <w:r>
              <w:rPr/>
              <w:t> </w:t>
            </w:r>
          </w:p>
        </w:tc>
        <w:tc>
          <w:tcPr>
            <w:tcW w:w="1044"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5" w:type="dxa"/>
            <w:tcBorders/>
            <w:shd w:fill="CCEEFF" w:val="clear"/>
            <w:vAlign w:val="center"/>
          </w:tcPr>
          <w:p>
            <w:pPr>
              <w:pStyle w:val="TableContents"/>
              <w:spacing w:before="0" w:after="0"/>
              <w:ind w:left="0" w:right="0" w:hanging="0"/>
              <w:rPr/>
            </w:pPr>
            <w:r>
              <w:rPr/>
              <w:t> </w:t>
            </w:r>
          </w:p>
        </w:tc>
        <w:tc>
          <w:tcPr>
            <w:tcW w:w="1044" w:type="dxa"/>
            <w:tcBorders/>
            <w:shd w:fill="CCEEFF" w:val="clear"/>
            <w:vAlign w:val="center"/>
          </w:tcPr>
          <w:p>
            <w:pPr>
              <w:pStyle w:val="TableContents"/>
              <w:spacing w:before="0" w:after="0"/>
              <w:ind w:left="0" w:right="0" w:hanging="0"/>
              <w:rPr/>
            </w:pPr>
            <w:r>
              <w:rPr/>
              <w:t> </w:t>
            </w:r>
          </w:p>
        </w:tc>
        <w:tc>
          <w:tcPr>
            <w:tcW w:w="290" w:type="dxa"/>
            <w:tcBorders/>
            <w:shd w:fill="CCEEFF" w:val="clear"/>
            <w:vAlign w:val="center"/>
          </w:tcPr>
          <w:p>
            <w:pPr>
              <w:pStyle w:val="TableContents"/>
              <w:spacing w:before="0" w:after="0"/>
              <w:ind w:left="0" w:right="0" w:hanging="0"/>
              <w:rPr/>
            </w:pPr>
            <w:r>
              <w:rPr/>
              <w:t> </w:t>
            </w:r>
          </w:p>
        </w:tc>
      </w:tr>
      <w:tr>
        <w:trPr/>
        <w:tc>
          <w:tcPr>
            <w:tcW w:w="5450" w:type="dxa"/>
            <w:tcBorders/>
            <w:shd w:fill="FFFF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Quota share treaty </w:t>
            </w:r>
          </w:p>
        </w:tc>
        <w:tc>
          <w:tcPr>
            <w:tcW w:w="90" w:type="dxa"/>
            <w:tcBorders/>
            <w:shd w:fill="FFFFFF" w:val="clear"/>
            <w:vAlign w:val="center"/>
          </w:tcPr>
          <w:p>
            <w:pPr>
              <w:pStyle w:val="TableContents"/>
              <w:spacing w:before="0" w:after="0"/>
              <w:ind w:left="0" w:right="0" w:hanging="0"/>
              <w:rPr/>
            </w:pPr>
            <w:r>
              <w:rPr/>
              <w:t> </w:t>
            </w:r>
          </w:p>
        </w:tc>
        <w:tc>
          <w:tcPr>
            <w:tcW w:w="175" w:type="dxa"/>
            <w:tcBorders/>
            <w:shd w:fill="FFFFFF" w:val="clear"/>
            <w:vAlign w:val="center"/>
          </w:tcPr>
          <w:p>
            <w:pPr>
              <w:pStyle w:val="TableContents"/>
              <w:spacing w:before="0" w:after="0"/>
              <w:ind w:left="0" w:right="0" w:hanging="0"/>
              <w:rPr/>
            </w:pPr>
            <w:r>
              <w:rPr/>
              <w:t> </w:t>
            </w:r>
          </w:p>
        </w:tc>
        <w:tc>
          <w:tcPr>
            <w:tcW w:w="1044"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5" w:type="dxa"/>
            <w:tcBorders/>
            <w:shd w:fill="FFFFFF" w:val="clear"/>
            <w:vAlign w:val="center"/>
          </w:tcPr>
          <w:p>
            <w:pPr>
              <w:pStyle w:val="TableContents"/>
              <w:spacing w:before="0" w:after="0"/>
              <w:ind w:left="0" w:right="0" w:hanging="0"/>
              <w:rPr/>
            </w:pPr>
            <w:r>
              <w:rPr/>
              <w:t> </w:t>
            </w:r>
          </w:p>
        </w:tc>
        <w:tc>
          <w:tcPr>
            <w:tcW w:w="1044"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219" w:type="dxa"/>
            <w:gridSpan w:val="2"/>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None</w:t>
            </w:r>
          </w:p>
        </w:tc>
        <w:tc>
          <w:tcPr>
            <w:tcW w:w="290" w:type="dxa"/>
            <w:tcBorders/>
            <w:shd w:fill="FFFF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105"/>
        <w:gridCol w:w="265"/>
        <w:gridCol w:w="9835"/>
      </w:tblGrid>
      <w:tr>
        <w:trPr/>
        <w:tc>
          <w:tcPr>
            <w:tcW w:w="105" w:type="dxa"/>
            <w:tcBorders/>
            <w:shd w:fill="auto" w:val="clear"/>
            <w:vAlign w:val="center"/>
          </w:tcPr>
          <w:p>
            <w:pPr>
              <w:pStyle w:val="TableContents"/>
              <w:spacing w:before="0" w:after="0"/>
              <w:ind w:left="0" w:right="0" w:hanging="0"/>
              <w:rPr/>
            </w:pPr>
            <w:r>
              <w:rPr/>
              <w:t> </w:t>
            </w:r>
          </w:p>
        </w:tc>
        <w:tc>
          <w:tcPr>
            <w:tcW w:w="26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83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Coverage on all commercial lines policies expired in September 2020; reinsurance coverage is based on treaties in effect on the date of loss.</w:t>
            </w:r>
          </w:p>
        </w:tc>
      </w:tr>
    </w:tbl>
    <w:p>
      <w:pPr>
        <w:pStyle w:val="TextBody"/>
        <w:spacing w:before="0" w:after="0"/>
        <w:ind w:left="0" w:right="0" w:hanging="0"/>
        <w:rPr/>
      </w:pPr>
      <w:r>
        <w:rPr/>
        <w:t xml:space="preserve">  </w:t>
      </w:r>
    </w:p>
    <w:p>
      <w:pPr>
        <w:pStyle w:val="TextBody"/>
        <w:spacing w:before="0" w:after="0"/>
        <w:ind w:left="0" w:right="0" w:hanging="0"/>
        <w:jc w:val="both"/>
        <w:rPr/>
      </w:pPr>
      <w:r>
        <w:rPr>
          <w:rStyle w:val="StrongEmphasis"/>
          <w:rFonts w:ascii="times new roman" w:hAnsi="times new roman"/>
          <w:sz w:val="20"/>
        </w:rPr>
        <w:t xml:space="preserve">Inflation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Premiums are established before we know the amount of losses and loss adjustment expenses or the extent to which inflation may affect such amounts. We attempt to anticipate the potential impact of inflation in establishing our reserves, especially as it relates to medical and hospital rates where historical inflation rates have exceeded the general level of inflation. Inflation in excess of the levels we have assumed could cause loss and loss adjustment expenses to be higher than we anticipated, which would require us to increase reserves and reduce earnings.</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57</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both"/>
        <w:rPr/>
      </w:pPr>
      <w:r>
        <w:rPr/>
        <w:t xml:space="preserve">                </w:t>
      </w:r>
      <w:r>
        <w:rPr>
          <w:rFonts w:ascii="times new roman" w:hAnsi="times new roman"/>
          <w:sz w:val="20"/>
        </w:rPr>
        <w:t>Fluctuations in rates of inflation also influence interest rates, which in turn impact the market value of our investment portfolio and yields on new investments. Operating expenses, including salaries and benefits, generally are impacted by inflation.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Year Ended 2022 included elevated economic inflation, which resulted in a significant increase in interest rates, a widening of credit spreads, lower public equity valuations, and significant financial market volatility. The higher interest rates and widening of credit spreads reduced the value of our fixed income securities, which lowered our stockholders’ equity materially for Year Ended 2022. The higher economic inflation impacted our loss and loss adjustment expenses as well; should these trends continue in the near-term, it would in all likelihood negatively impact our profitability.</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Off-Balance Sheet Arrangements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have no off-balance sheet arrangements that have or are reasonably likely to have a current or future effect on our financial condition, changes in financial condition, revenues or expenses, results of operations, or liquidity that are material to investors.</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Outlook</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The COVID-19 pandemic caused significant financial market volatility, economic uncertainty, and interruptions to normal business activities. As of the date of this Annual Report, we expect the effect of the COVID-19 pandemic on claims currently under our coverages to be manageable, based on the information presently available. However, the effects of the COVID-19 pandemic, including the emergence of variant strains, continue to evolve and we cannot predict the extent to which our business, results of operations, financial condition, liquidity and capital position, the value of investments we hold in our investment portfolio, the premiums we charge, the demand for our products, our ability to collect premiums or any requirement to return premiums to our policyholders will ultimately be impacted. The impact of COVID-19 on our results for the year ended December 31, 2022 may not be indicative of its impact on our future results. For additional information on the risks posed by COVID-19, see “The impact of pandemics and other public health issues (like COVID-19) and related risks could materially affect our results of operations, financial position and/or liquidity” included in Part I, Item 1A— “Risk Factors” in this Annual Report.</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Our net premiums earned may be impacted by a number of factors. Net premiums earned are a function of net written premium volume. Net written premiums comprise both renewal business and new business and are recognized as earned premium over the term of the underlying policies. Net written premiums from both renewal and new business are impacted by competitive market conditions as well as general economic conditions. As a result of COVID-19, economic conditions in the United States rapidly deteriorated. The decreased levels of economic activity negatively impacted premium volumes generated by new business. We began to experience this impact in March 2020 and it became more significant in the second and third quarters of 2020. While we are now seeing a reversal of this impact, it may resume in the future, but the degree of any new impact will depend on the extent and duration of any economic contraction and could be material. We have also made underwriting changes to emphasize profitability over growth and have culled out the type of risks that do not generate an acceptable level of return. This action has led, and may continue to lead, to a slowdown in premium growth, particularly in new business.</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58</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both"/>
        <w:rPr/>
      </w:pPr>
      <w:bookmarkStart w:id="12" w:name="i7a"/>
      <w:bookmarkEnd w:id="12"/>
      <w:r>
        <w:rPr>
          <w:rStyle w:val="StrongEmphasis"/>
          <w:rFonts w:ascii="times new roman" w:hAnsi="times new roman"/>
          <w:sz w:val="20"/>
          <w:u w:val="single"/>
        </w:rPr>
        <w:t>ITEM 7A</w:t>
      </w:r>
      <w:r>
        <w:rPr>
          <w:rStyle w:val="StrongEmphasis"/>
          <w:rFonts w:ascii="times new roman" w:hAnsi="times new roman"/>
          <w:sz w:val="20"/>
        </w:rPr>
        <w:t>.</w:t>
      </w:r>
      <w:r>
        <w:rPr>
          <w:rFonts w:ascii="times new roman" w:hAnsi="times new roman"/>
          <w:sz w:val="20"/>
        </w:rPr>
        <w:t xml:space="preserve"> </w:t>
      </w:r>
      <w:r>
        <w:rPr>
          <w:rStyle w:val="StrongEmphasis"/>
          <w:rFonts w:ascii="times new roman" w:hAnsi="times new roman"/>
          <w:sz w:val="20"/>
          <w:u w:val="single"/>
        </w:rPr>
        <w:t>QUANTITATIVE AND QUALITATIVE DISCLOSURES ABOUT MARKET RISK</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This item is not applicable to smaller reporting companies.</w:t>
      </w:r>
    </w:p>
    <w:p>
      <w:pPr>
        <w:pStyle w:val="TextBody"/>
        <w:spacing w:before="0" w:after="0"/>
        <w:ind w:left="0" w:right="0" w:hanging="0"/>
        <w:jc w:val="both"/>
        <w:rPr/>
      </w:pPr>
      <w:r>
        <w:rPr/>
        <w:t> </w:t>
      </w:r>
    </w:p>
    <w:p>
      <w:pPr>
        <w:pStyle w:val="TextBody"/>
        <w:spacing w:before="0" w:after="0"/>
        <w:ind w:left="0" w:right="0" w:hanging="0"/>
        <w:jc w:val="both"/>
        <w:rPr/>
      </w:pPr>
      <w:bookmarkStart w:id="13" w:name="i8"/>
      <w:bookmarkEnd w:id="13"/>
      <w:r>
        <w:rPr>
          <w:rStyle w:val="StrongEmphasis"/>
          <w:rFonts w:ascii="times new roman" w:hAnsi="times new roman"/>
          <w:sz w:val="20"/>
          <w:u w:val="single"/>
        </w:rPr>
        <w:t>ITEM 8.</w:t>
      </w:r>
      <w:r>
        <w:rPr>
          <w:rStyle w:val="StrongEmphasis"/>
          <w:rFonts w:ascii="times new roman" w:hAnsi="times new roman"/>
          <w:sz w:val="20"/>
        </w:rPr>
        <w:t xml:space="preserve"> </w:t>
      </w:r>
      <w:r>
        <w:rPr>
          <w:rStyle w:val="StrongEmphasis"/>
          <w:rFonts w:ascii="times new roman" w:hAnsi="times new roman"/>
          <w:sz w:val="20"/>
          <w:u w:val="single"/>
        </w:rPr>
        <w:t>FINANCIAL STATEMENTS AND SUPPLEMENTARY DATA</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The financial statements required by this Item 8 are included in this Annual Report following Item 16 hereof. As a smaller reporting company, we are not required to provide supplementary financial information.</w:t>
      </w:r>
    </w:p>
    <w:p>
      <w:pPr>
        <w:pStyle w:val="TextBody"/>
        <w:spacing w:before="0" w:after="0"/>
        <w:ind w:left="0" w:right="0" w:hanging="0"/>
        <w:jc w:val="both"/>
        <w:rPr/>
      </w:pPr>
      <w:r>
        <w:rPr/>
        <w:t> </w:t>
      </w:r>
    </w:p>
    <w:p>
      <w:pPr>
        <w:pStyle w:val="TextBody"/>
        <w:spacing w:before="0" w:after="0"/>
        <w:ind w:left="0" w:right="0" w:hanging="0"/>
        <w:jc w:val="both"/>
        <w:rPr/>
      </w:pPr>
      <w:bookmarkStart w:id="14" w:name="i9"/>
      <w:bookmarkEnd w:id="14"/>
      <w:r>
        <w:rPr>
          <w:rStyle w:val="StrongEmphasis"/>
          <w:rFonts w:ascii="times new roman" w:hAnsi="times new roman"/>
          <w:sz w:val="20"/>
          <w:u w:val="single"/>
        </w:rPr>
        <w:t>ITEM 9.</w:t>
      </w:r>
      <w:r>
        <w:rPr>
          <w:rStyle w:val="StrongEmphasis"/>
          <w:rFonts w:ascii="times new roman" w:hAnsi="times new roman"/>
          <w:sz w:val="20"/>
        </w:rPr>
        <w:t xml:space="preserve"> </w:t>
      </w:r>
      <w:r>
        <w:rPr>
          <w:rStyle w:val="StrongEmphasis"/>
          <w:rFonts w:ascii="times new roman" w:hAnsi="times new roman"/>
          <w:sz w:val="20"/>
          <w:u w:val="single"/>
        </w:rPr>
        <w:t>CHANGES IN AND DISAGREEMENTS WITH ACCOUNTANTS ON</w:t>
      </w:r>
      <w:r>
        <w:rPr>
          <w:rStyle w:val="StrongEmphasis"/>
          <w:rFonts w:ascii="times new roman" w:hAnsi="times new roman"/>
          <w:sz w:val="20"/>
        </w:rPr>
        <w:t xml:space="preserve"> </w:t>
      </w:r>
      <w:r>
        <w:rPr>
          <w:rStyle w:val="StrongEmphasis"/>
          <w:rFonts w:ascii="times new roman" w:hAnsi="times new roman"/>
          <w:sz w:val="20"/>
          <w:u w:val="single"/>
        </w:rPr>
        <w:t>ACCOUNTING AND FINANCIAL DISCLOSURE</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None.</w:t>
      </w:r>
    </w:p>
    <w:p>
      <w:pPr>
        <w:pStyle w:val="TextBody"/>
        <w:spacing w:before="0" w:after="0"/>
        <w:ind w:left="0" w:right="0" w:hanging="0"/>
        <w:jc w:val="both"/>
        <w:rPr/>
      </w:pPr>
      <w:r>
        <w:rPr/>
        <w:t> </w:t>
      </w:r>
    </w:p>
    <w:p>
      <w:pPr>
        <w:pStyle w:val="TextBody"/>
        <w:spacing w:before="0" w:after="0"/>
        <w:ind w:left="0" w:right="0" w:hanging="0"/>
        <w:jc w:val="both"/>
        <w:rPr/>
      </w:pPr>
      <w:bookmarkStart w:id="15" w:name="i9a"/>
      <w:bookmarkEnd w:id="15"/>
      <w:r>
        <w:rPr>
          <w:rStyle w:val="StrongEmphasis"/>
          <w:rFonts w:ascii="times new roman" w:hAnsi="times new roman"/>
          <w:sz w:val="20"/>
          <w:u w:val="single"/>
        </w:rPr>
        <w:t>ITEM 9A.</w:t>
      </w:r>
      <w:r>
        <w:rPr>
          <w:rFonts w:ascii="times new roman" w:hAnsi="times new roman"/>
          <w:sz w:val="20"/>
        </w:rPr>
        <w:t xml:space="preserve"> </w:t>
      </w:r>
      <w:r>
        <w:rPr>
          <w:rStyle w:val="StrongEmphasis"/>
          <w:rFonts w:ascii="times new roman" w:hAnsi="times new roman"/>
          <w:sz w:val="20"/>
          <w:u w:val="single"/>
        </w:rPr>
        <w:t>CONTROLS AND PROCEDURES</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Evaluation of Disclosure Controls and Procedures</w:t>
      </w:r>
    </w:p>
    <w:p>
      <w:pPr>
        <w:pStyle w:val="TextBody"/>
        <w:spacing w:before="0" w:after="0"/>
        <w:ind w:left="0" w:right="0" w:hanging="0"/>
        <w:jc w:val="both"/>
        <w:rPr/>
      </w:pPr>
      <w:r>
        <w:rPr/>
        <w:t> </w:t>
      </w:r>
    </w:p>
    <w:p>
      <w:pPr>
        <w:pStyle w:val="TextBody"/>
        <w:spacing w:before="0" w:after="0"/>
        <w:ind w:left="0" w:right="0" w:firstLine="700"/>
        <w:jc w:val="both"/>
        <w:rPr/>
      </w:pPr>
      <w:r>
        <w:rPr>
          <w:rStyle w:val="Emphasis"/>
          <w:rFonts w:ascii="times new roman" w:hAnsi="times new roman"/>
          <w:sz w:val="20"/>
        </w:rPr>
        <w:t>Changes in Internal Control over Financial Reporting</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There have not been any changes in our internal control over financial reporting (as such term is defined in Rules 13a-15(f) and 15d-15(f) under the Exchange Act) during the fourth fiscal quarter to which this Annual Report relates that materially affected, or are reasonably likely to materially affect, our internal control over financial reporting.</w:t>
      </w:r>
    </w:p>
    <w:p>
      <w:pPr>
        <w:pStyle w:val="TextBody"/>
        <w:spacing w:before="0" w:after="0"/>
        <w:ind w:left="0" w:right="0" w:hanging="0"/>
        <w:jc w:val="both"/>
        <w:rPr/>
      </w:pPr>
      <w:r>
        <w:rPr/>
        <w:t> </w:t>
      </w:r>
    </w:p>
    <w:p>
      <w:pPr>
        <w:pStyle w:val="TextBody"/>
        <w:spacing w:before="0" w:after="0"/>
        <w:ind w:left="0" w:right="0" w:firstLine="700"/>
        <w:jc w:val="both"/>
        <w:rPr/>
      </w:pPr>
      <w:r>
        <w:rPr>
          <w:rStyle w:val="Emphasis"/>
          <w:rFonts w:ascii="times new roman" w:hAnsi="times new roman"/>
          <w:sz w:val="20"/>
        </w:rPr>
        <w:t>Management’s Annual Report on Internal Control over Financial Reporting</w:t>
      </w:r>
    </w:p>
    <w:p>
      <w:pPr>
        <w:pStyle w:val="TextBody"/>
        <w:spacing w:before="0" w:after="0"/>
        <w:ind w:left="0" w:right="0" w:hanging="0"/>
        <w:jc w:val="both"/>
        <w:rPr/>
      </w:pPr>
      <w:r>
        <w:rPr/>
        <w:t> </w:t>
      </w:r>
    </w:p>
    <w:p>
      <w:pPr>
        <w:pStyle w:val="TextBody"/>
        <w:spacing w:before="0" w:after="0"/>
        <w:ind w:left="0" w:right="0" w:firstLine="700"/>
        <w:jc w:val="both"/>
        <w:rPr/>
      </w:pPr>
      <w:r>
        <w:rPr>
          <w:rFonts w:ascii="times new roman" w:hAnsi="times new roman"/>
          <w:sz w:val="20"/>
        </w:rPr>
        <w:t xml:space="preserve">Our management is responsible for establishing and maintaining adequate internal control over financial reporting as defined in Rule 13a-15(f) under the Exchange Act. Under the supervision and with the participation of management, including our Chief Executive Officer and Chief Financial Officer, we conducted an evaluation of the effectiveness of our internal control over financial reporting based on criteria established in </w:t>
      </w:r>
      <w:r>
        <w:rPr>
          <w:rStyle w:val="Emphasis"/>
          <w:rFonts w:ascii="times new roman" w:hAnsi="times new roman"/>
          <w:sz w:val="20"/>
        </w:rPr>
        <w:t>Internal Control — Integrated Framework</w:t>
      </w:r>
      <w:r>
        <w:rPr>
          <w:rFonts w:ascii="times new roman" w:hAnsi="times new roman"/>
          <w:sz w:val="20"/>
        </w:rPr>
        <w:t xml:space="preserve"> </w:t>
      </w:r>
      <w:r>
        <w:rPr>
          <w:rStyle w:val="Emphasis"/>
          <w:rFonts w:ascii="times new roman" w:hAnsi="times new roman"/>
          <w:sz w:val="20"/>
        </w:rPr>
        <w:t>(2013)</w:t>
      </w:r>
      <w:r>
        <w:rPr>
          <w:rFonts w:ascii="times new roman" w:hAnsi="times new roman"/>
          <w:sz w:val="20"/>
        </w:rPr>
        <w:t xml:space="preserve"> issued by the Committee of Sponsoring Organizations of the Treadway Commission. Based on our evaluation, our management concluded that our internal control over financial reporting was effective as of December 31, 2022.</w:t>
      </w:r>
    </w:p>
    <w:p>
      <w:pPr>
        <w:pStyle w:val="TextBody"/>
        <w:spacing w:before="0" w:after="0"/>
        <w:ind w:left="0" w:right="0" w:hanging="0"/>
        <w:jc w:val="both"/>
        <w:rPr/>
      </w:pPr>
      <w:r>
        <w:rPr/>
        <w:t> </w:t>
      </w:r>
    </w:p>
    <w:p>
      <w:pPr>
        <w:pStyle w:val="TextBody"/>
        <w:spacing w:before="0" w:after="0"/>
        <w:ind w:left="0" w:right="0" w:hanging="0"/>
        <w:jc w:val="both"/>
        <w:rPr/>
      </w:pPr>
      <w:r>
        <w:rPr/>
        <w:t> </w:t>
      </w:r>
      <w:r>
        <w:rPr>
          <w:rStyle w:val="Emphasis"/>
          <w:rFonts w:ascii="times new roman" w:hAnsi="times new roman"/>
          <w:sz w:val="20"/>
        </w:rPr>
        <w:t>Inherent Limitation on Effectiveness of Controls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Internal control over financial reporting is a process designed by, or under the supervision of, our Chief Executive Officer and Chief Financial Officer, and effected by the board of directors, management, and other personnel, to provide reasonable assurance regarding the reliability of financial reporting and the preparation of financial statements for external purposes in accordance with GAAP including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59</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and procedures may deteriorate.</w:t>
      </w:r>
    </w:p>
    <w:p>
      <w:pPr>
        <w:pStyle w:val="TextBody"/>
        <w:spacing w:before="0" w:after="0"/>
        <w:ind w:left="0" w:right="0" w:hanging="0"/>
        <w:jc w:val="both"/>
        <w:rPr/>
      </w:pPr>
      <w:r>
        <w:rPr/>
        <w:t> </w:t>
      </w:r>
    </w:p>
    <w:p>
      <w:pPr>
        <w:pStyle w:val="TextBody"/>
        <w:spacing w:before="0" w:after="0"/>
        <w:ind w:left="0" w:right="0" w:hanging="0"/>
        <w:jc w:val="both"/>
        <w:rPr/>
      </w:pPr>
      <w:bookmarkStart w:id="16" w:name="i9b"/>
      <w:bookmarkEnd w:id="16"/>
      <w:r>
        <w:rPr>
          <w:rStyle w:val="StrongEmphasis"/>
          <w:rFonts w:ascii="times new roman" w:hAnsi="times new roman"/>
          <w:sz w:val="20"/>
          <w:u w:val="single"/>
        </w:rPr>
        <w:t>ITEM 9B.</w:t>
      </w:r>
      <w:r>
        <w:rPr>
          <w:rStyle w:val="StrongEmphasis"/>
          <w:rFonts w:ascii="times new roman" w:hAnsi="times new roman"/>
          <w:sz w:val="20"/>
        </w:rPr>
        <w:t xml:space="preserve"> </w:t>
      </w:r>
      <w:r>
        <w:rPr>
          <w:rStyle w:val="StrongEmphasis"/>
          <w:rFonts w:ascii="times new roman" w:hAnsi="times new roman"/>
          <w:sz w:val="20"/>
          <w:u w:val="single"/>
        </w:rPr>
        <w:t>OTHER INFORMATION</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None.</w:t>
      </w:r>
    </w:p>
    <w:p>
      <w:pPr>
        <w:pStyle w:val="TextBody"/>
        <w:spacing w:before="0" w:after="0"/>
        <w:ind w:left="0" w:right="0" w:hanging="0"/>
        <w:jc w:val="both"/>
        <w:rPr/>
      </w:pPr>
      <w:r>
        <w:rPr/>
        <w:t> </w:t>
      </w:r>
    </w:p>
    <w:p>
      <w:pPr>
        <w:pStyle w:val="TextBody"/>
        <w:spacing w:before="0" w:after="0"/>
        <w:ind w:left="0" w:right="0" w:hanging="0"/>
        <w:jc w:val="both"/>
        <w:rPr/>
      </w:pPr>
      <w:bookmarkStart w:id="17" w:name="i9c"/>
      <w:bookmarkEnd w:id="17"/>
      <w:r>
        <w:rPr>
          <w:rStyle w:val="StrongEmphasis"/>
          <w:rFonts w:ascii="times new roman" w:hAnsi="times new roman"/>
          <w:sz w:val="20"/>
          <w:u w:val="single"/>
        </w:rPr>
        <w:t>ITEM 9C.</w:t>
      </w:r>
      <w:r>
        <w:rPr>
          <w:rStyle w:val="StrongEmphasis"/>
          <w:rFonts w:ascii="times new roman" w:hAnsi="times new roman"/>
          <w:sz w:val="20"/>
        </w:rPr>
        <w:t xml:space="preserve"> </w:t>
      </w:r>
      <w:r>
        <w:rPr>
          <w:rStyle w:val="StrongEmphasis"/>
          <w:rFonts w:ascii="times new roman" w:hAnsi="times new roman"/>
          <w:sz w:val="20"/>
          <w:u w:val="single"/>
        </w:rPr>
        <w:t>DISCLOSURES REGARDING FOREIGN JURISDITIONS THAT PREVENT INSPECTIONS.</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Not applicable.</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60</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center"/>
        <w:rPr/>
      </w:pPr>
      <w:bookmarkStart w:id="18" w:name="p3"/>
      <w:bookmarkEnd w:id="18"/>
      <w:r>
        <w:rPr>
          <w:rStyle w:val="StrongEmphasis"/>
          <w:rFonts w:ascii="times new roman" w:hAnsi="times new roman"/>
          <w:sz w:val="20"/>
          <w:u w:val="single"/>
        </w:rPr>
        <w:t>PART III</w:t>
      </w:r>
    </w:p>
    <w:p>
      <w:pPr>
        <w:pStyle w:val="TextBody"/>
        <w:spacing w:before="0" w:after="0"/>
        <w:ind w:left="0" w:right="0" w:hanging="0"/>
        <w:jc w:val="center"/>
        <w:rPr/>
      </w:pPr>
      <w:r>
        <w:rPr/>
        <w:t> </w:t>
      </w:r>
    </w:p>
    <w:p>
      <w:pPr>
        <w:pStyle w:val="TextBody"/>
        <w:spacing w:before="0" w:after="0"/>
        <w:ind w:left="0" w:right="0" w:hanging="0"/>
        <w:jc w:val="both"/>
        <w:rPr/>
      </w:pPr>
      <w:bookmarkStart w:id="19" w:name="i10"/>
      <w:bookmarkEnd w:id="19"/>
      <w:r>
        <w:rPr>
          <w:rStyle w:val="StrongEmphasis"/>
          <w:rFonts w:ascii="times new roman" w:hAnsi="times new roman"/>
          <w:sz w:val="20"/>
          <w:u w:val="single"/>
        </w:rPr>
        <w:t>ITEM 10</w:t>
      </w:r>
      <w:r>
        <w:rPr>
          <w:rStyle w:val="StrongEmphasis"/>
          <w:rFonts w:ascii="times new roman" w:hAnsi="times new roman"/>
          <w:sz w:val="20"/>
        </w:rPr>
        <w:t xml:space="preserve">. </w:t>
      </w:r>
      <w:r>
        <w:rPr>
          <w:rStyle w:val="StrongEmphasis"/>
          <w:rFonts w:ascii="times new roman" w:hAnsi="times new roman"/>
          <w:sz w:val="20"/>
          <w:u w:val="single"/>
        </w:rPr>
        <w:t>DIRECTORS, EXECUTIVE OFFICERS AND CORPORATE GOVERNANCE</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hanging="0"/>
        <w:jc w:val="both"/>
        <w:rPr/>
      </w:pPr>
      <w:r>
        <w:rPr>
          <w:rStyle w:val="Emphasis"/>
          <w:rFonts w:ascii="times new roman" w:hAnsi="times new roman"/>
          <w:sz w:val="20"/>
        </w:rPr>
        <w:t>Executive Officers and Directors</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The following table sets forth the positions and offices presently held by each of our current directors and executive officers and their ages:</w:t>
      </w:r>
    </w:p>
    <w:p>
      <w:pPr>
        <w:pStyle w:val="TextBody"/>
        <w:spacing w:before="0" w:after="0"/>
        <w:ind w:left="0" w:right="0" w:hanging="0"/>
        <w:jc w:val="both"/>
        <w:rPr/>
      </w:pPr>
      <w:r>
        <w:rPr/>
        <w:t> </w:t>
      </w:r>
    </w:p>
    <w:tbl>
      <w:tblPr>
        <w:tblW w:w="9210" w:type="dxa"/>
        <w:jc w:val="left"/>
        <w:tblInd w:w="0" w:type="dxa"/>
        <w:tblCellMar>
          <w:top w:w="0" w:type="dxa"/>
          <w:left w:w="0" w:type="dxa"/>
          <w:bottom w:w="28" w:type="dxa"/>
          <w:right w:w="0" w:type="dxa"/>
        </w:tblCellMar>
      </w:tblPr>
      <w:tblGrid>
        <w:gridCol w:w="1880"/>
        <w:gridCol w:w="90"/>
        <w:gridCol w:w="440"/>
        <w:gridCol w:w="90"/>
        <w:gridCol w:w="6710"/>
      </w:tblGrid>
      <w:tr>
        <w:trPr/>
        <w:tc>
          <w:tcPr>
            <w:tcW w:w="1880" w:type="dxa"/>
            <w:tcBorders>
              <w:bottom w:val="single" w:sz="2" w:space="0" w:color="000000"/>
            </w:tcBorders>
            <w:shd w:fill="auto" w:val="clear"/>
            <w:vAlign w:val="center"/>
          </w:tcPr>
          <w:p>
            <w:pPr>
              <w:pStyle w:val="TableContents"/>
              <w:spacing w:before="0" w:after="0"/>
              <w:ind w:left="0" w:right="0" w:hanging="0"/>
              <w:rPr/>
            </w:pPr>
            <w:r>
              <w:rPr>
                <w:rStyle w:val="StrongEmphasis"/>
                <w:rFonts w:ascii="times new roman" w:hAnsi="times new roman"/>
                <w:sz w:val="20"/>
              </w:rPr>
              <w:t>Name:</w:t>
            </w:r>
          </w:p>
        </w:tc>
        <w:tc>
          <w:tcPr>
            <w:tcW w:w="90" w:type="dxa"/>
            <w:tcBorders/>
            <w:shd w:fill="auto" w:val="clear"/>
            <w:tcMar>
              <w:bottom w:w="0" w:type="dxa"/>
            </w:tcMar>
            <w:vAlign w:val="center"/>
          </w:tcPr>
          <w:p>
            <w:pPr>
              <w:pStyle w:val="TableContents"/>
              <w:spacing w:before="0" w:after="0"/>
              <w:ind w:left="0" w:right="0" w:hanging="0"/>
              <w:rPr/>
            </w:pPr>
            <w:r>
              <w:rPr/>
              <w:t> </w:t>
            </w:r>
          </w:p>
        </w:tc>
        <w:tc>
          <w:tcPr>
            <w:tcW w:w="440" w:type="dxa"/>
            <w:tcBorders>
              <w:bottom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Age:</w:t>
            </w:r>
          </w:p>
        </w:tc>
        <w:tc>
          <w:tcPr>
            <w:tcW w:w="90" w:type="dxa"/>
            <w:tcBorders/>
            <w:shd w:fill="auto" w:val="clear"/>
            <w:tcMar>
              <w:bottom w:w="0" w:type="dxa"/>
            </w:tcMar>
            <w:vAlign w:val="center"/>
          </w:tcPr>
          <w:p>
            <w:pPr>
              <w:pStyle w:val="TableContents"/>
              <w:spacing w:before="0" w:after="0"/>
              <w:ind w:left="0" w:right="0" w:hanging="0"/>
              <w:rPr/>
            </w:pPr>
            <w:r>
              <w:rPr/>
              <w:t> </w:t>
            </w:r>
          </w:p>
        </w:tc>
        <w:tc>
          <w:tcPr>
            <w:tcW w:w="6710" w:type="dxa"/>
            <w:tcBorders>
              <w:bottom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Positions and Offices Held:</w:t>
            </w:r>
          </w:p>
        </w:tc>
      </w:tr>
      <w:tr>
        <w:trPr/>
        <w:tc>
          <w:tcPr>
            <w:tcW w:w="1880"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440"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6710" w:type="dxa"/>
            <w:tcBorders/>
            <w:shd w:fill="auto" w:val="clear"/>
            <w:tcMar>
              <w:bottom w:w="0" w:type="dxa"/>
            </w:tcMar>
            <w:vAlign w:val="center"/>
          </w:tcPr>
          <w:p>
            <w:pPr>
              <w:pStyle w:val="TableContents"/>
              <w:spacing w:before="0" w:after="0"/>
              <w:ind w:left="0" w:right="0" w:hanging="0"/>
              <w:rPr/>
            </w:pPr>
            <w:r>
              <w:rPr/>
              <w:t> </w:t>
            </w:r>
          </w:p>
        </w:tc>
      </w:tr>
      <w:tr>
        <w:trPr/>
        <w:tc>
          <w:tcPr>
            <w:tcW w:w="1880" w:type="dxa"/>
            <w:tcBorders/>
            <w:shd w:fill="CCEEFF"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Barry B. Goldstein</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440" w:type="dxa"/>
            <w:tcBorders/>
            <w:shd w:fill="CCEEFF"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70</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6710" w:type="dxa"/>
            <w:tcBorders/>
            <w:shd w:fill="CCEEFF"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Chief Executive Officer, President, Executive Chairman of the Board and Director</w:t>
            </w:r>
          </w:p>
        </w:tc>
      </w:tr>
      <w:tr>
        <w:trPr/>
        <w:tc>
          <w:tcPr>
            <w:tcW w:w="1880" w:type="dxa"/>
            <w:tcBorders/>
            <w:shd w:fill="FFFFFF"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Meryl S. Golden</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440" w:type="dxa"/>
            <w:tcBorders/>
            <w:shd w:fill="FFFFFF"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63</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6710" w:type="dxa"/>
            <w:tcBorders/>
            <w:shd w:fill="FFFFFF"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Chief Operating Officer and Director</w:t>
            </w:r>
          </w:p>
        </w:tc>
      </w:tr>
      <w:tr>
        <w:trPr/>
        <w:tc>
          <w:tcPr>
            <w:tcW w:w="1880" w:type="dxa"/>
            <w:tcBorders/>
            <w:shd w:fill="CCEEFF"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Jennifer L. Gravelle</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440" w:type="dxa"/>
            <w:tcBorders/>
            <w:shd w:fill="CCEEFF"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51</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6710" w:type="dxa"/>
            <w:tcBorders/>
            <w:shd w:fill="CCEEFF"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Vice President, Chief Financial Officer and Treasurer</w:t>
            </w:r>
          </w:p>
        </w:tc>
      </w:tr>
      <w:tr>
        <w:trPr/>
        <w:tc>
          <w:tcPr>
            <w:tcW w:w="1880" w:type="dxa"/>
            <w:tcBorders/>
            <w:shd w:fill="FFFFFF"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Sarah (Minlei) Chen</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440" w:type="dxa"/>
            <w:tcBorders/>
            <w:shd w:fill="FFFFFF"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40</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6710" w:type="dxa"/>
            <w:tcBorders/>
            <w:shd w:fill="FFFFFF"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Chief Actuary and Senior Vice President, Kingstone Insurance Company</w:t>
            </w:r>
          </w:p>
        </w:tc>
      </w:tr>
      <w:tr>
        <w:trPr/>
        <w:tc>
          <w:tcPr>
            <w:tcW w:w="1880" w:type="dxa"/>
            <w:tcBorders/>
            <w:shd w:fill="CCEEFF"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Floyd R. Tupper</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440" w:type="dxa"/>
            <w:tcBorders/>
            <w:shd w:fill="CCEEFF"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68</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6710" w:type="dxa"/>
            <w:tcBorders/>
            <w:shd w:fill="CCEEFF"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Secretary and Director</w:t>
            </w:r>
          </w:p>
        </w:tc>
      </w:tr>
      <w:tr>
        <w:trPr/>
        <w:tc>
          <w:tcPr>
            <w:tcW w:w="1880" w:type="dxa"/>
            <w:tcBorders/>
            <w:shd w:fill="FFFFFF"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Timothy P. McFadden</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440" w:type="dxa"/>
            <w:tcBorders/>
            <w:shd w:fill="FFFFFF"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60</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6710" w:type="dxa"/>
            <w:tcBorders/>
            <w:shd w:fill="FFFFFF"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Director (Lead Independent Director)</w:t>
            </w:r>
          </w:p>
        </w:tc>
      </w:tr>
      <w:tr>
        <w:trPr/>
        <w:tc>
          <w:tcPr>
            <w:tcW w:w="1880" w:type="dxa"/>
            <w:tcBorders/>
            <w:shd w:fill="CCEEFF"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William L. Yankus</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440" w:type="dxa"/>
            <w:tcBorders/>
            <w:shd w:fill="CCEEFF"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63</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6710" w:type="dxa"/>
            <w:tcBorders/>
            <w:shd w:fill="CCEEFF"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Director</w:t>
            </w:r>
          </w:p>
        </w:tc>
      </w:tr>
      <w:tr>
        <w:trPr/>
        <w:tc>
          <w:tcPr>
            <w:tcW w:w="1880" w:type="dxa"/>
            <w:tcBorders/>
            <w:shd w:fill="FFFFFF"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Carla A. D’Andre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440" w:type="dxa"/>
            <w:tcBorders/>
            <w:shd w:fill="FFFFFF"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67</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6710" w:type="dxa"/>
            <w:tcBorders/>
            <w:shd w:fill="FFFFFF"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Director</w:t>
            </w:r>
          </w:p>
        </w:tc>
      </w:tr>
    </w:tbl>
    <w:p>
      <w:pPr>
        <w:pStyle w:val="TextBody"/>
        <w:spacing w:before="0" w:after="0"/>
        <w:ind w:left="0" w:right="0" w:hanging="0"/>
        <w:jc w:val="both"/>
        <w:rPr/>
      </w:pPr>
      <w:r>
        <w:rPr/>
        <w:t> </w:t>
      </w:r>
    </w:p>
    <w:p>
      <w:pPr>
        <w:pStyle w:val="TextBody"/>
        <w:spacing w:before="0" w:after="0"/>
        <w:ind w:left="0" w:right="0" w:hanging="0"/>
        <w:jc w:val="both"/>
        <w:rPr/>
      </w:pPr>
      <w:r>
        <w:rPr>
          <w:rStyle w:val="Emphasis"/>
          <w:rFonts w:ascii="times new roman" w:hAnsi="times new roman"/>
          <w:sz w:val="20"/>
        </w:rPr>
        <w:t>Barry B. Goldstein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Mr. Goldstein has served as our Chief Executive Officer and President, as well as Chief Executive Officer of Kingstone Insurance Company, our wholly-owned New York property and casualty insurer (“KICO”), since July 2019. He previously served as our Chief Executive Officer, President and Chairman of the Board from March 2001 through December 2018, as Chief Executive Officer of KICO from January 2012 through December 2018 and as President of KICO from January 2012 through December 2018 and from July 2019 through September 2021. Mr. Goldstein has served as our Executive Chairman of the Board since January 2019, and as one of our directors since March 2001. He served as our Chief Financial Officer from March 2001 to November 2007 and as our Treasurer from May 2001 to August 2013. Since January 2006, Mr. Goldstein has served as Chairman of the Board of KICO. He has served as Chairman of its Executive Committee since October 2019 (having previously served in such capacity from 2006 to 2018). Mr. Goldstein has served as Chief Investment Officer of KICO since August 2008. He was Treasurer of KICO from March 2010 through September 2010. Effective July 1, 2009, we acquired a 100% equity interest in KICO. Mr. Goldstein is a certified public accountant (inactive). Mr. Goldstein received his B.A. degree and M.B.A. from State University of New York at Buffalo. We believe that Mr. Goldstein’s extensive experience in the insurance industry, including his executive-level service with KICO since 2006, give him the qualifications and skills to serve as one of our directors.</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61</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both"/>
        <w:rPr/>
      </w:pPr>
      <w:r>
        <w:rPr>
          <w:rStyle w:val="Emphasis"/>
          <w:rFonts w:ascii="times new roman" w:hAnsi="times new roman"/>
          <w:sz w:val="20"/>
        </w:rPr>
        <w:t xml:space="preserve">Meryl S. Golden </w:t>
      </w:r>
    </w:p>
    <w:p>
      <w:pPr>
        <w:pStyle w:val="TextBody"/>
        <w:spacing w:before="0" w:after="0"/>
        <w:ind w:left="0" w:right="0" w:hanging="0"/>
        <w:jc w:val="both"/>
        <w:rPr/>
      </w:pPr>
      <w:r>
        <w:rPr/>
        <w:t> </w:t>
      </w:r>
    </w:p>
    <w:p>
      <w:pPr>
        <w:pStyle w:val="TextBody"/>
        <w:spacing w:before="0" w:after="0"/>
        <w:ind w:left="0" w:right="0" w:hanging="0"/>
        <w:jc w:val="both"/>
        <w:rPr/>
      </w:pPr>
      <w:r>
        <w:rPr>
          <w:rStyle w:val="Emphasis"/>
        </w:rPr>
        <w:t xml:space="preserve">                </w:t>
      </w:r>
      <w:r>
        <w:rPr>
          <w:rFonts w:ascii="times new roman" w:hAnsi="times new roman"/>
          <w:sz w:val="20"/>
        </w:rPr>
        <w:t>Ms. Golden has served as our Chief Operating Officer since September 2019 and as one of our directors since March 2020. She has also served as Chief Operating Officer, a director and a member of the Executive Committee of KICO since September 2019 and as its President since October 2021. Ms. Golden has over 25 years of experience in the insurance industry. She served as Northeast General Manager of Progressive Insurance from 2000 to 2004 (having served as Connecticut General Manager at Progressive from 1996 to 2000). Ms. Golden was Senior Vice President/General Manager at Liberty Mutual from 2005 to 2007. From 2007 to 2009, she was a Management Committee advisor to Bridgewater Associates, a hedge fund. Ms. Golden served as General Manager of North America for Earnix, a banking and insurance software company, from 2010 to 2018 and was Sales Manager, Insurance Solutions for Arity, a mobility and data analytics company founded by Allstate, from 2018 until September 2019. Ms. Golden received her B.S. degree in Accounting from the Wharton School of the University of Pennsylvania and her M.B.A. in Marketing and Finance from the University of Chicago. We believe that Ms. Golden’s executive level experience in the insurance industry gives her the qualifications and skills to serve as one of our directors.</w:t>
      </w:r>
    </w:p>
    <w:p>
      <w:pPr>
        <w:pStyle w:val="TextBody"/>
        <w:spacing w:before="0" w:after="0"/>
        <w:ind w:left="0" w:right="0" w:hanging="0"/>
        <w:jc w:val="both"/>
        <w:rPr/>
      </w:pPr>
      <w:r>
        <w:rPr/>
        <w:t> </w:t>
      </w:r>
    </w:p>
    <w:p>
      <w:pPr>
        <w:pStyle w:val="TextBody"/>
        <w:spacing w:before="0" w:after="0"/>
        <w:ind w:left="0" w:right="0" w:hanging="0"/>
        <w:jc w:val="both"/>
        <w:rPr/>
      </w:pPr>
      <w:r>
        <w:rPr>
          <w:rStyle w:val="Emphasis"/>
          <w:rFonts w:ascii="times new roman" w:hAnsi="times new roman"/>
          <w:sz w:val="20"/>
        </w:rPr>
        <w:t>Jennifer L. Gravelle</w:t>
      </w:r>
    </w:p>
    <w:p>
      <w:pPr>
        <w:pStyle w:val="TextBody"/>
        <w:spacing w:before="0" w:after="0"/>
        <w:ind w:left="0" w:right="0" w:hanging="0"/>
        <w:jc w:val="both"/>
        <w:rPr/>
      </w:pPr>
      <w:r>
        <w:rPr/>
        <w:t> </w:t>
      </w:r>
    </w:p>
    <w:p>
      <w:pPr>
        <w:pStyle w:val="TextBody"/>
        <w:spacing w:before="0" w:after="0"/>
        <w:ind w:left="0" w:right="0" w:hanging="0"/>
        <w:jc w:val="both"/>
        <w:rPr/>
      </w:pPr>
      <w:r>
        <w:rPr/>
        <w:t xml:space="preserve">                </w:t>
      </w:r>
      <w:r>
        <w:rPr>
          <w:rFonts w:ascii="times new roman" w:hAnsi="times new roman"/>
          <w:sz w:val="20"/>
        </w:rPr>
        <w:t>Ms. Gravelle has served as our Vice President, Chief Financial Officer and Treasurer since January 2023. Ms. Gravelle has over 20 years of leadership experience in the property and casualty insurance industry. From October 2021 to January 2023, she served as Chief Financial Officer at Slide Insurance Holdings, Inc., a full-stack insurtech organization. From June 2019 to October 2021, Ms. Gravelle was Chief Financial Officer at Allied Trust Insurance Company, a personal property insurance organization. She served as Chief Financial Officer at Olympus Insurance Company, also a personal property insurance organization, from July 2013 to June 2019. Ms. Gravelle received a B.A. degree in Accounting from Champlain College.</w:t>
      </w:r>
    </w:p>
    <w:p>
      <w:pPr>
        <w:pStyle w:val="TextBody"/>
        <w:spacing w:before="0" w:after="0"/>
        <w:ind w:left="0" w:right="0" w:hanging="0"/>
        <w:jc w:val="both"/>
        <w:rPr/>
      </w:pPr>
      <w:r>
        <w:rPr/>
        <w:t> </w:t>
      </w:r>
    </w:p>
    <w:p>
      <w:pPr>
        <w:pStyle w:val="TextBody"/>
        <w:spacing w:before="0" w:after="0"/>
        <w:ind w:left="0" w:right="0" w:hanging="0"/>
        <w:jc w:val="both"/>
        <w:rPr/>
      </w:pPr>
      <w:r>
        <w:rPr>
          <w:rStyle w:val="Emphasis"/>
          <w:rFonts w:ascii="times new roman" w:hAnsi="times new roman"/>
          <w:sz w:val="20"/>
        </w:rPr>
        <w:t>Sarah (Minlei) Chen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Ms. Chen has served as KICO’s Chief Actuary since November 2020 and as its Senior Vice President since August 2022. From January 2018 to October 2020, she was Actuarial Manager/Senior Pricing Manager and Actuary for Homesite Insurance, a property and casualty insurance company. Ms. Chen served as Actuarial Manager of Plymouth Rock Assurance, an auto and home insurer, from November 2013 to January 2018. Ms. Chen received a B.S. degree in Mathematics from Tsinghua University and an M.S. degree in Applied Mathematics from Brown University.</w:t>
      </w:r>
    </w:p>
    <w:p>
      <w:pPr>
        <w:pStyle w:val="TextBody"/>
        <w:spacing w:before="0" w:after="0"/>
        <w:ind w:left="0" w:right="0" w:hanging="0"/>
        <w:jc w:val="both"/>
        <w:rPr/>
      </w:pPr>
      <w:r>
        <w:rPr/>
        <w:t> </w:t>
      </w:r>
    </w:p>
    <w:p>
      <w:pPr>
        <w:pStyle w:val="TextBody"/>
        <w:spacing w:before="0" w:after="0"/>
        <w:ind w:left="0" w:right="0" w:hanging="0"/>
        <w:jc w:val="both"/>
        <w:rPr/>
      </w:pPr>
      <w:r>
        <w:rPr/>
        <w:t> </w:t>
      </w:r>
      <w:r>
        <w:rPr>
          <w:rStyle w:val="Emphasis"/>
          <w:rFonts w:ascii="times new roman" w:hAnsi="times new roman"/>
          <w:sz w:val="20"/>
        </w:rPr>
        <w:t>Floyd R. Tupper</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Mr. Tupper is a certified public accountant in New York City. For over 30 years, Mr. Tupper has counseled high-net worth individuals by creating tax planning strategies to achieve their goals as well as those of their families. He has also helped small businesses by developing business strategies to meet their current and future needs. He began his career in public accounting with Ernst &amp; Young LLP prior to becoming self-employed. Mr. Tupper holds an M.B.A. in Taxation from the New York University Stern School of Business and a B.S. degree from New York University. Mr. Tupper served as a director of KICO from 2006 to 2018 and has served as Chairman of its Audit Committee since 2006. From 1990 until 2010, Mr. Tupper served as a Trustee of The Acorn School in New York City. He was also a member of the school’s Executive Committee and served as its Treasurer from 1990 to 2010. Mr. Tupper is a member of the American Institute of Certified Public Accountants and the New York State Society of Certified Public Accountants. He has served as one of our directors and Chair of our Audit Committee since June 2014 and as our Secretary since June 2015. We believe that Mr. Tupper’s accounting experience, as well as his service on the Board of KICO (including his service as Chair of its Audit Committee), give him the qualifications and skills to serve as one of our directors.</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62</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both"/>
        <w:rPr/>
      </w:pPr>
      <w:r>
        <w:rPr>
          <w:rStyle w:val="Emphasis"/>
          <w:rFonts w:ascii="times new roman" w:hAnsi="times new roman"/>
          <w:sz w:val="20"/>
        </w:rPr>
        <w:t>Timothy P. McFadden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Mr. McFadden has more than 30 years of experience in the insurance industry. Since 2012, Mr. McFadden has served as CEO and President of State Farm Indemnity Auto Insurance Company and Senior Vice President of State Farm Insurance, Eastern Market Area. Since 2015, he has also served as CEO and President of State Farm Florida Fire Company. Mr. McFadden served as Senior Vice President of State Farm Insurance Companies, Southern Zone from 2008 to 2011 and Senior Vice President of State Farm Insurance Companies, Southern &amp; Mid Atlantic Zones from 2011 to 2013. Prior to joining the insurance industry, he was a Captain in the United States Army. Mr. McFadden is a member of Stetson University’s College of Law Board of Overseers. He formerly served as a member of the Board of State Farm Indemnity Auto Insurance Company, Local Initiatives Support Corporation, American College Ethics Board, State Farm Florida Fire Company, Top Layer Reinsurance and Florida Council of 100. Mr. McFadden received his B.S. degree from the United States Military Academy at West Point and his J.D. from Stetson College of Law. He also completed the General Management Program at Harvard Business School and received his Chartered Life Underwriter Designation from The American College of Financial Services. Mr. McFadden has served as one of our directors since August 2018, served as Chair of our Nominating and Corporate Governance Committee from August 2018 to March 2023 and has served as Lead Independent Director and Chair of our Corporate Sustainability and Risk Management Committee since March 2023. We believe that Mr. McFadden’s executive level experience in the insurance industry gives him the qualifications and skills to serve as one of our directors.</w:t>
      </w:r>
    </w:p>
    <w:p>
      <w:pPr>
        <w:pStyle w:val="TextBody"/>
        <w:spacing w:before="0" w:after="0"/>
        <w:ind w:left="0" w:right="0" w:hanging="0"/>
        <w:jc w:val="both"/>
        <w:rPr/>
      </w:pPr>
      <w:r>
        <w:rPr/>
        <w:t> </w:t>
      </w:r>
    </w:p>
    <w:p>
      <w:pPr>
        <w:pStyle w:val="TextBody"/>
        <w:spacing w:before="0" w:after="0"/>
        <w:ind w:left="0" w:right="0" w:hanging="0"/>
        <w:jc w:val="both"/>
        <w:rPr/>
      </w:pPr>
      <w:r>
        <w:rPr>
          <w:rStyle w:val="Emphasis"/>
          <w:rFonts w:ascii="times new roman" w:hAnsi="times new roman"/>
          <w:sz w:val="20"/>
        </w:rPr>
        <w:t>William L. Yankus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Mr. Yankus brings to the Board over 30 years’ experience in the insurance industry. Since September 2015, Mr. Yankus has provided insurance-related consulting services through Pheasant Hill Advisors, LLC. From 2011 to 2015, he was Managing Director – Investment Banking at Stern Agee where he focused on small and mid-sized insurers. Mr. Yankus served as Managing Director-Insurance Research at Fox-Pitt, Kelton from 1993 to 2009 and then as Head of Insurance Research at its successor, Macquerie, from 2009 to 2010. Mr. Yankus served as Vice President, Insurance Research at Conning &amp; Company from 1985 to 1993. He completed the CFA program in 1989 and passed the CT uniform CPA exam in 1984. Mr. Yankus has served as one of our directors since March 2016, served as Chair of our Compensation Committee from April 2017 to March 2023, has served as Chair of our Compensation and Finance Committee since March 2023 and served as Chair of our Investment Committee from February 2020 to August 2021. He received his B.A. degree in Economics and Accounting from The College of the Holy Cross. We believe that Mr. Yankus’ executive level experience in the insurance industry gives him the qualifications and skills to serve as one of our directors.</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63</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both"/>
        <w:rPr/>
      </w:pPr>
      <w:r>
        <w:rPr/>
        <w:t> </w:t>
      </w:r>
      <w:r>
        <w:rPr>
          <w:rStyle w:val="Emphasis"/>
          <w:rFonts w:ascii="times new roman" w:hAnsi="times new roman"/>
          <w:sz w:val="20"/>
        </w:rPr>
        <w:t>Carla A. D’Andre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Ms. D’Andre has more than 40 years of experience in the insurance industry. Since 2009, Ms. D’Andre has been Chairman, CEO and President of D’Andre Insurance Group, Inc., which she co-founded. D’Andre Insurance Group, Inc. is the parent of two independent insurance agencies. Prior to co-founding D’Andre Insurance Group, Ms. D’Andre held executive-level roles at several companies in the insurance industry, including Executive Vice President, Head – Global Corporate Practice and Member – Partner’s Council at Willis Group Holdings plc, a multinational risk advisor, insurance brokerage and reinsurance brokerage company; Managing Director and Strategic Account Manager at AON Risk Services, a global provider of risk management solutions; Chief Operating Officer at XL Capital’s insurance and technology start-up firm, Inquis Logic Inc.; Member of Senior Management and Managing Director of Swiss Re New Markets and Director of Alternative Markets at Swiss ReAmerica, affiliates of Swiss Reinsurance Company Ltd, a global reinsurance company; Senior Vice President of Sedgwick North America, an insurance brokerage firm; and Vice President of Johnson &amp; Higgins, an insurance brokerage firm. Ms. D’Andre serves in senior capacities in several insurance industry groups. In January 2019 she was elected by her peers to a three-year term as a member of The Institutes’ CPCU Society Leadership Council. She also serves as a member of the Executive Advisory Council of St. John’s University School of Risk Management, Insurance and Actuarial Science. She has served as one of our directors since May 2017, served as Chair of our Finance Committee from August 2017 to March 2023 and has served as Chair of our Nominating and Corporate Governance Committee since March 2023. Ms. D’Andre has an M.B.A. from Pace University’s Lubin School of Business and a B.B.A. degree from St. John’s University’s School of Risk Management, Insurance and Actuarial Science. We believe that Ms. D’Andre’s extensive experience in multiple capacities in the insurance industry gives her the qualifications and skills to serve as one of our directors.</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 xml:space="preserve">Family Relationships        </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There are no family relationships among any of our executive officers and directors; however, see Item 13 (“Certain Relationships and Related Transactions, and Director Independence – Other”) of this Annual Report.</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Term of Office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Each director will hold office until the next annual meeting of stockholders and until his or her successor is elected and qualified or until his or her earlier resignation or removal. Each executive officer will hold office until the initial meeting of the Board of Directors following the next annual meeting of stockholders and until his or her successor is elected and qualified or until his or her earlier resignation or removal.</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Audit Committee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Audit Committee of the Board of Directors is responsible for overseeing our accounting and financial reporting processes and the audits of our financial statements. The members of the Audit Committee are Messrs. Tupper, Yankus, and McFadden.</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Audit Committee Financial Expert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Board of Directors has determined that Mr. Tupper qualifies as an “audit committee financial expert,” as that term is defined in Item 407(d)(5) of Regulation S-K. Mr. Tupper is an “independent director” based on the definition of independence in Listing Rule 5605(a)(2) of The Nasdaq Stock Market.</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64</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firstLine="720"/>
        <w:jc w:val="both"/>
        <w:rPr/>
      </w:pPr>
      <w:r>
        <w:rPr>
          <w:rStyle w:val="Emphasis"/>
          <w:rFonts w:ascii="times new roman" w:hAnsi="times new roman"/>
          <w:sz w:val="20"/>
        </w:rPr>
        <w:t>Delinquent Section 16(a) Reports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Section 16 of the Exchange Act requires that reports of beneficial ownership of common stock and changes in such ownership be filed with the SEC by Section 16 “reporting persons,” including directors, certain officers, holders of more than 10% of the outstanding common stock and certain trusts of which reporting persons are trustees. We are required to disclose in this Annual Report each reporting person whom we know to have failed to file any required reports under Section 16 on a timely basis during the fiscal year ended December 31, 2022. To our knowledge, based solely on a review of copies of Forms 3, 4 and 5 filed with the SEC and written representations that no other reports were required, during the fiscal year ended December 31, 2022, our officers, directors and 10% stockholders complied with all Section 16(a) filing requirements applicable to them, except that Ms. Golden filed one Form 4 late (reporting one transaction).</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Code of Ethics; Officer and Director Trading Restrictions Policy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Our Board of Directors has adopted a Code of Ethics for our principal executive officer, principal financial officer, principal accounting officer or controller, or persons performing similar functions. Our Board of Directors has also adopted an Officer and Director Trading Restrictions Policy for our officers and directors as well as the officers and directors of KICO. Copies of the Code of Ethics and Officer and Director Trading Restrictions Policy are posted on our website, </w:t>
      </w:r>
      <w:r>
        <w:rPr>
          <w:rFonts w:ascii="times new roman" w:hAnsi="times new roman"/>
          <w:sz w:val="20"/>
          <w:u w:val="single"/>
        </w:rPr>
        <w:t>www.kingstonecompanies.com</w:t>
      </w:r>
      <w:r>
        <w:rPr>
          <w:rFonts w:ascii="times new roman" w:hAnsi="times new roman"/>
          <w:sz w:val="20"/>
        </w:rPr>
        <w:t>. We intend to satisfy the disclosure requirement under Item 5.05(c) of Form 8-K regarding an amendment to, or a waiver from, our Code of Ethics or Officer and Director Trading Restrictions Policy by posting such information on our website, </w:t>
      </w:r>
      <w:r>
        <w:rPr>
          <w:rFonts w:ascii="times new roman" w:hAnsi="times new roman"/>
          <w:sz w:val="20"/>
          <w:u w:val="single"/>
        </w:rPr>
        <w:t>www.kingstonecompanies.com</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hanging="0"/>
        <w:jc w:val="both"/>
        <w:rPr/>
      </w:pPr>
      <w:bookmarkStart w:id="20" w:name="i11"/>
      <w:bookmarkEnd w:id="20"/>
      <w:r>
        <w:rPr>
          <w:rStyle w:val="StrongEmphasis"/>
          <w:rFonts w:ascii="times new roman" w:hAnsi="times new roman"/>
          <w:sz w:val="20"/>
          <w:u w:val="single"/>
        </w:rPr>
        <w:t>ITEM 11.</w:t>
      </w:r>
      <w:r>
        <w:rPr>
          <w:rStyle w:val="StrongEmphasis"/>
          <w:rFonts w:ascii="times new roman" w:hAnsi="times new roman"/>
          <w:sz w:val="20"/>
        </w:rPr>
        <w:t> </w:t>
      </w:r>
      <w:r>
        <w:rPr>
          <w:rStyle w:val="StrongEmphasis"/>
          <w:rFonts w:ascii="times new roman" w:hAnsi="times new roman"/>
          <w:sz w:val="20"/>
          <w:u w:val="single"/>
        </w:rPr>
        <w:t>EXECUTIVE COMPENSATION</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Summary Compensation Table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sets forth certain information concerning the compensation for the fiscal years ended December 31, 2022 and 2021, for certain executive officers, including our Chief Executive Officer: </w:t>
      </w:r>
    </w:p>
    <w:p>
      <w:pPr>
        <w:pStyle w:val="TextBody"/>
        <w:spacing w:before="0" w:after="0"/>
        <w:ind w:left="0" w:right="0" w:hanging="0"/>
        <w:jc w:val="both"/>
        <w:rPr/>
      </w:pPr>
      <w:r>
        <w:rPr/>
        <w:t> </w:t>
      </w:r>
    </w:p>
    <w:tbl>
      <w:tblPr>
        <w:tblW w:w="10710" w:type="dxa"/>
        <w:jc w:val="left"/>
        <w:tblInd w:w="0" w:type="dxa"/>
        <w:tblCellMar>
          <w:top w:w="0" w:type="dxa"/>
          <w:left w:w="0" w:type="dxa"/>
          <w:bottom w:w="0" w:type="dxa"/>
          <w:right w:w="0" w:type="dxa"/>
        </w:tblCellMar>
      </w:tblPr>
      <w:tblGrid>
        <w:gridCol w:w="890"/>
        <w:gridCol w:w="90"/>
        <w:gridCol w:w="470"/>
        <w:gridCol w:w="90"/>
        <w:gridCol w:w="170"/>
        <w:gridCol w:w="830"/>
        <w:gridCol w:w="90"/>
        <w:gridCol w:w="90"/>
        <w:gridCol w:w="170"/>
        <w:gridCol w:w="710"/>
        <w:gridCol w:w="90"/>
        <w:gridCol w:w="90"/>
        <w:gridCol w:w="170"/>
        <w:gridCol w:w="1010"/>
        <w:gridCol w:w="245"/>
        <w:gridCol w:w="90"/>
        <w:gridCol w:w="435"/>
        <w:gridCol w:w="320"/>
        <w:gridCol w:w="90"/>
        <w:gridCol w:w="90"/>
        <w:gridCol w:w="728"/>
        <w:gridCol w:w="537"/>
        <w:gridCol w:w="90"/>
        <w:gridCol w:w="90"/>
        <w:gridCol w:w="244"/>
        <w:gridCol w:w="1021"/>
        <w:gridCol w:w="365"/>
        <w:gridCol w:w="90"/>
        <w:gridCol w:w="170"/>
        <w:gridCol w:w="1010"/>
        <w:gridCol w:w="135"/>
      </w:tblGrid>
      <w:tr>
        <w:trPr/>
        <w:tc>
          <w:tcPr>
            <w:tcW w:w="890" w:type="dxa"/>
            <w:tcBorders/>
            <w:shd w:fill="auto" w:val="clear"/>
            <w:vAlign w:val="center"/>
          </w:tcPr>
          <w:p>
            <w:pPr>
              <w:pStyle w:val="TableContents"/>
              <w:spacing w:before="0" w:after="0"/>
              <w:ind w:left="0" w:right="0" w:hanging="0"/>
              <w:rPr/>
            </w:pPr>
            <w:r>
              <w:rPr>
                <w:rStyle w:val="StrongEmphasis"/>
                <w:rFonts w:ascii="times new roman" w:hAnsi="times new roman"/>
                <w:sz w:val="20"/>
              </w:rPr>
              <w:t>Name and Principal Position</w:t>
            </w:r>
          </w:p>
        </w:tc>
        <w:tc>
          <w:tcPr>
            <w:tcW w:w="90" w:type="dxa"/>
            <w:tcBorders/>
            <w:shd w:fill="auto" w:val="clear"/>
            <w:vAlign w:val="center"/>
          </w:tcPr>
          <w:p>
            <w:pPr>
              <w:pStyle w:val="TableContents"/>
              <w:spacing w:before="0" w:after="0"/>
              <w:ind w:left="0" w:right="0" w:hanging="0"/>
              <w:rPr/>
            </w:pPr>
            <w:r>
              <w:rPr/>
              <w:t> </w:t>
            </w:r>
          </w:p>
        </w:tc>
        <w:tc>
          <w:tcPr>
            <w:tcW w:w="470"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Year</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Salary</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Bonus</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Stock Awards(1)</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5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Option Awards(1)</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6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Non-Equity</w:t>
            </w:r>
          </w:p>
          <w:p>
            <w:pPr>
              <w:pStyle w:val="TableContents"/>
              <w:spacing w:before="0" w:after="0"/>
              <w:ind w:left="0" w:right="0" w:hanging="0"/>
              <w:jc w:val="center"/>
              <w:rPr/>
            </w:pPr>
            <w:r>
              <w:rPr>
                <w:rStyle w:val="StrongEmphasis"/>
                <w:rFonts w:ascii="times new roman" w:hAnsi="times new roman"/>
                <w:sz w:val="20"/>
              </w:rPr>
              <w:t>Incentive Plan</w:t>
            </w:r>
          </w:p>
          <w:p>
            <w:pPr>
              <w:pStyle w:val="TableContents"/>
              <w:spacing w:before="0" w:after="0"/>
              <w:ind w:left="0" w:right="0" w:hanging="0"/>
              <w:jc w:val="center"/>
              <w:rPr/>
            </w:pPr>
            <w:r>
              <w:rPr>
                <w:rStyle w:val="StrongEmphasis"/>
                <w:rFonts w:ascii="times new roman" w:hAnsi="times new roman"/>
                <w:sz w:val="20"/>
              </w:rPr>
              <w:t>Compensation</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6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All Other</w:t>
            </w:r>
          </w:p>
          <w:p>
            <w:pPr>
              <w:pStyle w:val="TableContents"/>
              <w:spacing w:before="0" w:after="0"/>
              <w:ind w:left="0" w:right="0" w:hanging="0"/>
              <w:jc w:val="center"/>
              <w:rPr/>
            </w:pPr>
            <w:r>
              <w:rPr>
                <w:rStyle w:val="StrongEmphasis"/>
                <w:rFonts w:ascii="times new roman" w:hAnsi="times new roman"/>
                <w:sz w:val="20"/>
              </w:rPr>
              <w:t>Compensation</w:t>
            </w:r>
          </w:p>
        </w:tc>
        <w:tc>
          <w:tcPr>
            <w:tcW w:w="36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Total</w:t>
            </w:r>
          </w:p>
        </w:tc>
        <w:tc>
          <w:tcPr>
            <w:tcW w:w="135" w:type="dxa"/>
            <w:tcBorders/>
            <w:shd w:fill="auto" w:val="clear"/>
            <w:vAlign w:val="center"/>
          </w:tcPr>
          <w:p>
            <w:pPr>
              <w:pStyle w:val="TableContents"/>
              <w:spacing w:before="0" w:after="0"/>
              <w:ind w:left="0" w:right="0" w:hanging="0"/>
              <w:rPr/>
            </w:pPr>
            <w:r>
              <w:rPr/>
              <w:t> </w:t>
            </w:r>
          </w:p>
        </w:tc>
      </w:tr>
      <w:tr>
        <w:trPr/>
        <w:tc>
          <w:tcPr>
            <w:tcW w:w="89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Barry B. Goldstein</w:t>
            </w:r>
          </w:p>
        </w:tc>
        <w:tc>
          <w:tcPr>
            <w:tcW w:w="90" w:type="dxa"/>
            <w:tcBorders/>
            <w:shd w:fill="CCEEFF" w:val="clear"/>
            <w:vAlign w:val="center"/>
          </w:tcPr>
          <w:p>
            <w:pPr>
              <w:pStyle w:val="TableContents"/>
              <w:spacing w:before="0" w:after="0"/>
              <w:ind w:left="0" w:right="0" w:hanging="0"/>
              <w:rPr/>
            </w:pPr>
            <w:r>
              <w:rPr/>
              <w:t> </w:t>
            </w:r>
          </w:p>
        </w:tc>
        <w:tc>
          <w:tcPr>
            <w:tcW w:w="47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2022</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830" w:type="dxa"/>
            <w:tcBorders/>
            <w:shd w:fill="CCEEFF" w:val="clear"/>
            <w:vAlign w:val="center"/>
          </w:tcPr>
          <w:p>
            <w:pPr>
              <w:pStyle w:val="TableContents"/>
              <w:spacing w:before="0" w:after="283"/>
              <w:jc w:val="right"/>
              <w:rPr/>
            </w:pPr>
            <w:r>
              <w:rPr/>
              <w:t>500,000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136,500</w:t>
            </w:r>
          </w:p>
        </w:tc>
        <w:tc>
          <w:tcPr>
            <w:tcW w:w="24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0" w:type="dxa"/>
            <w:tcBorders/>
            <w:shd w:fill="CCEEFF" w:val="clear"/>
            <w:vAlign w:val="center"/>
          </w:tcPr>
          <w:p>
            <w:pPr>
              <w:pStyle w:val="TableContents"/>
              <w:spacing w:before="0" w:after="0"/>
              <w:ind w:left="0" w:right="0" w:hanging="0"/>
              <w:rPr/>
            </w:pPr>
            <w:r>
              <w:rPr/>
              <w:t> </w:t>
            </w:r>
          </w:p>
        </w:tc>
        <w:tc>
          <w:tcPr>
            <w:tcW w:w="435" w:type="dxa"/>
            <w:tcBorders/>
            <w:shd w:fill="CCEEFF" w:val="clear"/>
            <w:vAlign w:val="center"/>
          </w:tcPr>
          <w:p>
            <w:pPr>
              <w:pStyle w:val="TableContents"/>
              <w:spacing w:before="0" w:after="283"/>
              <w:rPr/>
            </w:pPr>
            <w:r>
              <w:rPr/>
              <w:t>$</w:t>
            </w:r>
          </w:p>
        </w:tc>
        <w:tc>
          <w:tcPr>
            <w:tcW w:w="32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728" w:type="dxa"/>
            <w:tcBorders/>
            <w:shd w:fill="CCEEFF" w:val="clear"/>
            <w:vAlign w:val="center"/>
          </w:tcPr>
          <w:p>
            <w:pPr>
              <w:pStyle w:val="TableContents"/>
              <w:spacing w:before="0" w:after="283"/>
              <w:rPr/>
            </w:pPr>
            <w:r>
              <w:rPr/>
              <w:t xml:space="preserve">$ </w:t>
            </w:r>
          </w:p>
        </w:tc>
        <w:tc>
          <w:tcPr>
            <w:tcW w:w="537"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44" w:type="dxa"/>
            <w:tcBorders/>
            <w:shd w:fill="CCEEFF" w:val="clear"/>
            <w:vAlign w:val="center"/>
          </w:tcPr>
          <w:p>
            <w:pPr>
              <w:pStyle w:val="TableContents"/>
              <w:spacing w:before="0" w:after="283"/>
              <w:rPr/>
            </w:pPr>
            <w:r>
              <w:rPr/>
              <w:t>$</w:t>
            </w:r>
          </w:p>
        </w:tc>
        <w:tc>
          <w:tcPr>
            <w:tcW w:w="1021" w:type="dxa"/>
            <w:tcBorders/>
            <w:shd w:fill="CCEEFF" w:val="clear"/>
            <w:vAlign w:val="center"/>
          </w:tcPr>
          <w:p>
            <w:pPr>
              <w:pStyle w:val="TableContents"/>
              <w:spacing w:before="0" w:after="283"/>
              <w:jc w:val="right"/>
              <w:rPr/>
            </w:pPr>
            <w:r>
              <w:rPr/>
              <w:t>24,200</w:t>
            </w:r>
          </w:p>
        </w:tc>
        <w:tc>
          <w:tcPr>
            <w:tcW w:w="365" w:type="dxa"/>
            <w:tcBorders/>
            <w:shd w:fill="CCEEFF" w:val="clear"/>
            <w:vAlign w:val="center"/>
          </w:tcPr>
          <w:p>
            <w:pPr>
              <w:pStyle w:val="TableContents"/>
              <w:spacing w:before="0" w:after="283"/>
              <w:rPr/>
            </w:pPr>
            <w:r>
              <w:rPr/>
              <w:t>(7)</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660,700</w:t>
            </w:r>
          </w:p>
        </w:tc>
        <w:tc>
          <w:tcPr>
            <w:tcW w:w="135" w:type="dxa"/>
            <w:tcBorders/>
            <w:shd w:fill="CCEEFF" w:val="clear"/>
            <w:vAlign w:val="center"/>
          </w:tcPr>
          <w:p>
            <w:pPr>
              <w:pStyle w:val="TableContents"/>
              <w:spacing w:before="0" w:after="0"/>
              <w:ind w:left="0" w:right="0" w:hanging="0"/>
              <w:rPr/>
            </w:pPr>
            <w:r>
              <w:rPr/>
              <w:t> </w:t>
            </w:r>
          </w:p>
        </w:tc>
      </w:tr>
      <w:tr>
        <w:trPr/>
        <w:tc>
          <w:tcPr>
            <w:tcW w:w="890" w:type="dxa"/>
            <w:tcBorders/>
            <w:shd w:fill="FFFFFF" w:val="clear"/>
            <w:vAlign w:val="center"/>
          </w:tcPr>
          <w:p>
            <w:pPr>
              <w:pStyle w:val="TableContents"/>
              <w:spacing w:before="0" w:after="0"/>
              <w:ind w:left="225" w:right="0" w:hanging="0"/>
              <w:rPr>
                <w:rFonts w:ascii="times new roman" w:hAnsi="times new roman"/>
                <w:sz w:val="20"/>
              </w:rPr>
            </w:pPr>
            <w:r>
              <w:rPr>
                <w:rFonts w:ascii="times new roman" w:hAnsi="times new roman"/>
                <w:sz w:val="20"/>
              </w:rPr>
              <w:t>Chief Executive Officer; Executive Chairman of the Board</w:t>
            </w:r>
          </w:p>
        </w:tc>
        <w:tc>
          <w:tcPr>
            <w:tcW w:w="90" w:type="dxa"/>
            <w:tcBorders/>
            <w:shd w:fill="FFFFFF" w:val="clear"/>
            <w:vAlign w:val="center"/>
          </w:tcPr>
          <w:p>
            <w:pPr>
              <w:pStyle w:val="TableContents"/>
              <w:spacing w:before="0" w:after="0"/>
              <w:ind w:left="0" w:right="0" w:hanging="0"/>
              <w:rPr/>
            </w:pPr>
            <w:r>
              <w:rPr/>
              <w:t> </w:t>
            </w:r>
          </w:p>
        </w:tc>
        <w:tc>
          <w:tcPr>
            <w:tcW w:w="47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2021</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830" w:type="dxa"/>
            <w:tcBorders/>
            <w:shd w:fill="FFFFFF" w:val="clear"/>
            <w:vAlign w:val="center"/>
          </w:tcPr>
          <w:p>
            <w:pPr>
              <w:pStyle w:val="TableContents"/>
              <w:spacing w:before="0" w:after="283"/>
              <w:jc w:val="right"/>
              <w:rPr/>
            </w:pPr>
            <w:r>
              <w:rPr/>
              <w:t>500,000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710" w:type="dxa"/>
            <w:tcBorders/>
            <w:shd w:fill="FFFFFF" w:val="cle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010" w:type="dxa"/>
            <w:tcBorders/>
            <w:shd w:fill="FFFFFF" w:val="clear"/>
            <w:vAlign w:val="center"/>
          </w:tcPr>
          <w:p>
            <w:pPr>
              <w:pStyle w:val="TableContents"/>
              <w:spacing w:before="0" w:after="283"/>
              <w:jc w:val="right"/>
              <w:rPr/>
            </w:pPr>
            <w:r>
              <w:rPr/>
              <w:t>1,386,500</w:t>
            </w:r>
          </w:p>
        </w:tc>
        <w:tc>
          <w:tcPr>
            <w:tcW w:w="245" w:type="dxa"/>
            <w:tcBorders/>
            <w:shd w:fill="FFFFFF" w:val="clear"/>
            <w:vAlign w:val="center"/>
          </w:tcPr>
          <w:p>
            <w:pPr>
              <w:pStyle w:val="TableContents"/>
              <w:spacing w:before="0" w:after="283"/>
              <w:rPr/>
            </w:pPr>
            <w:r>
              <w:rPr/>
              <w:t>(3)</w:t>
            </w:r>
          </w:p>
        </w:tc>
        <w:tc>
          <w:tcPr>
            <w:tcW w:w="90" w:type="dxa"/>
            <w:tcBorders/>
            <w:shd w:fill="FFFFFF" w:val="clear"/>
            <w:vAlign w:val="center"/>
          </w:tcPr>
          <w:p>
            <w:pPr>
              <w:pStyle w:val="TableContents"/>
              <w:spacing w:before="0" w:after="0"/>
              <w:ind w:left="0" w:right="0" w:hanging="0"/>
              <w:rPr/>
            </w:pPr>
            <w:r>
              <w:rPr/>
              <w:t> </w:t>
            </w:r>
          </w:p>
        </w:tc>
        <w:tc>
          <w:tcPr>
            <w:tcW w:w="435" w:type="dxa"/>
            <w:tcBorders/>
            <w:shd w:fill="FFFFFF" w:val="clear"/>
            <w:vAlign w:val="center"/>
          </w:tcPr>
          <w:p>
            <w:pPr>
              <w:pStyle w:val="TableContents"/>
              <w:spacing w:before="0" w:after="283"/>
              <w:rPr/>
            </w:pPr>
            <w:r>
              <w:rPr/>
              <w:t>$</w:t>
            </w:r>
          </w:p>
        </w:tc>
        <w:tc>
          <w:tcPr>
            <w:tcW w:w="320" w:type="dxa"/>
            <w:tcBorders/>
            <w:shd w:fill="FFFFFF" w:val="cle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728" w:type="dxa"/>
            <w:tcBorders/>
            <w:shd w:fill="FFFFFF" w:val="clear"/>
            <w:vAlign w:val="center"/>
          </w:tcPr>
          <w:p>
            <w:pPr>
              <w:pStyle w:val="TableContents"/>
              <w:spacing w:before="0" w:after="283"/>
              <w:rPr/>
            </w:pPr>
            <w:r>
              <w:rPr/>
              <w:t>$</w:t>
            </w:r>
          </w:p>
        </w:tc>
        <w:tc>
          <w:tcPr>
            <w:tcW w:w="537" w:type="dxa"/>
            <w:tcBorders/>
            <w:shd w:fill="FFFFFF" w:val="cle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44" w:type="dxa"/>
            <w:tcBorders/>
            <w:shd w:fill="FFFFFF" w:val="clear"/>
            <w:vAlign w:val="center"/>
          </w:tcPr>
          <w:p>
            <w:pPr>
              <w:pStyle w:val="TableContents"/>
              <w:spacing w:before="0" w:after="283"/>
              <w:rPr/>
            </w:pPr>
            <w:r>
              <w:rPr/>
              <w:t>$</w:t>
            </w:r>
          </w:p>
        </w:tc>
        <w:tc>
          <w:tcPr>
            <w:tcW w:w="1021" w:type="dxa"/>
            <w:tcBorders/>
            <w:shd w:fill="FFFFFF" w:val="clear"/>
            <w:vAlign w:val="center"/>
          </w:tcPr>
          <w:p>
            <w:pPr>
              <w:pStyle w:val="TableContents"/>
              <w:spacing w:before="0" w:after="283"/>
              <w:jc w:val="right"/>
              <w:rPr/>
            </w:pPr>
            <w:r>
              <w:rPr/>
              <w:t>34,935</w:t>
            </w:r>
          </w:p>
        </w:tc>
        <w:tc>
          <w:tcPr>
            <w:tcW w:w="365" w:type="dxa"/>
            <w:tcBorders/>
            <w:shd w:fill="FFFFFF" w:val="clear"/>
            <w:vAlign w:val="center"/>
          </w:tcPr>
          <w:p>
            <w:pPr>
              <w:pStyle w:val="TableContents"/>
              <w:spacing w:before="0" w:after="283"/>
              <w:rPr/>
            </w:pPr>
            <w:r>
              <w:rPr/>
              <w:t>(8)</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010" w:type="dxa"/>
            <w:tcBorders/>
            <w:shd w:fill="FFFFFF" w:val="clear"/>
            <w:vAlign w:val="center"/>
          </w:tcPr>
          <w:p>
            <w:pPr>
              <w:pStyle w:val="TableContents"/>
              <w:spacing w:before="0" w:after="283"/>
              <w:jc w:val="right"/>
              <w:rPr/>
            </w:pPr>
            <w:r>
              <w:rPr/>
              <w:t>1,921,435</w:t>
            </w:r>
          </w:p>
        </w:tc>
        <w:tc>
          <w:tcPr>
            <w:tcW w:w="135" w:type="dxa"/>
            <w:tcBorders/>
            <w:shd w:fill="FFFFFF" w:val="clear"/>
            <w:vAlign w:val="center"/>
          </w:tcPr>
          <w:p>
            <w:pPr>
              <w:pStyle w:val="TableContents"/>
              <w:spacing w:before="0" w:after="0"/>
              <w:ind w:left="0" w:right="0" w:hanging="0"/>
              <w:rPr/>
            </w:pPr>
            <w:r>
              <w:rPr/>
              <w:t> </w:t>
            </w:r>
          </w:p>
        </w:tc>
      </w:tr>
      <w:tr>
        <w:trPr/>
        <w:tc>
          <w:tcPr>
            <w:tcW w:w="8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47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435" w:type="dxa"/>
            <w:tcBorders/>
            <w:shd w:fill="CCEEFF" w:val="clear"/>
            <w:vAlign w:val="center"/>
          </w:tcPr>
          <w:p>
            <w:pPr>
              <w:pStyle w:val="TableContents"/>
              <w:spacing w:before="0" w:after="0"/>
              <w:ind w:left="0" w:right="0" w:hanging="0"/>
              <w:rPr/>
            </w:pPr>
            <w:r>
              <w:rPr/>
              <w:t> </w:t>
            </w:r>
          </w:p>
        </w:tc>
        <w:tc>
          <w:tcPr>
            <w:tcW w:w="32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728" w:type="dxa"/>
            <w:tcBorders/>
            <w:shd w:fill="CCEEFF" w:val="clear"/>
            <w:vAlign w:val="center"/>
          </w:tcPr>
          <w:p>
            <w:pPr>
              <w:pStyle w:val="TableContents"/>
              <w:spacing w:before="0" w:after="0"/>
              <w:ind w:left="0" w:right="0" w:hanging="0"/>
              <w:rPr/>
            </w:pPr>
            <w:r>
              <w:rPr/>
              <w:t> </w:t>
            </w:r>
          </w:p>
        </w:tc>
        <w:tc>
          <w:tcPr>
            <w:tcW w:w="537"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44" w:type="dxa"/>
            <w:tcBorders/>
            <w:shd w:fill="CCEEFF" w:val="clear"/>
            <w:vAlign w:val="center"/>
          </w:tcPr>
          <w:p>
            <w:pPr>
              <w:pStyle w:val="TableContents"/>
              <w:spacing w:before="0" w:after="0"/>
              <w:ind w:left="0" w:right="0" w:hanging="0"/>
              <w:rPr/>
            </w:pPr>
            <w:r>
              <w:rPr/>
              <w:t> </w:t>
            </w:r>
          </w:p>
        </w:tc>
        <w:tc>
          <w:tcPr>
            <w:tcW w:w="1021" w:type="dxa"/>
            <w:tcBorders/>
            <w:shd w:fill="CCEEFF" w:val="clear"/>
            <w:vAlign w:val="center"/>
          </w:tcPr>
          <w:p>
            <w:pPr>
              <w:pStyle w:val="TableContents"/>
              <w:spacing w:before="0" w:after="0"/>
              <w:ind w:left="0" w:right="0" w:hanging="0"/>
              <w:rPr/>
            </w:pPr>
            <w:r>
              <w:rPr/>
              <w:t> </w:t>
            </w:r>
          </w:p>
        </w:tc>
        <w:tc>
          <w:tcPr>
            <w:tcW w:w="36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135" w:type="dxa"/>
            <w:tcBorders/>
            <w:shd w:fill="CCEEFF" w:val="clear"/>
            <w:vAlign w:val="center"/>
          </w:tcPr>
          <w:p>
            <w:pPr>
              <w:pStyle w:val="TableContents"/>
              <w:spacing w:before="0" w:after="0"/>
              <w:ind w:left="0" w:right="0" w:hanging="0"/>
              <w:rPr/>
            </w:pPr>
            <w:r>
              <w:rPr/>
              <w:t> </w:t>
            </w:r>
          </w:p>
        </w:tc>
      </w:tr>
      <w:tr>
        <w:trPr/>
        <w:tc>
          <w:tcPr>
            <w:tcW w:w="89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Meryl S. Golden</w:t>
            </w:r>
          </w:p>
        </w:tc>
        <w:tc>
          <w:tcPr>
            <w:tcW w:w="90" w:type="dxa"/>
            <w:tcBorders/>
            <w:shd w:fill="FFFFFF" w:val="clear"/>
            <w:vAlign w:val="center"/>
          </w:tcPr>
          <w:p>
            <w:pPr>
              <w:pStyle w:val="TableContents"/>
              <w:spacing w:before="0" w:after="0"/>
              <w:ind w:left="0" w:right="0" w:hanging="0"/>
              <w:rPr/>
            </w:pPr>
            <w:r>
              <w:rPr/>
              <w:t> </w:t>
            </w:r>
          </w:p>
        </w:tc>
        <w:tc>
          <w:tcPr>
            <w:tcW w:w="47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2022</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830" w:type="dxa"/>
            <w:tcBorders/>
            <w:shd w:fill="FFFFFF" w:val="clear"/>
            <w:vAlign w:val="center"/>
          </w:tcPr>
          <w:p>
            <w:pPr>
              <w:pStyle w:val="TableContents"/>
              <w:spacing w:before="0" w:after="283"/>
              <w:jc w:val="right"/>
              <w:rPr/>
            </w:pPr>
            <w:r>
              <w:rPr/>
              <w:t>500,000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010" w:type="dxa"/>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150,000</w:t>
            </w:r>
          </w:p>
        </w:tc>
        <w:tc>
          <w:tcPr>
            <w:tcW w:w="24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90" w:type="dxa"/>
            <w:tcBorders/>
            <w:shd w:fill="FFFFFF" w:val="clear"/>
            <w:vAlign w:val="center"/>
          </w:tcPr>
          <w:p>
            <w:pPr>
              <w:pStyle w:val="TableContents"/>
              <w:spacing w:before="0" w:after="0"/>
              <w:ind w:left="0" w:right="0" w:hanging="0"/>
              <w:rPr/>
            </w:pPr>
            <w:r>
              <w:rPr/>
              <w:t> </w:t>
            </w:r>
          </w:p>
        </w:tc>
        <w:tc>
          <w:tcPr>
            <w:tcW w:w="43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32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728" w:type="dxa"/>
            <w:tcBorders/>
            <w:shd w:fill="FFFFFF" w:val="clear"/>
            <w:vAlign w:val="center"/>
          </w:tcPr>
          <w:p>
            <w:pPr>
              <w:pStyle w:val="TableContents"/>
              <w:spacing w:before="0" w:after="283"/>
              <w:rPr/>
            </w:pPr>
            <w:r>
              <w:rPr/>
              <w:t xml:space="preserve">$ </w:t>
            </w:r>
          </w:p>
        </w:tc>
        <w:tc>
          <w:tcPr>
            <w:tcW w:w="537" w:type="dxa"/>
            <w:tcBorders/>
            <w:shd w:fill="FFFFFF" w:val="clear"/>
            <w:vAlign w:val="center"/>
          </w:tcPr>
          <w:p>
            <w:pPr>
              <w:pStyle w:val="TableContents"/>
              <w:spacing w:before="0" w:after="283"/>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44" w:type="dxa"/>
            <w:tcBorders/>
            <w:shd w:fill="FFFFFF" w:val="clear"/>
            <w:vAlign w:val="center"/>
          </w:tcPr>
          <w:p>
            <w:pPr>
              <w:pStyle w:val="TableContents"/>
              <w:spacing w:before="0" w:after="283"/>
              <w:rPr/>
            </w:pPr>
            <w:r>
              <w:rPr/>
              <w:t>$</w:t>
            </w:r>
          </w:p>
        </w:tc>
        <w:tc>
          <w:tcPr>
            <w:tcW w:w="1021" w:type="dxa"/>
            <w:tcBorders/>
            <w:shd w:fill="FFFFFF" w:val="clear"/>
            <w:vAlign w:val="center"/>
          </w:tcPr>
          <w:p>
            <w:pPr>
              <w:pStyle w:val="TableContents"/>
              <w:spacing w:before="0" w:after="283"/>
              <w:jc w:val="right"/>
              <w:rPr/>
            </w:pPr>
            <w:r>
              <w:rPr/>
              <w:t>24,200</w:t>
            </w:r>
          </w:p>
        </w:tc>
        <w:tc>
          <w:tcPr>
            <w:tcW w:w="365" w:type="dxa"/>
            <w:tcBorders/>
            <w:shd w:fill="FFFFFF" w:val="clear"/>
            <w:vAlign w:val="center"/>
          </w:tcPr>
          <w:p>
            <w:pPr>
              <w:pStyle w:val="TableContents"/>
              <w:spacing w:before="0" w:after="283"/>
              <w:rPr/>
            </w:pPr>
            <w:r>
              <w:rPr/>
              <w:t>(9)</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010" w:type="dxa"/>
            <w:tcBorders/>
            <w:shd w:fill="FFFFFF" w:val="clear"/>
            <w:vAlign w:val="center"/>
          </w:tcPr>
          <w:p>
            <w:pPr>
              <w:pStyle w:val="TableContents"/>
              <w:spacing w:before="0" w:after="283"/>
              <w:jc w:val="right"/>
              <w:rPr/>
            </w:pPr>
            <w:r>
              <w:rPr/>
              <w:t>674,200</w:t>
            </w:r>
          </w:p>
        </w:tc>
        <w:tc>
          <w:tcPr>
            <w:tcW w:w="135" w:type="dxa"/>
            <w:tcBorders/>
            <w:shd w:fill="FFFFFF" w:val="clear"/>
            <w:vAlign w:val="center"/>
          </w:tcPr>
          <w:p>
            <w:pPr>
              <w:pStyle w:val="TableContents"/>
              <w:spacing w:before="0" w:after="0"/>
              <w:ind w:left="0" w:right="0" w:hanging="0"/>
              <w:rPr/>
            </w:pPr>
            <w:r>
              <w:rPr/>
              <w:t> </w:t>
            </w:r>
          </w:p>
        </w:tc>
      </w:tr>
      <w:tr>
        <w:trPr/>
        <w:tc>
          <w:tcPr>
            <w:tcW w:w="890" w:type="dxa"/>
            <w:tcBorders/>
            <w:shd w:fill="CCEEFF" w:val="clear"/>
            <w:vAlign w:val="center"/>
          </w:tcPr>
          <w:p>
            <w:pPr>
              <w:pStyle w:val="TableContents"/>
              <w:spacing w:before="0" w:after="0"/>
              <w:ind w:left="225" w:right="0" w:hanging="0"/>
              <w:rPr>
                <w:rFonts w:ascii="times new roman" w:hAnsi="times new roman"/>
                <w:sz w:val="20"/>
              </w:rPr>
            </w:pPr>
            <w:r>
              <w:rPr>
                <w:rFonts w:ascii="times new roman" w:hAnsi="times new roman"/>
                <w:sz w:val="20"/>
              </w:rPr>
              <w:t>Chief Operating Officer; President, Kingstone Insurance Company</w:t>
            </w:r>
          </w:p>
        </w:tc>
        <w:tc>
          <w:tcPr>
            <w:tcW w:w="90" w:type="dxa"/>
            <w:tcBorders/>
            <w:shd w:fill="CCEEFF" w:val="clear"/>
            <w:vAlign w:val="center"/>
          </w:tcPr>
          <w:p>
            <w:pPr>
              <w:pStyle w:val="TableContents"/>
              <w:spacing w:before="0" w:after="0"/>
              <w:ind w:left="0" w:right="0" w:hanging="0"/>
              <w:rPr/>
            </w:pPr>
            <w:r>
              <w:rPr/>
              <w:t> </w:t>
            </w:r>
          </w:p>
        </w:tc>
        <w:tc>
          <w:tcPr>
            <w:tcW w:w="47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2021</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830" w:type="dxa"/>
            <w:tcBorders/>
            <w:shd w:fill="CCEEFF" w:val="clear"/>
            <w:vAlign w:val="center"/>
          </w:tcPr>
          <w:p>
            <w:pPr>
              <w:pStyle w:val="TableContents"/>
              <w:spacing w:before="0" w:after="283"/>
              <w:jc w:val="right"/>
              <w:rPr/>
            </w:pPr>
            <w:r>
              <w:rPr/>
              <w:t>500,000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211,020</w:t>
            </w:r>
          </w:p>
        </w:tc>
        <w:tc>
          <w:tcPr>
            <w:tcW w:w="245" w:type="dxa"/>
            <w:tcBorders/>
            <w:shd w:fill="CCEEFF" w:val="clear"/>
            <w:vAlign w:val="center"/>
          </w:tcPr>
          <w:p>
            <w:pPr>
              <w:pStyle w:val="TableContents"/>
              <w:spacing w:before="0" w:after="283"/>
              <w:rPr/>
            </w:pPr>
            <w:r>
              <w:rPr/>
              <w:t>(5)</w:t>
            </w:r>
          </w:p>
        </w:tc>
        <w:tc>
          <w:tcPr>
            <w:tcW w:w="90" w:type="dxa"/>
            <w:tcBorders/>
            <w:shd w:fill="CCEEFF" w:val="clear"/>
            <w:vAlign w:val="center"/>
          </w:tcPr>
          <w:p>
            <w:pPr>
              <w:pStyle w:val="TableContents"/>
              <w:spacing w:before="0" w:after="0"/>
              <w:ind w:left="0" w:right="0" w:hanging="0"/>
              <w:rPr/>
            </w:pPr>
            <w:r>
              <w:rPr/>
              <w:t> </w:t>
            </w:r>
          </w:p>
        </w:tc>
        <w:tc>
          <w:tcPr>
            <w:tcW w:w="435" w:type="dxa"/>
            <w:tcBorders/>
            <w:shd w:fill="CCEEFF" w:val="clear"/>
            <w:vAlign w:val="center"/>
          </w:tcPr>
          <w:p>
            <w:pPr>
              <w:pStyle w:val="TableContents"/>
              <w:spacing w:before="0" w:after="283"/>
              <w:rPr/>
            </w:pPr>
            <w:r>
              <w:rPr/>
              <w:t>$</w:t>
            </w:r>
          </w:p>
        </w:tc>
        <w:tc>
          <w:tcPr>
            <w:tcW w:w="32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728" w:type="dxa"/>
            <w:tcBorders/>
            <w:shd w:fill="CCEEFF" w:val="clear"/>
            <w:vAlign w:val="center"/>
          </w:tcPr>
          <w:p>
            <w:pPr>
              <w:pStyle w:val="TableContents"/>
              <w:spacing w:before="0" w:after="283"/>
              <w:rPr/>
            </w:pPr>
            <w:r>
              <w:rPr/>
              <w:t>$</w:t>
            </w:r>
          </w:p>
        </w:tc>
        <w:tc>
          <w:tcPr>
            <w:tcW w:w="537"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44" w:type="dxa"/>
            <w:tcBorders/>
            <w:shd w:fill="CCEEFF" w:val="clear"/>
            <w:vAlign w:val="center"/>
          </w:tcPr>
          <w:p>
            <w:pPr>
              <w:pStyle w:val="TableContents"/>
              <w:spacing w:before="0" w:after="283"/>
              <w:rPr/>
            </w:pPr>
            <w:r>
              <w:rPr/>
              <w:t>$</w:t>
            </w:r>
          </w:p>
        </w:tc>
        <w:tc>
          <w:tcPr>
            <w:tcW w:w="1021" w:type="dxa"/>
            <w:tcBorders/>
            <w:shd w:fill="CCEEFF" w:val="clear"/>
            <w:vAlign w:val="center"/>
          </w:tcPr>
          <w:p>
            <w:pPr>
              <w:pStyle w:val="TableContents"/>
              <w:spacing w:before="0" w:after="283"/>
              <w:jc w:val="right"/>
              <w:rPr/>
            </w:pPr>
            <w:r>
              <w:rPr/>
              <w:t>23,600</w:t>
            </w:r>
          </w:p>
        </w:tc>
        <w:tc>
          <w:tcPr>
            <w:tcW w:w="365" w:type="dxa"/>
            <w:tcBorders/>
            <w:shd w:fill="CCEEFF" w:val="clear"/>
            <w:vAlign w:val="center"/>
          </w:tcPr>
          <w:p>
            <w:pPr>
              <w:pStyle w:val="TableContents"/>
              <w:spacing w:before="0" w:after="283"/>
              <w:rPr/>
            </w:pPr>
            <w:r>
              <w:rPr/>
              <w:t>(10)</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734,620</w:t>
            </w:r>
          </w:p>
        </w:tc>
        <w:tc>
          <w:tcPr>
            <w:tcW w:w="135" w:type="dxa"/>
            <w:tcBorders/>
            <w:shd w:fill="CCEEFF" w:val="clear"/>
            <w:vAlign w:val="center"/>
          </w:tcPr>
          <w:p>
            <w:pPr>
              <w:pStyle w:val="TableContents"/>
              <w:spacing w:before="0" w:after="0"/>
              <w:ind w:left="0" w:right="0" w:hanging="0"/>
              <w:rPr/>
            </w:pPr>
            <w:r>
              <w:rPr/>
              <w:t> </w:t>
            </w:r>
          </w:p>
        </w:tc>
      </w:tr>
      <w:tr>
        <w:trPr/>
        <w:tc>
          <w:tcPr>
            <w:tcW w:w="8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47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435" w:type="dxa"/>
            <w:tcBorders/>
            <w:shd w:fill="FFFFFF" w:val="clear"/>
            <w:vAlign w:val="center"/>
          </w:tcPr>
          <w:p>
            <w:pPr>
              <w:pStyle w:val="TableContents"/>
              <w:spacing w:before="0" w:after="0"/>
              <w:ind w:left="0" w:right="0" w:hanging="0"/>
              <w:rPr/>
            </w:pPr>
            <w:r>
              <w:rPr/>
              <w:t> </w:t>
            </w:r>
          </w:p>
        </w:tc>
        <w:tc>
          <w:tcPr>
            <w:tcW w:w="32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728" w:type="dxa"/>
            <w:tcBorders/>
            <w:shd w:fill="FFFFFF" w:val="clear"/>
            <w:vAlign w:val="center"/>
          </w:tcPr>
          <w:p>
            <w:pPr>
              <w:pStyle w:val="TableContents"/>
              <w:spacing w:before="0" w:after="0"/>
              <w:ind w:left="0" w:right="0" w:hanging="0"/>
              <w:rPr/>
            </w:pPr>
            <w:r>
              <w:rPr/>
              <w:t> </w:t>
            </w:r>
          </w:p>
        </w:tc>
        <w:tc>
          <w:tcPr>
            <w:tcW w:w="537"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44" w:type="dxa"/>
            <w:tcBorders/>
            <w:shd w:fill="FFFFFF" w:val="clear"/>
            <w:vAlign w:val="center"/>
          </w:tcPr>
          <w:p>
            <w:pPr>
              <w:pStyle w:val="TableContents"/>
              <w:spacing w:before="0" w:after="0"/>
              <w:ind w:left="0" w:right="0" w:hanging="0"/>
              <w:rPr/>
            </w:pPr>
            <w:r>
              <w:rPr/>
              <w:t> </w:t>
            </w:r>
          </w:p>
        </w:tc>
        <w:tc>
          <w:tcPr>
            <w:tcW w:w="1021" w:type="dxa"/>
            <w:tcBorders/>
            <w:shd w:fill="FFFFFF" w:val="clear"/>
            <w:vAlign w:val="center"/>
          </w:tcPr>
          <w:p>
            <w:pPr>
              <w:pStyle w:val="TableContents"/>
              <w:spacing w:before="0" w:after="0"/>
              <w:ind w:left="0" w:right="0" w:hanging="0"/>
              <w:rPr/>
            </w:pPr>
            <w:r>
              <w:rPr/>
              <w:t> </w:t>
            </w:r>
          </w:p>
        </w:tc>
        <w:tc>
          <w:tcPr>
            <w:tcW w:w="36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135" w:type="dxa"/>
            <w:tcBorders/>
            <w:shd w:fill="FFFFFF" w:val="clear"/>
            <w:vAlign w:val="center"/>
          </w:tcPr>
          <w:p>
            <w:pPr>
              <w:pStyle w:val="TableContents"/>
              <w:spacing w:before="0" w:after="0"/>
              <w:ind w:left="0" w:right="0" w:hanging="0"/>
              <w:rPr/>
            </w:pPr>
            <w:r>
              <w:rPr/>
              <w:t> </w:t>
            </w:r>
          </w:p>
        </w:tc>
      </w:tr>
      <w:tr>
        <w:trPr/>
        <w:tc>
          <w:tcPr>
            <w:tcW w:w="89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Sarah (Minlei) Chen</w:t>
            </w:r>
          </w:p>
        </w:tc>
        <w:tc>
          <w:tcPr>
            <w:tcW w:w="90" w:type="dxa"/>
            <w:tcBorders/>
            <w:shd w:fill="CCEEFF" w:val="clear"/>
            <w:vAlign w:val="center"/>
          </w:tcPr>
          <w:p>
            <w:pPr>
              <w:pStyle w:val="TableContents"/>
              <w:spacing w:before="0" w:after="0"/>
              <w:ind w:left="0" w:right="0" w:hanging="0"/>
              <w:rPr/>
            </w:pPr>
            <w:r>
              <w:rPr/>
              <w:t> </w:t>
            </w:r>
          </w:p>
        </w:tc>
        <w:tc>
          <w:tcPr>
            <w:tcW w:w="47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2022</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830" w:type="dxa"/>
            <w:tcBorders/>
            <w:shd w:fill="CCEEFF" w:val="clear"/>
            <w:vAlign w:val="center"/>
          </w:tcPr>
          <w:p>
            <w:pPr>
              <w:pStyle w:val="TableContents"/>
              <w:spacing w:before="0" w:after="283"/>
              <w:jc w:val="right"/>
              <w:rPr/>
            </w:pPr>
            <w:r>
              <w:rPr/>
              <w:t>306,620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43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t>
            </w:r>
          </w:p>
        </w:tc>
        <w:tc>
          <w:tcPr>
            <w:tcW w:w="32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728" w:type="dxa"/>
            <w:tcBorders/>
            <w:shd w:fill="CCEEFF" w:val="clear"/>
            <w:vAlign w:val="center"/>
          </w:tcPr>
          <w:p>
            <w:pPr>
              <w:pStyle w:val="TableContents"/>
              <w:spacing w:before="0" w:after="283"/>
              <w:rPr/>
            </w:pPr>
            <w:r>
              <w:rPr/>
              <w:t>$</w:t>
            </w:r>
          </w:p>
        </w:tc>
        <w:tc>
          <w:tcPr>
            <w:tcW w:w="537"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44" w:type="dxa"/>
            <w:tcBorders/>
            <w:shd w:fill="CCEEFF" w:val="clear"/>
            <w:vAlign w:val="center"/>
          </w:tcPr>
          <w:p>
            <w:pPr>
              <w:pStyle w:val="TableContents"/>
              <w:spacing w:before="0" w:after="283"/>
              <w:rPr/>
            </w:pPr>
            <w:r>
              <w:rPr/>
              <w:t>$</w:t>
            </w:r>
          </w:p>
        </w:tc>
        <w:tc>
          <w:tcPr>
            <w:tcW w:w="1021" w:type="dxa"/>
            <w:tcBorders/>
            <w:shd w:fill="CCEEFF" w:val="clear"/>
            <w:vAlign w:val="center"/>
          </w:tcPr>
          <w:p>
            <w:pPr>
              <w:pStyle w:val="TableContents"/>
              <w:spacing w:before="0" w:after="283"/>
              <w:jc w:val="right"/>
              <w:rPr/>
            </w:pPr>
            <w:r>
              <w:rPr/>
              <w:t>6,994</w:t>
            </w:r>
          </w:p>
        </w:tc>
        <w:tc>
          <w:tcPr>
            <w:tcW w:w="365" w:type="dxa"/>
            <w:tcBorders/>
            <w:shd w:fill="CCEEFF" w:val="clear"/>
            <w:vAlign w:val="center"/>
          </w:tcPr>
          <w:p>
            <w:pPr>
              <w:pStyle w:val="TableContents"/>
              <w:spacing w:before="0" w:after="283"/>
              <w:rPr/>
            </w:pPr>
            <w:r>
              <w:rPr/>
              <w:t>(11)</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313,614</w:t>
            </w:r>
          </w:p>
        </w:tc>
        <w:tc>
          <w:tcPr>
            <w:tcW w:w="135" w:type="dxa"/>
            <w:tcBorders/>
            <w:shd w:fill="CCEEFF" w:val="clear"/>
            <w:vAlign w:val="center"/>
          </w:tcPr>
          <w:p>
            <w:pPr>
              <w:pStyle w:val="TableContents"/>
              <w:spacing w:before="0" w:after="0"/>
              <w:ind w:left="0" w:right="0" w:hanging="0"/>
              <w:rPr/>
            </w:pPr>
            <w:r>
              <w:rPr/>
              <w:t> </w:t>
            </w:r>
          </w:p>
        </w:tc>
      </w:tr>
      <w:tr>
        <w:trPr/>
        <w:tc>
          <w:tcPr>
            <w:tcW w:w="890" w:type="dxa"/>
            <w:tcBorders/>
            <w:shd w:fill="FFFFFF" w:val="clear"/>
            <w:vAlign w:val="center"/>
          </w:tcPr>
          <w:p>
            <w:pPr>
              <w:pStyle w:val="TableContents"/>
              <w:spacing w:before="0" w:after="0"/>
              <w:ind w:left="225" w:right="0" w:hanging="0"/>
              <w:rPr>
                <w:rFonts w:ascii="times new roman" w:hAnsi="times new roman"/>
                <w:sz w:val="20"/>
              </w:rPr>
            </w:pPr>
            <w:r>
              <w:rPr>
                <w:rFonts w:ascii="times new roman" w:hAnsi="times new roman"/>
                <w:sz w:val="20"/>
              </w:rPr>
              <w:t>Chief Actuary; Senior Vice President, Kingstone Insurance Company</w:t>
            </w:r>
          </w:p>
        </w:tc>
        <w:tc>
          <w:tcPr>
            <w:tcW w:w="90" w:type="dxa"/>
            <w:tcBorders/>
            <w:shd w:fill="FFFFFF" w:val="clear"/>
            <w:vAlign w:val="center"/>
          </w:tcPr>
          <w:p>
            <w:pPr>
              <w:pStyle w:val="TableContents"/>
              <w:spacing w:before="0" w:after="0"/>
              <w:ind w:left="0" w:right="0" w:hanging="0"/>
              <w:rPr/>
            </w:pPr>
            <w:r>
              <w:rPr/>
              <w:t> </w:t>
            </w:r>
          </w:p>
        </w:tc>
        <w:tc>
          <w:tcPr>
            <w:tcW w:w="47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2021</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830" w:type="dxa"/>
            <w:tcBorders/>
            <w:shd w:fill="FFFFFF" w:val="clear"/>
            <w:vAlign w:val="center"/>
          </w:tcPr>
          <w:p>
            <w:pPr>
              <w:pStyle w:val="TableContents"/>
              <w:spacing w:before="0" w:after="283"/>
              <w:jc w:val="right"/>
              <w:rPr/>
            </w:pPr>
            <w:r>
              <w:rPr/>
              <w:t>267,515</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710" w:type="dxa"/>
            <w:tcBorders/>
            <w:shd w:fill="FFFFFF" w:val="clear"/>
            <w:vAlign w:val="center"/>
          </w:tcPr>
          <w:p>
            <w:pPr>
              <w:pStyle w:val="TableContents"/>
              <w:spacing w:before="0" w:after="283"/>
              <w:jc w:val="right"/>
              <w:rPr/>
            </w:pPr>
            <w:r>
              <w:rPr/>
              <w:t>40,000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010" w:type="dxa"/>
            <w:tcBorders/>
            <w:shd w:fill="FFFFFF" w:val="clear"/>
            <w:vAlign w:val="center"/>
          </w:tcPr>
          <w:p>
            <w:pPr>
              <w:pStyle w:val="TableContents"/>
              <w:spacing w:before="0" w:after="283"/>
              <w:jc w:val="right"/>
              <w:rPr/>
            </w:pPr>
            <w:r>
              <w:rPr/>
              <w:t>36,520</w:t>
            </w:r>
          </w:p>
        </w:tc>
        <w:tc>
          <w:tcPr>
            <w:tcW w:w="245" w:type="dxa"/>
            <w:tcBorders/>
            <w:shd w:fill="FFFFFF" w:val="clear"/>
            <w:vAlign w:val="center"/>
          </w:tcPr>
          <w:p>
            <w:pPr>
              <w:pStyle w:val="TableContents"/>
              <w:spacing w:before="0" w:after="283"/>
              <w:rPr/>
            </w:pPr>
            <w:r>
              <w:rPr/>
              <w:t>(6)</w:t>
            </w:r>
          </w:p>
        </w:tc>
        <w:tc>
          <w:tcPr>
            <w:tcW w:w="90" w:type="dxa"/>
            <w:tcBorders/>
            <w:shd w:fill="FFFFFF" w:val="clear"/>
            <w:vAlign w:val="center"/>
          </w:tcPr>
          <w:p>
            <w:pPr>
              <w:pStyle w:val="TableContents"/>
              <w:spacing w:before="0" w:after="0"/>
              <w:ind w:left="0" w:right="0" w:hanging="0"/>
              <w:rPr/>
            </w:pPr>
            <w:r>
              <w:rPr/>
              <w:t> </w:t>
            </w:r>
          </w:p>
        </w:tc>
        <w:tc>
          <w:tcPr>
            <w:tcW w:w="435" w:type="dxa"/>
            <w:tcBorders/>
            <w:shd w:fill="FFFFFF" w:val="clear"/>
            <w:vAlign w:val="center"/>
          </w:tcPr>
          <w:p>
            <w:pPr>
              <w:pStyle w:val="TableContents"/>
              <w:spacing w:before="0" w:after="283"/>
              <w:rPr/>
            </w:pPr>
            <w:r>
              <w:rPr/>
              <w:t>$</w:t>
            </w:r>
          </w:p>
        </w:tc>
        <w:tc>
          <w:tcPr>
            <w:tcW w:w="320" w:type="dxa"/>
            <w:tcBorders/>
            <w:shd w:fill="FFFFFF" w:val="cle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728" w:type="dxa"/>
            <w:tcBorders/>
            <w:shd w:fill="FFFFFF" w:val="clear"/>
            <w:vAlign w:val="center"/>
          </w:tcPr>
          <w:p>
            <w:pPr>
              <w:pStyle w:val="TableContents"/>
              <w:spacing w:before="0" w:after="283"/>
              <w:rPr/>
            </w:pPr>
            <w:r>
              <w:rPr/>
              <w:t>$</w:t>
            </w:r>
          </w:p>
        </w:tc>
        <w:tc>
          <w:tcPr>
            <w:tcW w:w="537" w:type="dxa"/>
            <w:tcBorders/>
            <w:shd w:fill="FFFFFF" w:val="cle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44" w:type="dxa"/>
            <w:tcBorders/>
            <w:shd w:fill="FFFFFF" w:val="clear"/>
            <w:vAlign w:val="center"/>
          </w:tcPr>
          <w:p>
            <w:pPr>
              <w:pStyle w:val="TableContents"/>
              <w:spacing w:before="0" w:after="283"/>
              <w:rPr/>
            </w:pPr>
            <w:r>
              <w:rPr/>
              <w:t>$</w:t>
            </w:r>
          </w:p>
        </w:tc>
        <w:tc>
          <w:tcPr>
            <w:tcW w:w="1021" w:type="dxa"/>
            <w:tcBorders/>
            <w:shd w:fill="FFFFFF" w:val="clear"/>
            <w:vAlign w:val="center"/>
          </w:tcPr>
          <w:p>
            <w:pPr>
              <w:pStyle w:val="TableContents"/>
              <w:spacing w:before="0" w:after="283"/>
              <w:jc w:val="right"/>
              <w:rPr/>
            </w:pPr>
            <w:r>
              <w:rPr/>
              <w:t>6,588</w:t>
            </w:r>
          </w:p>
        </w:tc>
        <w:tc>
          <w:tcPr>
            <w:tcW w:w="365" w:type="dxa"/>
            <w:tcBorders/>
            <w:shd w:fill="FFFFFF" w:val="clear"/>
            <w:vAlign w:val="center"/>
          </w:tcPr>
          <w:p>
            <w:pPr>
              <w:pStyle w:val="TableContents"/>
              <w:spacing w:before="0" w:after="283"/>
              <w:rPr/>
            </w:pPr>
            <w:r>
              <w:rPr/>
              <w:t>(11)</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010" w:type="dxa"/>
            <w:tcBorders/>
            <w:shd w:fill="FFFFFF" w:val="clear"/>
            <w:vAlign w:val="center"/>
          </w:tcPr>
          <w:p>
            <w:pPr>
              <w:pStyle w:val="TableContents"/>
              <w:spacing w:before="0" w:after="283"/>
              <w:jc w:val="right"/>
              <w:rPr/>
            </w:pPr>
            <w:r>
              <w:rPr/>
              <w:t>350,623</w:t>
            </w:r>
          </w:p>
        </w:tc>
        <w:tc>
          <w:tcPr>
            <w:tcW w:w="135" w:type="dxa"/>
            <w:tcBorders/>
            <w:shd w:fill="FFFF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 Amounts reflect the aggregate grant date fair value of grants made in each respective fiscal year computed in accordance with stock-based accounting rules (FASB ASC Topic 718-Stock Compensation), excluding the effect of estimated forfeitures. Assumptions used in the calculations of these amounts are included in Note 12 to our consolidated financial statements included in this Annual Report.</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65</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(2) In January 2022, Mr. Goldstein was granted 27,300 shares of restricted common stock under our Amended and Restated 2014 Equity Participation Plan (the “2014 Plan”). Such grant vests to the extent of 13,650 shares as of December 29, 2023 and 13,650 shares as of December 30, 2024. See “Termination of Employment and Change-in-Control Arrangements – Barry B. Goldstein” below for a discussion of certain provisions relating to the restricted stock granted to Mr. Goldstein.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(3) In January 2021, Mr. Goldstein was granted an aggregate of 251,769 shares of restricted common stock under the 2014 Plan. Such grant vested to the extent of 125,885 shares as of the first anniversary of the date of grant and vests to the extent of 62,942 shares as of December 29, 2023, and 62,942 shares as of December 30, 2024. See “Termination of Employment and Change-in-Control Arrangements – Barry B. Goldstein” below for a discussion of certain provisions relating to the restricted stock granted to Mr. Goldstein.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(4) In January 2022, Ms. Golden was granted 30,000 shares of restricted common stock under the 2014 Plan. Such grant vested to the extent of 10,000 shares as of the first anniversary of the date of grant and vests to the extent of 10,000 shares as of each of the second and third anniversaries of the date of grant. See “Termination of Employment and Change-in-Control Arrangements – Meryl Golden” below for a discussion of certain provisions relating to the restricted stock granted to Ms. Golden.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(5) In January 2021, Ms. Golden was granted 30,000 shares of restricted common stock under the 2014 Plan. Such grant vested to the extent of 10,000 shares as of each of the first and second anniversaries of the date of grant and vests to the extent of 10,000 shares as of the third anniversary of the date of grant. In addition, in December 2021, Ms. Golden was granted 2,400 shares of restricted stock under the 2014 Plan. Such grant vested to the extent of 800 shares as of the first anniversary of the date of grant and vests to the extent of 800 shares as of each of the second and third anniversaries of the date of grant. See “Termination of Employment and Change-in-Control Arrangements – Meryl Golden” below for a discussion of certain provisions relating to the restricted stock granted to Ms. Golden.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(6) In January 2021, Ms. Chen was granted 3,572 shares of restricted common stock under the 2014 Plan. Such grant vested to the extent of 1,191 shares as of each of the first and second anniversaries of the date of grant and vests to the extent of 1,190 shares as of the third anniversary of the date of grant. In addition, in December 2021, Ms. Chen was granted 2,400 shares of restricted stock under the 2014 Plan. Such grant vested to the extent of 800 shares as of the first anniversary of the date of grant and vests to the extent of 800 shares as of each of the second and third anniversaries of the date of grant. See “Termination of Employment and Change-in-Control Arrangements – Sarah (Minlei) Chen” below for a discussion of certain provisions relating to the restricted stock granted to Ms. Chen.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(7) Represents employer matching contributions under our defined contribution plan of $12,200 and a car allowance of $12,000.</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66</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(8) Represents employer matching contributions under our deferred compensation plan of $11,335, employer matching contributions under our defined contribution plan of $11,600 and a car allowance of $12,000.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(9) Represents employer matching contributions under our defined contribution plan of $12,200 and a car allowance of $12,000.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(10) Represents employer matching contributions under our defined contribution plan of $11,600 and a car allowance of $12,000.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(11) Represents employer matching contributions under our defined contribution plan.</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Employment Contracts</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Barry B. Goldstein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u w:val="single"/>
        </w:rPr>
      </w:pPr>
      <w:r>
        <w:rPr>
          <w:rFonts w:ascii="times new roman" w:hAnsi="times new roman"/>
          <w:sz w:val="20"/>
          <w:u w:val="single"/>
        </w:rPr>
        <w:t>Employment Agreement effective as of January 1, 2020</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October 14, 2019, we entered into a second amended and restated employment agreement with Mr. Goldstein which took effect as of January 1, 2020 and expired on December 31, 2022 (the “Second Amended Goldstein Employment Agreement”).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Pursuant to the Second Amended Goldstein Employment Agreement, Mr. Goldstein was entitled to receive an annual base salary of $500,000 and an annual bonus equal to 6% of our consolidated income from operations before taxes, exclusive of our consolidated net investment income (loss), net unrealized gains (losses) on equity securities and net realized gains (losses) on investments, up to a maximum of 2.5 times his base salary. In addition, pursuant to the Second Amended Goldstein Employment Agreement, Mr. Goldstein was entitled to receive a long-term compensation (“LTC”) payment of between $945,000 and $2,835,000 based on a specified minimum increase in our adjusted book value per share (as defined in the Second Amended Goldstein Employment Agreement) as of December 31, 2022 as compared to December 31, 2019 (with the maximum LTC payment being due if the average per annum increase is at least 14%). Pursuant to the Third Amended Goldstein Employment Agreement (discussed below), Mr. Goldstein relinquished the right to receive the LTC. Pursuant to the Second Amended Goldstein Employment Agreement, Mr. Goldstein received a grant, under the terms of the 2014 Plan, during January 2020, of a number of shares of restricted stock determined by dividing $1,250,000 by the fair market value of our common stock on the date of grant. The January 2020 grant vested with respect to one-third of the award on each of the first and second anniversaries of the grant date and will vest with respect to one-sixth of the award on each of December 29, 2023 and December 30, 2024, based on the continued provision of services through such dates. Also pursuant to the Second Amended Goldstein Employment Agreement, Mr. Goldstein received a grant, under the terms of the 2014 Plan, during January 2021, of a number of shares of restricted stock determined by dividing $1,500,000 by the fair market value of our common stock on the date of grant. The January 2021 grant vested with respect to one-half of the award on the first anniversary of the grant date and will vest with respect to one-fourth of the award on each of December 29, 2023 and December 30, 2024, based on the continued provision of services through such dates. Further, pursuant to the Second Amended Goldstein Employment Agreement, Mr. Goldstein received in 2020, 2021 and 2022 a grant, under the terms of the 2014 Plan, of a number of shares of restricted stock determined by dividing $136,500 by the fair market value of our common stock on the date of grant. The 2020 grant vested with respect to one-third of the award on each of the first and second anniversaries of the grant date and will vest with respect to one-sixth of the award on each of December 29, 2023 and December 30, 2024, based on the continued provision of services through such dates. The 2021 grant vested with respect to one-half of the award on the first anniversary of the grant date and will vest with respect to one-fourth of the award on each of December 29, 2023 and December 30, 2024, based on the continued provision of services through such dates. The 2022 grant will vest with respect to one-half of the award on each of December 29, 2023 and December 30, 2024, based on the continued provision of services through such dates.</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67</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See “Termination of Employment and Change-in-Control Arrangements – Barry B. Goldstein” below for a discussion of the provisions of the Second Amended Goldstein Employment Agreement and the Third Amended Goldstein Employment Agreement with regard to payments due and the acceleration of stock grants in the event of the termination of Mr. Goldstein’s employment under certain circumstances and/or in the event of a change in control.</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u w:val="single"/>
        </w:rPr>
      </w:pPr>
      <w:r>
        <w:rPr>
          <w:rFonts w:ascii="times new roman" w:hAnsi="times new roman"/>
          <w:sz w:val="20"/>
          <w:u w:val="single"/>
        </w:rPr>
        <w:t>Employment Agreement effective as of January 1, 2023</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June 27, 2022, we entered into a third amended and restated employment agreement with Mr. Goldstein which took effect as of January 1, 2023, and expires on December 31, 2024 (the “Third Amended Goldstein Employment Agreement”).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Pursuant to the Third Amended Goldstein Employment Agreement, Mr. Goldstein is entitled to receive an annual base salary of $500,000 and an annual bonus equal to 3% of our consolidated income from operations before taxes, exclusive of our consolidated net investment income (loss), net unrealized gains (losses) on equity securities and net realized gains (losses) on investments, up to a maximum of 1.25 times his base salary.</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Meryl S. Golden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u w:val="single"/>
        </w:rPr>
      </w:pPr>
      <w:r>
        <w:rPr>
          <w:rFonts w:ascii="times new roman" w:hAnsi="times new roman"/>
          <w:sz w:val="20"/>
          <w:u w:val="single"/>
        </w:rPr>
        <w:t>Employment Agreement effective as of January 1, 2021</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and Ms. Golden were parties to an amended and restated employment agreement dated as of December 24, 2020 (the “Amended Golden Employment Agreement”). Pursuant to the Amended Golden Employment Agreement, which expired on December 31, 2022, Ms. Golden was entitled to receive an annual base salary of $500,000. In addition, pursuant to the Amended Golden Employment Agreement and the 2014 Plan, in September 2019, Ms. Golden was granted an option to purchase 50,000 shares of common stock which has vested to the extent of 12,500 shares on each of the date of grant and each of the first, second and third anniversaries of the date of grant. Further, pursuant to the Amended Golden Employment Agreement and the 2014 Plan, in each of January 2021 and January 2022, Ms. Golden was granted 30,000 shares of restricted stock. The 2021 grant vested to the extent of 10,000 on each of the first and second anniversaries of the date of grant and will vest to the extent of 10,000 shares on the third anniversary of the date of grant. The 2022 grant vested to the extent of 10,000 shares on the first anniversary of the date of grant and will vest to the extent of 10,000 shares on each of the second and third anniversaries of the date of grant.</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68</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u w:val="single"/>
        </w:rPr>
      </w:pPr>
      <w:r>
        <w:rPr>
          <w:rFonts w:ascii="times new roman" w:hAnsi="times new roman"/>
          <w:sz w:val="20"/>
          <w:u w:val="single"/>
        </w:rPr>
        <w:t>Employment Agreement effective as of January 1, 2023</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June 27, 2022, we entered into a second amended and restated employment agreement with Ms. Golden which took effect as of January 1, 2023, and expires on December 31, 2024 (the “Second Amended Golden Employment Agreement”).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Pursuant to the Second Amended Golden Employment Agreement, Ms. Golden is entitled to receive an annual base salary of $500,000 and an annual bonus equal to 3% of our consolidated income from operations before taxes, exclusive of our consolidated net investment income (loss), net unrealized gains (losses) on equity securities and net realized gains (losses) on investments, up to a maximum of 1.25 times her base salary. In addition, pursuant to the Second Amended Golden Employment Agreement, Ms. Golden received, under the terms of the 2014 Plan, a grant in January 2023, and is entitled to receive a grant, under the terms of the 2014 Plan, during January 2024, under certain circumstances, of a number of shares of restricted stock determined by dividing $136,500 by the fair market value of our common stock on the date of grant. The 2023 grant will vest with respect to one-half of the award on the first anniversary of the grant date and one-half of the award on December 31, 2024, based on the continued provision of services through such dates. The 2024 grant will vest on December 31, 2024, based on the continued provision of services through such date. In the event that we are precluded from making a grant in 2024, then instead Ms. Golden shall be entitled to receive a cash bonus of $136,500 for such year.</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See “Termination of Employment and Change-in-Control Arrangements – Meryl S. Golden” below for a discussion of the provisions of the Amended Golden Employment Agreement and the Second Amended Golden Employment Agreement with regard to payments due and the acceleration of stock awards in the event of the termination of Ms. Golden’s employment under certain circumstances and/or in the event of a change in control. </w:t>
      </w:r>
    </w:p>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OUTSTANDING EQUITY AWARDS AT FISCAL YEAR-END</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sets forth certain information concerning exercisable and unexercisable stock options and unvested stock grants held by the above Named Executive Officers as of December 31, 2022:</w:t>
      </w:r>
    </w:p>
    <w:p>
      <w:pPr>
        <w:pStyle w:val="TextBody"/>
        <w:spacing w:before="0" w:after="0"/>
        <w:ind w:left="0" w:right="0" w:hanging="0"/>
        <w:jc w:val="both"/>
        <w:rPr/>
      </w:pPr>
      <w:r>
        <w:rPr/>
        <w:t> </w:t>
      </w:r>
    </w:p>
    <w:tbl>
      <w:tblPr>
        <w:tblW w:w="10310" w:type="dxa"/>
        <w:jc w:val="left"/>
        <w:tblInd w:w="0" w:type="dxa"/>
        <w:tblCellMar>
          <w:top w:w="0" w:type="dxa"/>
          <w:left w:w="0" w:type="dxa"/>
          <w:bottom w:w="0" w:type="dxa"/>
          <w:right w:w="0" w:type="dxa"/>
        </w:tblCellMar>
      </w:tblPr>
      <w:tblGrid>
        <w:gridCol w:w="860"/>
        <w:gridCol w:w="90"/>
        <w:gridCol w:w="137"/>
        <w:gridCol w:w="948"/>
        <w:gridCol w:w="90"/>
        <w:gridCol w:w="90"/>
        <w:gridCol w:w="562"/>
        <w:gridCol w:w="688"/>
        <w:gridCol w:w="90"/>
        <w:gridCol w:w="90"/>
        <w:gridCol w:w="230"/>
        <w:gridCol w:w="555"/>
        <w:gridCol w:w="90"/>
        <w:gridCol w:w="90"/>
        <w:gridCol w:w="215"/>
        <w:gridCol w:w="765"/>
        <w:gridCol w:w="90"/>
        <w:gridCol w:w="90"/>
        <w:gridCol w:w="92"/>
        <w:gridCol w:w="858"/>
        <w:gridCol w:w="245"/>
        <w:gridCol w:w="90"/>
        <w:gridCol w:w="950"/>
        <w:gridCol w:w="90"/>
        <w:gridCol w:w="547"/>
        <w:gridCol w:w="403"/>
        <w:gridCol w:w="90"/>
        <w:gridCol w:w="90"/>
        <w:gridCol w:w="547"/>
        <w:gridCol w:w="403"/>
        <w:gridCol w:w="135"/>
      </w:tblGrid>
      <w:tr>
        <w:trPr/>
        <w:tc>
          <w:tcPr>
            <w:tcW w:w="86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4640" w:type="dxa"/>
            <w:gridSpan w:val="14"/>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Option Awards</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4405" w:type="dxa"/>
            <w:gridSpan w:val="1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Stock Awards</w:t>
            </w:r>
          </w:p>
        </w:tc>
        <w:tc>
          <w:tcPr>
            <w:tcW w:w="135" w:type="dxa"/>
            <w:tcBorders/>
            <w:shd w:fill="auto" w:val="clear"/>
            <w:vAlign w:val="center"/>
          </w:tcPr>
          <w:p>
            <w:pPr>
              <w:pStyle w:val="TableContents"/>
              <w:spacing w:before="0" w:after="0"/>
              <w:ind w:left="0" w:right="0" w:hanging="0"/>
              <w:rPr/>
            </w:pPr>
            <w:r>
              <w:rPr/>
              <w:t> </w:t>
            </w:r>
          </w:p>
        </w:tc>
      </w:tr>
      <w:tr>
        <w:trPr/>
        <w:tc>
          <w:tcPr>
            <w:tcW w:w="860"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Fonts w:ascii="times new roman" w:hAnsi="times new roman"/>
                <w:sz w:val="20"/>
              </w:rPr>
              <w:t>Name</w:t>
            </w:r>
          </w:p>
        </w:tc>
        <w:tc>
          <w:tcPr>
            <w:tcW w:w="90" w:type="dxa"/>
            <w:tcBorders/>
            <w:shd w:fill="auto" w:val="clear"/>
            <w:vAlign w:val="center"/>
          </w:tcPr>
          <w:p>
            <w:pPr>
              <w:pStyle w:val="TableContents"/>
              <w:spacing w:before="0" w:after="0"/>
              <w:ind w:left="0" w:right="0" w:hanging="0"/>
              <w:rPr/>
            </w:pPr>
            <w:r>
              <w:rPr/>
              <w:t> </w:t>
            </w:r>
          </w:p>
        </w:tc>
        <w:tc>
          <w:tcPr>
            <w:tcW w:w="10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Number of Securities Underlying</w:t>
            </w:r>
          </w:p>
          <w:p>
            <w:pPr>
              <w:pStyle w:val="TableContents"/>
              <w:spacing w:before="0" w:after="0"/>
              <w:ind w:left="0" w:right="0" w:hanging="0"/>
              <w:jc w:val="center"/>
              <w:rPr/>
            </w:pPr>
            <w:r>
              <w:rPr>
                <w:rStyle w:val="StrongEmphasis"/>
                <w:rFonts w:ascii="times new roman" w:hAnsi="times new roman"/>
                <w:sz w:val="20"/>
              </w:rPr>
              <w:t>Unexercised</w:t>
            </w:r>
          </w:p>
          <w:p>
            <w:pPr>
              <w:pStyle w:val="TableContents"/>
              <w:spacing w:before="0" w:after="0"/>
              <w:ind w:left="0" w:right="0" w:hanging="0"/>
              <w:jc w:val="center"/>
              <w:rPr/>
            </w:pPr>
            <w:r>
              <w:rPr>
                <w:rStyle w:val="StrongEmphasis"/>
                <w:rFonts w:ascii="times new roman" w:hAnsi="times new roman"/>
                <w:sz w:val="20"/>
              </w:rPr>
              <w:t>Options</w:t>
            </w:r>
          </w:p>
          <w:p>
            <w:pPr>
              <w:pStyle w:val="TableContents"/>
              <w:spacing w:before="0" w:after="0"/>
              <w:ind w:left="0" w:right="0" w:hanging="0"/>
              <w:jc w:val="center"/>
              <w:rPr/>
            </w:pPr>
            <w:r>
              <w:rPr>
                <w:rStyle w:val="StrongEmphasis"/>
                <w:rFonts w:ascii="times new roman" w:hAnsi="times new roman"/>
                <w:sz w:val="20"/>
              </w:rPr>
              <w:t>Exercisable</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5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Number of Securities Underlying Unexercised Options Unexercisable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Option</w:t>
            </w:r>
          </w:p>
          <w:p>
            <w:pPr>
              <w:pStyle w:val="TableContents"/>
              <w:spacing w:before="0" w:after="0"/>
              <w:ind w:left="0" w:right="0" w:hanging="0"/>
              <w:jc w:val="center"/>
              <w:rPr/>
            </w:pPr>
            <w:r>
              <w:rPr>
                <w:rStyle w:val="StrongEmphasis"/>
                <w:rFonts w:ascii="times new roman" w:hAnsi="times new roman"/>
                <w:sz w:val="20"/>
              </w:rPr>
              <w:t>Exercise Price</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Option Expiration Date</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5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Number of Shares of</w:t>
            </w:r>
          </w:p>
          <w:p>
            <w:pPr>
              <w:pStyle w:val="TableContents"/>
              <w:spacing w:before="0" w:after="0"/>
              <w:ind w:left="0" w:right="0" w:hanging="0"/>
              <w:jc w:val="center"/>
              <w:rPr/>
            </w:pPr>
            <w:r>
              <w:rPr>
                <w:rStyle w:val="StrongEmphasis"/>
                <w:rFonts w:ascii="times new roman" w:hAnsi="times new roman"/>
                <w:sz w:val="20"/>
              </w:rPr>
              <w:t>Stock</w:t>
            </w:r>
          </w:p>
          <w:p>
            <w:pPr>
              <w:pStyle w:val="TableContents"/>
              <w:spacing w:before="0" w:after="0"/>
              <w:ind w:left="0" w:right="0" w:hanging="0"/>
              <w:jc w:val="center"/>
              <w:rPr/>
            </w:pPr>
            <w:r>
              <w:rPr>
                <w:rStyle w:val="StrongEmphasis"/>
                <w:rFonts w:ascii="times new roman" w:hAnsi="times new roman"/>
                <w:sz w:val="20"/>
              </w:rPr>
              <w:t>That Have Not Vested</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50"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Market</w:t>
            </w:r>
          </w:p>
          <w:p>
            <w:pPr>
              <w:pStyle w:val="TableContents"/>
              <w:spacing w:before="0" w:after="0"/>
              <w:ind w:left="0" w:right="0" w:hanging="0"/>
              <w:jc w:val="center"/>
              <w:rPr/>
            </w:pPr>
            <w:r>
              <w:rPr>
                <w:rStyle w:val="StrongEmphasis"/>
              </w:rPr>
              <w:t> </w:t>
            </w:r>
            <w:r>
              <w:rPr>
                <w:rStyle w:val="StrongEmphasis"/>
                <w:rFonts w:ascii="times new roman" w:hAnsi="times new roman"/>
                <w:sz w:val="20"/>
              </w:rPr>
              <w:t>Value of Shares of Stock That Have Not Vested</w:t>
            </w:r>
          </w:p>
        </w:tc>
        <w:tc>
          <w:tcPr>
            <w:tcW w:w="90" w:type="dxa"/>
            <w:tcBorders/>
            <w:shd w:fill="auto" w:val="clear"/>
            <w:vAlign w:val="center"/>
          </w:tcPr>
          <w:p>
            <w:pPr>
              <w:pStyle w:val="TableContents"/>
              <w:spacing w:before="0" w:after="0"/>
              <w:ind w:left="0" w:right="0" w:hanging="0"/>
              <w:rPr/>
            </w:pPr>
            <w:r>
              <w:rPr/>
              <w:t> </w:t>
            </w:r>
          </w:p>
        </w:tc>
        <w:tc>
          <w:tcPr>
            <w:tcW w:w="95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Equity Incentive Plan Awards: Number of Unearned Shares That Have Not Vested</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5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Equity Incentive Plan Awards: Market or Payout Value of Unearned Shares That Have Not Vested</w:t>
            </w:r>
          </w:p>
        </w:tc>
        <w:tc>
          <w:tcPr>
            <w:tcW w:w="135" w:type="dxa"/>
            <w:tcBorders/>
            <w:shd w:fill="auto" w:val="clear"/>
            <w:vAlign w:val="center"/>
          </w:tcPr>
          <w:p>
            <w:pPr>
              <w:pStyle w:val="TableContents"/>
              <w:spacing w:before="0" w:after="0"/>
              <w:ind w:left="0" w:right="0" w:hanging="0"/>
              <w:rPr/>
            </w:pPr>
            <w:r>
              <w:rPr/>
              <w:t> </w:t>
            </w:r>
          </w:p>
        </w:tc>
      </w:tr>
      <w:tr>
        <w:trPr/>
        <w:tc>
          <w:tcPr>
            <w:tcW w:w="86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Barry B. Goldstein</w:t>
            </w:r>
          </w:p>
        </w:tc>
        <w:tc>
          <w:tcPr>
            <w:tcW w:w="90" w:type="dxa"/>
            <w:tcBorders/>
            <w:shd w:fill="CCEEFF" w:val="clear"/>
            <w:vAlign w:val="center"/>
          </w:tcPr>
          <w:p>
            <w:pPr>
              <w:pStyle w:val="TableContents"/>
              <w:spacing w:before="0" w:after="0"/>
              <w:ind w:left="0" w:right="0" w:hanging="0"/>
              <w:rPr/>
            </w:pPr>
            <w:r>
              <w:rPr/>
              <w:t> </w:t>
            </w:r>
          </w:p>
        </w:tc>
        <w:tc>
          <w:tcPr>
            <w:tcW w:w="137" w:type="dxa"/>
            <w:tcBorders/>
            <w:shd w:fill="CCEEFF" w:val="clear"/>
            <w:vAlign w:val="center"/>
          </w:tcPr>
          <w:p>
            <w:pPr>
              <w:pStyle w:val="TableContents"/>
              <w:spacing w:before="0" w:after="0"/>
              <w:ind w:left="0" w:right="0" w:hanging="0"/>
              <w:rPr/>
            </w:pPr>
            <w:r>
              <w:rPr/>
              <w:t> </w:t>
            </w:r>
          </w:p>
        </w:tc>
        <w:tc>
          <w:tcPr>
            <w:tcW w:w="948"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562" w:type="dxa"/>
            <w:tcBorders/>
            <w:shd w:fill="CCEEFF" w:val="clear"/>
            <w:vAlign w:val="center"/>
          </w:tcPr>
          <w:p>
            <w:pPr>
              <w:pStyle w:val="TableContents"/>
              <w:spacing w:before="0" w:after="0"/>
              <w:ind w:left="0" w:right="0" w:hanging="0"/>
              <w:rPr/>
            </w:pPr>
            <w:r>
              <w:rPr/>
              <w:t> </w:t>
            </w:r>
          </w:p>
        </w:tc>
        <w:tc>
          <w:tcPr>
            <w:tcW w:w="688"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30" w:type="dxa"/>
            <w:tcBorders/>
            <w:shd w:fill="CCEEFF" w:val="clear"/>
            <w:vAlign w:val="center"/>
          </w:tcPr>
          <w:p>
            <w:pPr>
              <w:pStyle w:val="TableContents"/>
              <w:spacing w:before="0" w:after="0"/>
              <w:ind w:left="0" w:right="0" w:hanging="0"/>
              <w:rPr/>
            </w:pPr>
            <w:r>
              <w:rPr/>
              <w:t> </w:t>
            </w:r>
          </w:p>
        </w:tc>
        <w:tc>
          <w:tcPr>
            <w:tcW w:w="555"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15" w:type="dxa"/>
            <w:tcBorders/>
            <w:shd w:fill="CCEEFF" w:val="clear"/>
            <w:vAlign w:val="center"/>
          </w:tcPr>
          <w:p>
            <w:pPr>
              <w:pStyle w:val="TableContents"/>
              <w:spacing w:before="0" w:after="0"/>
              <w:ind w:left="0" w:right="0" w:hanging="0"/>
              <w:rPr/>
            </w:pPr>
            <w:r>
              <w:rPr/>
              <w:t> </w:t>
            </w:r>
          </w:p>
        </w:tc>
        <w:tc>
          <w:tcPr>
            <w:tcW w:w="765"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2" w:type="dxa"/>
            <w:tcBorders/>
            <w:shd w:fill="CCEEFF" w:val="clear"/>
            <w:vAlign w:val="center"/>
          </w:tcPr>
          <w:p>
            <w:pPr>
              <w:pStyle w:val="TableContents"/>
              <w:spacing w:before="0" w:after="0"/>
              <w:ind w:left="0" w:right="0" w:hanging="0"/>
              <w:rPr/>
            </w:pPr>
            <w:r>
              <w:rPr/>
              <w:t> </w:t>
            </w:r>
          </w:p>
        </w:tc>
        <w:tc>
          <w:tcPr>
            <w:tcW w:w="858" w:type="dxa"/>
            <w:tcBorders/>
            <w:shd w:fill="CCEEFF" w:val="clear"/>
            <w:vAlign w:val="center"/>
          </w:tcPr>
          <w:p>
            <w:pPr>
              <w:pStyle w:val="TableContents"/>
              <w:spacing w:before="0" w:after="283"/>
              <w:jc w:val="right"/>
              <w:rPr/>
            </w:pPr>
            <w:r>
              <w:rPr/>
              <w:t>211,391</w:t>
            </w:r>
          </w:p>
        </w:tc>
        <w:tc>
          <w:tcPr>
            <w:tcW w:w="245" w:type="dxa"/>
            <w:tcBorders/>
            <w:shd w:fill="CCEEFF" w:val="clear"/>
            <w:vAlign w:val="center"/>
          </w:tcPr>
          <w:p>
            <w:pPr>
              <w:pStyle w:val="TableContents"/>
              <w:spacing w:before="0" w:after="283"/>
              <w:rPr/>
            </w:pPr>
            <w:r>
              <w:rPr/>
              <w:t>(1)</w:t>
            </w:r>
          </w:p>
        </w:tc>
        <w:tc>
          <w:tcPr>
            <w:tcW w:w="90" w:type="dxa"/>
            <w:tcBorders/>
            <w:shd w:fill="CCEEFF" w:val="clear"/>
            <w:vAlign w:val="center"/>
          </w:tcPr>
          <w:p>
            <w:pPr>
              <w:pStyle w:val="TableContents"/>
              <w:spacing w:before="0" w:after="0"/>
              <w:ind w:left="0" w:right="0" w:hanging="0"/>
              <w:rPr/>
            </w:pPr>
            <w:r>
              <w:rPr/>
              <w:t> </w:t>
            </w:r>
          </w:p>
        </w:tc>
        <w:tc>
          <w:tcPr>
            <w:tcW w:w="9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547" w:type="dxa"/>
            <w:tcBorders/>
            <w:shd w:fill="CCEEFF" w:val="clear"/>
            <w:vAlign w:val="center"/>
          </w:tcPr>
          <w:p>
            <w:pPr>
              <w:pStyle w:val="TableContents"/>
              <w:spacing w:before="0" w:after="283"/>
              <w:rPr/>
            </w:pPr>
            <w:r>
              <w:rPr/>
              <w:t>$</w:t>
            </w:r>
          </w:p>
        </w:tc>
        <w:tc>
          <w:tcPr>
            <w:tcW w:w="403"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547" w:type="dxa"/>
            <w:tcBorders/>
            <w:shd w:fill="CCEEFF" w:val="clear"/>
            <w:vAlign w:val="center"/>
          </w:tcPr>
          <w:p>
            <w:pPr>
              <w:pStyle w:val="TableContents"/>
              <w:spacing w:before="0" w:after="283"/>
              <w:rPr/>
            </w:pPr>
            <w:r>
              <w:rPr/>
              <w:t>$</w:t>
            </w:r>
          </w:p>
        </w:tc>
        <w:tc>
          <w:tcPr>
            <w:tcW w:w="403" w:type="dxa"/>
            <w:tcBorders/>
            <w:shd w:fill="CCEEFF" w:val="clear"/>
            <w:vAlign w:val="center"/>
          </w:tcPr>
          <w:p>
            <w:pPr>
              <w:pStyle w:val="TableContents"/>
              <w:spacing w:before="0" w:after="283"/>
              <w:jc w:val="right"/>
              <w:rPr/>
            </w:pPr>
            <w:r>
              <w:rPr/>
              <w:t>-</w:t>
            </w:r>
          </w:p>
        </w:tc>
        <w:tc>
          <w:tcPr>
            <w:tcW w:w="135" w:type="dxa"/>
            <w:tcBorders/>
            <w:shd w:fill="CCEEFF" w:val="clear"/>
            <w:vAlign w:val="center"/>
          </w:tcPr>
          <w:p>
            <w:pPr>
              <w:pStyle w:val="TableContents"/>
              <w:spacing w:before="0" w:after="0"/>
              <w:ind w:left="0" w:right="0" w:hanging="0"/>
              <w:rPr/>
            </w:pPr>
            <w:r>
              <w:rPr/>
              <w:t> </w:t>
            </w:r>
          </w:p>
        </w:tc>
      </w:tr>
      <w:tr>
        <w:trPr/>
        <w:tc>
          <w:tcPr>
            <w:tcW w:w="86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37" w:type="dxa"/>
            <w:tcBorders/>
            <w:shd w:fill="FFFFFF" w:val="clear"/>
            <w:vAlign w:val="center"/>
          </w:tcPr>
          <w:p>
            <w:pPr>
              <w:pStyle w:val="TableContents"/>
              <w:spacing w:before="0" w:after="0"/>
              <w:ind w:left="0" w:right="0" w:hanging="0"/>
              <w:rPr/>
            </w:pPr>
            <w:r>
              <w:rPr/>
              <w:t> </w:t>
            </w:r>
          </w:p>
        </w:tc>
        <w:tc>
          <w:tcPr>
            <w:tcW w:w="94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562" w:type="dxa"/>
            <w:tcBorders/>
            <w:shd w:fill="FFFFFF" w:val="clear"/>
            <w:vAlign w:val="center"/>
          </w:tcPr>
          <w:p>
            <w:pPr>
              <w:pStyle w:val="TableContents"/>
              <w:spacing w:before="0" w:after="0"/>
              <w:ind w:left="0" w:right="0" w:hanging="0"/>
              <w:rPr/>
            </w:pPr>
            <w:r>
              <w:rPr/>
              <w:t> </w:t>
            </w:r>
          </w:p>
        </w:tc>
        <w:tc>
          <w:tcPr>
            <w:tcW w:w="68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30" w:type="dxa"/>
            <w:tcBorders/>
            <w:shd w:fill="FFFFFF" w:val="clear"/>
            <w:vAlign w:val="center"/>
          </w:tcPr>
          <w:p>
            <w:pPr>
              <w:pStyle w:val="TableContents"/>
              <w:spacing w:before="0" w:after="0"/>
              <w:ind w:left="0" w:right="0" w:hanging="0"/>
              <w:rPr/>
            </w:pPr>
            <w:r>
              <w:rPr/>
              <w:t> </w:t>
            </w:r>
          </w:p>
        </w:tc>
        <w:tc>
          <w:tcPr>
            <w:tcW w:w="55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15" w:type="dxa"/>
            <w:tcBorders/>
            <w:shd w:fill="FFFFFF" w:val="clear"/>
            <w:vAlign w:val="center"/>
          </w:tcPr>
          <w:p>
            <w:pPr>
              <w:pStyle w:val="TableContents"/>
              <w:spacing w:before="0" w:after="0"/>
              <w:ind w:left="0" w:right="0" w:hanging="0"/>
              <w:rPr/>
            </w:pPr>
            <w:r>
              <w:rPr/>
              <w:t> </w:t>
            </w:r>
          </w:p>
        </w:tc>
        <w:tc>
          <w:tcPr>
            <w:tcW w:w="76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2" w:type="dxa"/>
            <w:tcBorders/>
            <w:shd w:fill="FFFFFF" w:val="clear"/>
            <w:vAlign w:val="center"/>
          </w:tcPr>
          <w:p>
            <w:pPr>
              <w:pStyle w:val="TableContents"/>
              <w:spacing w:before="0" w:after="0"/>
              <w:ind w:left="0" w:right="0" w:hanging="0"/>
              <w:rPr/>
            </w:pPr>
            <w:r>
              <w:rPr/>
              <w:t> </w:t>
            </w:r>
          </w:p>
        </w:tc>
        <w:tc>
          <w:tcPr>
            <w:tcW w:w="858"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547" w:type="dxa"/>
            <w:tcBorders/>
            <w:shd w:fill="FFFFFF" w:val="clear"/>
            <w:vAlign w:val="center"/>
          </w:tcPr>
          <w:p>
            <w:pPr>
              <w:pStyle w:val="TableContents"/>
              <w:spacing w:before="0" w:after="0"/>
              <w:ind w:left="0" w:right="0" w:hanging="0"/>
              <w:rPr/>
            </w:pPr>
            <w:r>
              <w:rPr/>
              <w:t> </w:t>
            </w:r>
          </w:p>
        </w:tc>
        <w:tc>
          <w:tcPr>
            <w:tcW w:w="403"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547" w:type="dxa"/>
            <w:tcBorders/>
            <w:shd w:fill="FFFFFF" w:val="clear"/>
            <w:vAlign w:val="center"/>
          </w:tcPr>
          <w:p>
            <w:pPr>
              <w:pStyle w:val="TableContents"/>
              <w:spacing w:before="0" w:after="0"/>
              <w:ind w:left="0" w:right="0" w:hanging="0"/>
              <w:rPr/>
            </w:pPr>
            <w:r>
              <w:rPr/>
              <w:t> </w:t>
            </w:r>
          </w:p>
        </w:tc>
        <w:tc>
          <w:tcPr>
            <w:tcW w:w="403" w:type="dxa"/>
            <w:tcBorders/>
            <w:shd w:fill="FFFFFF" w:val="clear"/>
            <w:vAlign w:val="center"/>
          </w:tcPr>
          <w:p>
            <w:pPr>
              <w:pStyle w:val="TableContents"/>
              <w:spacing w:before="0" w:after="0"/>
              <w:ind w:left="0" w:right="0" w:hanging="0"/>
              <w:rPr/>
            </w:pPr>
            <w:r>
              <w:rPr/>
              <w:t> </w:t>
            </w:r>
          </w:p>
        </w:tc>
        <w:tc>
          <w:tcPr>
            <w:tcW w:w="135" w:type="dxa"/>
            <w:tcBorders/>
            <w:shd w:fill="FFFFFF" w:val="clear"/>
            <w:vAlign w:val="center"/>
          </w:tcPr>
          <w:p>
            <w:pPr>
              <w:pStyle w:val="TableContents"/>
              <w:spacing w:before="0" w:after="0"/>
              <w:ind w:left="0" w:right="0" w:hanging="0"/>
              <w:rPr/>
            </w:pPr>
            <w:r>
              <w:rPr/>
              <w:t> </w:t>
            </w:r>
          </w:p>
        </w:tc>
      </w:tr>
      <w:tr>
        <w:trPr/>
        <w:tc>
          <w:tcPr>
            <w:tcW w:w="86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Meryl S. Golden</w:t>
            </w:r>
          </w:p>
        </w:tc>
        <w:tc>
          <w:tcPr>
            <w:tcW w:w="90" w:type="dxa"/>
            <w:tcBorders/>
            <w:shd w:fill="CCEEFF" w:val="clear"/>
            <w:vAlign w:val="center"/>
          </w:tcPr>
          <w:p>
            <w:pPr>
              <w:pStyle w:val="TableContents"/>
              <w:spacing w:before="0" w:after="0"/>
              <w:ind w:left="0" w:right="0" w:hanging="0"/>
              <w:rPr/>
            </w:pPr>
            <w:r>
              <w:rPr/>
              <w:t> </w:t>
            </w:r>
          </w:p>
        </w:tc>
        <w:tc>
          <w:tcPr>
            <w:tcW w:w="137" w:type="dxa"/>
            <w:tcBorders/>
            <w:shd w:fill="CCEEFF" w:val="clear"/>
            <w:vAlign w:val="center"/>
          </w:tcPr>
          <w:p>
            <w:pPr>
              <w:pStyle w:val="TableContents"/>
              <w:spacing w:before="0" w:after="0"/>
              <w:ind w:left="0" w:right="0" w:hanging="0"/>
              <w:rPr/>
            </w:pPr>
            <w:r>
              <w:rPr/>
              <w:t> </w:t>
            </w:r>
          </w:p>
        </w:tc>
        <w:tc>
          <w:tcPr>
            <w:tcW w:w="948"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50,000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562" w:type="dxa"/>
            <w:tcBorders/>
            <w:shd w:fill="CCEEFF" w:val="clear"/>
            <w:vAlign w:val="center"/>
          </w:tcPr>
          <w:p>
            <w:pPr>
              <w:pStyle w:val="TableContents"/>
              <w:spacing w:before="0" w:after="0"/>
              <w:ind w:left="0" w:right="0" w:hanging="0"/>
              <w:rPr/>
            </w:pPr>
            <w:r>
              <w:rPr/>
              <w:t> </w:t>
            </w:r>
          </w:p>
        </w:tc>
        <w:tc>
          <w:tcPr>
            <w:tcW w:w="688"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30" w:type="dxa"/>
            <w:tcBorders/>
            <w:shd w:fill="CCEEFF" w:val="clear"/>
            <w:vAlign w:val="center"/>
          </w:tcPr>
          <w:p>
            <w:pPr>
              <w:pStyle w:val="TableContents"/>
              <w:spacing w:before="0" w:after="283"/>
              <w:rPr/>
            </w:pPr>
            <w:r>
              <w:rPr/>
              <w:t>$</w:t>
            </w:r>
          </w:p>
        </w:tc>
        <w:tc>
          <w:tcPr>
            <w:tcW w:w="555"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8.72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15" w:type="dxa"/>
            <w:tcBorders/>
            <w:shd w:fill="CCEEFF" w:val="clear"/>
            <w:vAlign w:val="center"/>
          </w:tcPr>
          <w:p>
            <w:pPr>
              <w:pStyle w:val="TableContents"/>
              <w:spacing w:before="0" w:after="283"/>
              <w:rPr>
                <w:sz w:val="4"/>
                <w:szCs w:val="4"/>
              </w:rPr>
            </w:pPr>
            <w:r>
              <w:rPr>
                <w:sz w:val="4"/>
                <w:szCs w:val="4"/>
              </w:rPr>
            </w:r>
          </w:p>
        </w:tc>
        <w:tc>
          <w:tcPr>
            <w:tcW w:w="765"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9/25/24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2" w:type="dxa"/>
            <w:tcBorders/>
            <w:shd w:fill="CCEEFF" w:val="clear"/>
            <w:vAlign w:val="center"/>
          </w:tcPr>
          <w:p>
            <w:pPr>
              <w:pStyle w:val="TableContents"/>
              <w:spacing w:before="0" w:after="0"/>
              <w:ind w:left="0" w:right="0" w:hanging="0"/>
              <w:rPr/>
            </w:pPr>
            <w:r>
              <w:rPr/>
              <w:t> </w:t>
            </w:r>
          </w:p>
        </w:tc>
        <w:tc>
          <w:tcPr>
            <w:tcW w:w="858" w:type="dxa"/>
            <w:tcBorders/>
            <w:shd w:fill="CCEEFF" w:val="clear"/>
            <w:vAlign w:val="center"/>
          </w:tcPr>
          <w:p>
            <w:pPr>
              <w:pStyle w:val="TableContents"/>
              <w:spacing w:before="0" w:after="283"/>
              <w:jc w:val="right"/>
              <w:rPr/>
            </w:pPr>
            <w:r>
              <w:rPr/>
              <w:t>51,600</w:t>
            </w:r>
          </w:p>
        </w:tc>
        <w:tc>
          <w:tcPr>
            <w:tcW w:w="245" w:type="dxa"/>
            <w:tcBorders/>
            <w:shd w:fill="CCEEFF" w:val="clear"/>
            <w:vAlign w:val="center"/>
          </w:tcPr>
          <w:p>
            <w:pPr>
              <w:pStyle w:val="TableContents"/>
              <w:spacing w:before="0" w:after="283"/>
              <w:rPr/>
            </w:pPr>
            <w:r>
              <w:rPr/>
              <w:t>(2)</w:t>
            </w:r>
          </w:p>
        </w:tc>
        <w:tc>
          <w:tcPr>
            <w:tcW w:w="90" w:type="dxa"/>
            <w:tcBorders/>
            <w:shd w:fill="CCEEFF" w:val="clear"/>
            <w:vAlign w:val="center"/>
          </w:tcPr>
          <w:p>
            <w:pPr>
              <w:pStyle w:val="TableContents"/>
              <w:spacing w:before="0" w:after="0"/>
              <w:ind w:left="0" w:right="0" w:hanging="0"/>
              <w:rPr/>
            </w:pPr>
            <w:r>
              <w:rPr/>
              <w:t> </w:t>
            </w:r>
          </w:p>
        </w:tc>
        <w:tc>
          <w:tcPr>
            <w:tcW w:w="9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547" w:type="dxa"/>
            <w:tcBorders/>
            <w:shd w:fill="CCEEFF" w:val="clear"/>
            <w:vAlign w:val="center"/>
          </w:tcPr>
          <w:p>
            <w:pPr>
              <w:pStyle w:val="TableContents"/>
              <w:spacing w:before="0" w:after="283"/>
              <w:rPr/>
            </w:pPr>
            <w:r>
              <w:rPr/>
              <w:t>$</w:t>
            </w:r>
          </w:p>
        </w:tc>
        <w:tc>
          <w:tcPr>
            <w:tcW w:w="403"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547" w:type="dxa"/>
            <w:tcBorders/>
            <w:shd w:fill="CCEEFF" w:val="clear"/>
            <w:vAlign w:val="center"/>
          </w:tcPr>
          <w:p>
            <w:pPr>
              <w:pStyle w:val="TableContents"/>
              <w:spacing w:before="0" w:after="283"/>
              <w:rPr/>
            </w:pPr>
            <w:r>
              <w:rPr/>
              <w:t>$</w:t>
            </w:r>
          </w:p>
        </w:tc>
        <w:tc>
          <w:tcPr>
            <w:tcW w:w="403" w:type="dxa"/>
            <w:tcBorders/>
            <w:shd w:fill="CCEEFF" w:val="clear"/>
            <w:vAlign w:val="center"/>
          </w:tcPr>
          <w:p>
            <w:pPr>
              <w:pStyle w:val="TableContents"/>
              <w:spacing w:before="0" w:after="283"/>
              <w:jc w:val="right"/>
              <w:rPr/>
            </w:pPr>
            <w:r>
              <w:rPr/>
              <w:t>-</w:t>
            </w:r>
          </w:p>
        </w:tc>
        <w:tc>
          <w:tcPr>
            <w:tcW w:w="135" w:type="dxa"/>
            <w:tcBorders/>
            <w:shd w:fill="CCEEFF" w:val="clear"/>
            <w:vAlign w:val="center"/>
          </w:tcPr>
          <w:p>
            <w:pPr>
              <w:pStyle w:val="TableContents"/>
              <w:spacing w:before="0" w:after="0"/>
              <w:ind w:left="0" w:right="0" w:hanging="0"/>
              <w:rPr/>
            </w:pPr>
            <w:r>
              <w:rPr/>
              <w:t> </w:t>
            </w:r>
          </w:p>
        </w:tc>
      </w:tr>
      <w:tr>
        <w:trPr/>
        <w:tc>
          <w:tcPr>
            <w:tcW w:w="86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37" w:type="dxa"/>
            <w:tcBorders/>
            <w:shd w:fill="FFFFFF" w:val="clear"/>
            <w:vAlign w:val="center"/>
          </w:tcPr>
          <w:p>
            <w:pPr>
              <w:pStyle w:val="TableContents"/>
              <w:spacing w:before="0" w:after="0"/>
              <w:ind w:left="0" w:right="0" w:hanging="0"/>
              <w:rPr/>
            </w:pPr>
            <w:r>
              <w:rPr/>
              <w:t> </w:t>
            </w:r>
          </w:p>
        </w:tc>
        <w:tc>
          <w:tcPr>
            <w:tcW w:w="94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562" w:type="dxa"/>
            <w:tcBorders/>
            <w:shd w:fill="FFFFFF" w:val="clear"/>
            <w:vAlign w:val="center"/>
          </w:tcPr>
          <w:p>
            <w:pPr>
              <w:pStyle w:val="TableContents"/>
              <w:spacing w:before="0" w:after="0"/>
              <w:ind w:left="0" w:right="0" w:hanging="0"/>
              <w:rPr/>
            </w:pPr>
            <w:r>
              <w:rPr/>
              <w:t> </w:t>
            </w:r>
          </w:p>
        </w:tc>
        <w:tc>
          <w:tcPr>
            <w:tcW w:w="68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30" w:type="dxa"/>
            <w:tcBorders/>
            <w:shd w:fill="FFFFFF" w:val="clear"/>
            <w:vAlign w:val="center"/>
          </w:tcPr>
          <w:p>
            <w:pPr>
              <w:pStyle w:val="TableContents"/>
              <w:spacing w:before="0" w:after="0"/>
              <w:ind w:left="0" w:right="0" w:hanging="0"/>
              <w:rPr/>
            </w:pPr>
            <w:r>
              <w:rPr/>
              <w:t> </w:t>
            </w:r>
          </w:p>
        </w:tc>
        <w:tc>
          <w:tcPr>
            <w:tcW w:w="55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15" w:type="dxa"/>
            <w:tcBorders/>
            <w:shd w:fill="FFFFFF" w:val="clear"/>
            <w:vAlign w:val="center"/>
          </w:tcPr>
          <w:p>
            <w:pPr>
              <w:pStyle w:val="TableContents"/>
              <w:spacing w:before="0" w:after="0"/>
              <w:ind w:left="0" w:right="0" w:hanging="0"/>
              <w:rPr/>
            </w:pPr>
            <w:r>
              <w:rPr/>
              <w:t> </w:t>
            </w:r>
          </w:p>
        </w:tc>
        <w:tc>
          <w:tcPr>
            <w:tcW w:w="76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2" w:type="dxa"/>
            <w:tcBorders/>
            <w:shd w:fill="FFFFFF" w:val="clear"/>
            <w:vAlign w:val="center"/>
          </w:tcPr>
          <w:p>
            <w:pPr>
              <w:pStyle w:val="TableContents"/>
              <w:spacing w:before="0" w:after="0"/>
              <w:ind w:left="0" w:right="0" w:hanging="0"/>
              <w:rPr/>
            </w:pPr>
            <w:r>
              <w:rPr/>
              <w:t> </w:t>
            </w:r>
          </w:p>
        </w:tc>
        <w:tc>
          <w:tcPr>
            <w:tcW w:w="858"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547" w:type="dxa"/>
            <w:tcBorders/>
            <w:shd w:fill="FFFFFF" w:val="clear"/>
            <w:vAlign w:val="center"/>
          </w:tcPr>
          <w:p>
            <w:pPr>
              <w:pStyle w:val="TableContents"/>
              <w:spacing w:before="0" w:after="0"/>
              <w:ind w:left="0" w:right="0" w:hanging="0"/>
              <w:rPr/>
            </w:pPr>
            <w:r>
              <w:rPr/>
              <w:t> </w:t>
            </w:r>
          </w:p>
        </w:tc>
        <w:tc>
          <w:tcPr>
            <w:tcW w:w="403"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547" w:type="dxa"/>
            <w:tcBorders/>
            <w:shd w:fill="FFFFFF" w:val="clear"/>
            <w:vAlign w:val="center"/>
          </w:tcPr>
          <w:p>
            <w:pPr>
              <w:pStyle w:val="TableContents"/>
              <w:spacing w:before="0" w:after="0"/>
              <w:ind w:left="0" w:right="0" w:hanging="0"/>
              <w:rPr/>
            </w:pPr>
            <w:r>
              <w:rPr/>
              <w:t> </w:t>
            </w:r>
          </w:p>
        </w:tc>
        <w:tc>
          <w:tcPr>
            <w:tcW w:w="403" w:type="dxa"/>
            <w:tcBorders/>
            <w:shd w:fill="FFFFFF" w:val="clear"/>
            <w:vAlign w:val="center"/>
          </w:tcPr>
          <w:p>
            <w:pPr>
              <w:pStyle w:val="TableContents"/>
              <w:spacing w:before="0" w:after="0"/>
              <w:ind w:left="0" w:right="0" w:hanging="0"/>
              <w:rPr/>
            </w:pPr>
            <w:r>
              <w:rPr/>
              <w:t> </w:t>
            </w:r>
          </w:p>
        </w:tc>
        <w:tc>
          <w:tcPr>
            <w:tcW w:w="135" w:type="dxa"/>
            <w:tcBorders/>
            <w:shd w:fill="FFFFFF" w:val="clear"/>
            <w:vAlign w:val="center"/>
          </w:tcPr>
          <w:p>
            <w:pPr>
              <w:pStyle w:val="TableContents"/>
              <w:spacing w:before="0" w:after="0"/>
              <w:ind w:left="0" w:right="0" w:hanging="0"/>
              <w:rPr/>
            </w:pPr>
            <w:r>
              <w:rPr/>
              <w:t> </w:t>
            </w:r>
          </w:p>
        </w:tc>
      </w:tr>
      <w:tr>
        <w:trPr/>
        <w:tc>
          <w:tcPr>
            <w:tcW w:w="86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Sarah (Minlei) Chen</w:t>
            </w:r>
          </w:p>
        </w:tc>
        <w:tc>
          <w:tcPr>
            <w:tcW w:w="90" w:type="dxa"/>
            <w:tcBorders/>
            <w:shd w:fill="CCEEFF" w:val="clear"/>
            <w:vAlign w:val="center"/>
          </w:tcPr>
          <w:p>
            <w:pPr>
              <w:pStyle w:val="TableContents"/>
              <w:spacing w:before="0" w:after="0"/>
              <w:ind w:left="0" w:right="0" w:hanging="0"/>
              <w:rPr/>
            </w:pPr>
            <w:r>
              <w:rPr/>
              <w:t> </w:t>
            </w:r>
          </w:p>
        </w:tc>
        <w:tc>
          <w:tcPr>
            <w:tcW w:w="137" w:type="dxa"/>
            <w:tcBorders/>
            <w:shd w:fill="CCEEFF" w:val="clear"/>
            <w:vAlign w:val="center"/>
          </w:tcPr>
          <w:p>
            <w:pPr>
              <w:pStyle w:val="TableContents"/>
              <w:spacing w:before="0" w:after="0"/>
              <w:ind w:left="0" w:right="0" w:hanging="0"/>
              <w:rPr/>
            </w:pPr>
            <w:r>
              <w:rPr/>
              <w:t> </w:t>
            </w:r>
          </w:p>
        </w:tc>
        <w:tc>
          <w:tcPr>
            <w:tcW w:w="948"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562" w:type="dxa"/>
            <w:tcBorders/>
            <w:shd w:fill="CCEEFF" w:val="clear"/>
            <w:vAlign w:val="center"/>
          </w:tcPr>
          <w:p>
            <w:pPr>
              <w:pStyle w:val="TableContents"/>
              <w:spacing w:before="0" w:after="0"/>
              <w:ind w:left="0" w:right="0" w:hanging="0"/>
              <w:rPr/>
            </w:pPr>
            <w:r>
              <w:rPr/>
              <w:t> </w:t>
            </w:r>
          </w:p>
        </w:tc>
        <w:tc>
          <w:tcPr>
            <w:tcW w:w="688"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30" w:type="dxa"/>
            <w:tcBorders/>
            <w:shd w:fill="CCEEFF" w:val="clear"/>
            <w:vAlign w:val="center"/>
          </w:tcPr>
          <w:p>
            <w:pPr>
              <w:pStyle w:val="TableContents"/>
              <w:spacing w:before="0" w:after="0"/>
              <w:ind w:left="0" w:right="0" w:hanging="0"/>
              <w:rPr/>
            </w:pPr>
            <w:r>
              <w:rPr/>
              <w:t> </w:t>
            </w:r>
          </w:p>
        </w:tc>
        <w:tc>
          <w:tcPr>
            <w:tcW w:w="555"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15" w:type="dxa"/>
            <w:tcBorders/>
            <w:shd w:fill="CCEEFF" w:val="clear"/>
            <w:vAlign w:val="center"/>
          </w:tcPr>
          <w:p>
            <w:pPr>
              <w:pStyle w:val="TableContents"/>
              <w:spacing w:before="0" w:after="0"/>
              <w:ind w:left="0" w:right="0" w:hanging="0"/>
              <w:rPr/>
            </w:pPr>
            <w:r>
              <w:rPr/>
              <w:t> </w:t>
            </w:r>
          </w:p>
        </w:tc>
        <w:tc>
          <w:tcPr>
            <w:tcW w:w="765"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2" w:type="dxa"/>
            <w:tcBorders/>
            <w:shd w:fill="CCEEFF" w:val="clear"/>
            <w:vAlign w:val="center"/>
          </w:tcPr>
          <w:p>
            <w:pPr>
              <w:pStyle w:val="TableContents"/>
              <w:spacing w:before="0" w:after="0"/>
              <w:ind w:left="0" w:right="0" w:hanging="0"/>
              <w:rPr/>
            </w:pPr>
            <w:r>
              <w:rPr/>
              <w:t> </w:t>
            </w:r>
          </w:p>
        </w:tc>
        <w:tc>
          <w:tcPr>
            <w:tcW w:w="858" w:type="dxa"/>
            <w:tcBorders/>
            <w:shd w:fill="CCEEFF" w:val="clear"/>
            <w:vAlign w:val="center"/>
          </w:tcPr>
          <w:p>
            <w:pPr>
              <w:pStyle w:val="TableContents"/>
              <w:spacing w:before="0" w:after="283"/>
              <w:jc w:val="right"/>
              <w:rPr/>
            </w:pPr>
            <w:r>
              <w:rPr/>
              <w:t>5,413</w:t>
            </w:r>
          </w:p>
        </w:tc>
        <w:tc>
          <w:tcPr>
            <w:tcW w:w="245" w:type="dxa"/>
            <w:tcBorders/>
            <w:shd w:fill="CCEEFF" w:val="clear"/>
            <w:vAlign w:val="center"/>
          </w:tcPr>
          <w:p>
            <w:pPr>
              <w:pStyle w:val="TableContents"/>
              <w:spacing w:before="0" w:after="283"/>
              <w:rPr/>
            </w:pPr>
            <w:r>
              <w:rPr/>
              <w:t>(3)</w:t>
            </w:r>
          </w:p>
        </w:tc>
        <w:tc>
          <w:tcPr>
            <w:tcW w:w="90" w:type="dxa"/>
            <w:tcBorders/>
            <w:shd w:fill="CCEEFF" w:val="clear"/>
            <w:vAlign w:val="center"/>
          </w:tcPr>
          <w:p>
            <w:pPr>
              <w:pStyle w:val="TableContents"/>
              <w:spacing w:before="0" w:after="0"/>
              <w:ind w:left="0" w:right="0" w:hanging="0"/>
              <w:rPr/>
            </w:pPr>
            <w:r>
              <w:rPr/>
              <w:t> </w:t>
            </w:r>
          </w:p>
        </w:tc>
        <w:tc>
          <w:tcPr>
            <w:tcW w:w="9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547" w:type="dxa"/>
            <w:tcBorders/>
            <w:shd w:fill="CCEEFF" w:val="clear"/>
            <w:vAlign w:val="center"/>
          </w:tcPr>
          <w:p>
            <w:pPr>
              <w:pStyle w:val="TableContents"/>
              <w:spacing w:before="0" w:after="283"/>
              <w:rPr/>
            </w:pPr>
            <w:r>
              <w:rPr/>
              <w:t>$</w:t>
            </w:r>
          </w:p>
        </w:tc>
        <w:tc>
          <w:tcPr>
            <w:tcW w:w="403"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547" w:type="dxa"/>
            <w:tcBorders/>
            <w:shd w:fill="CCEEFF" w:val="clear"/>
            <w:vAlign w:val="center"/>
          </w:tcPr>
          <w:p>
            <w:pPr>
              <w:pStyle w:val="TableContents"/>
              <w:spacing w:before="0" w:after="283"/>
              <w:rPr/>
            </w:pPr>
            <w:r>
              <w:rPr/>
              <w:t>$</w:t>
            </w:r>
          </w:p>
        </w:tc>
        <w:tc>
          <w:tcPr>
            <w:tcW w:w="403" w:type="dxa"/>
            <w:tcBorders/>
            <w:shd w:fill="CCEEFF" w:val="clear"/>
            <w:vAlign w:val="center"/>
          </w:tcPr>
          <w:p>
            <w:pPr>
              <w:pStyle w:val="TableContents"/>
              <w:spacing w:before="0" w:after="283"/>
              <w:jc w:val="right"/>
              <w:rPr/>
            </w:pPr>
            <w:r>
              <w:rPr/>
              <w:t>-</w:t>
            </w:r>
          </w:p>
        </w:tc>
        <w:tc>
          <w:tcPr>
            <w:tcW w:w="135"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___________________________</w:t>
      </w:r>
    </w:p>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105"/>
        <w:gridCol w:w="241"/>
        <w:gridCol w:w="9859"/>
      </w:tblGrid>
      <w:tr>
        <w:trPr/>
        <w:tc>
          <w:tcPr>
            <w:tcW w:w="105" w:type="dxa"/>
            <w:tcBorders/>
            <w:shd w:fill="auto" w:val="clear"/>
            <w:vAlign w:val="center"/>
          </w:tcPr>
          <w:p>
            <w:pPr>
              <w:pStyle w:val="TableContents"/>
              <w:spacing w:before="0" w:after="0"/>
              <w:ind w:left="0" w:right="0" w:hanging="0"/>
              <w:rPr/>
            </w:pPr>
            <w:r>
              <w:rPr/>
              <w:t> </w:t>
            </w:r>
          </w:p>
        </w:tc>
        <w:tc>
          <w:tcPr>
            <w:tcW w:w="24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(1)</w:t>
            </w:r>
          </w:p>
        </w:tc>
        <w:tc>
          <w:tcPr>
            <w:tcW w:w="9859"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Such shares will vest to the extent of 105,696 shares on December 29, 2023 and 105,695 shares on December 30, 2024.</w:t>
            </w:r>
          </w:p>
        </w:tc>
      </w:tr>
      <w:tr>
        <w:trPr/>
        <w:tc>
          <w:tcPr>
            <w:tcW w:w="105" w:type="dxa"/>
            <w:tcBorders/>
            <w:shd w:fill="auto" w:val="clear"/>
            <w:vAlign w:val="center"/>
          </w:tcPr>
          <w:p>
            <w:pPr>
              <w:pStyle w:val="TableContents"/>
              <w:spacing w:before="0" w:after="0"/>
              <w:ind w:left="0" w:right="0" w:hanging="0"/>
              <w:rPr/>
            </w:pPr>
            <w:r>
              <w:rPr/>
              <w:t> </w:t>
            </w:r>
          </w:p>
        </w:tc>
        <w:tc>
          <w:tcPr>
            <w:tcW w:w="241" w:type="dxa"/>
            <w:tcBorders/>
            <w:shd w:fill="auto" w:val="clear"/>
            <w:vAlign w:val="center"/>
          </w:tcPr>
          <w:p>
            <w:pPr>
              <w:pStyle w:val="TableContents"/>
              <w:spacing w:before="0" w:after="0"/>
              <w:ind w:left="0" w:right="0" w:hanging="0"/>
              <w:jc w:val="center"/>
              <w:rPr/>
            </w:pPr>
            <w:r>
              <w:rPr/>
              <w:t> </w:t>
            </w:r>
          </w:p>
        </w:tc>
        <w:tc>
          <w:tcPr>
            <w:tcW w:w="9859"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24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(2)</w:t>
            </w:r>
          </w:p>
          <w:p>
            <w:pPr>
              <w:pStyle w:val="TableContents"/>
              <w:spacing w:before="0" w:after="0"/>
              <w:ind w:left="0" w:right="0" w:hanging="0"/>
              <w:rPr/>
            </w:pPr>
            <w:r>
              <w:rPr/>
              <w:t> </w:t>
            </w:r>
          </w:p>
        </w:tc>
        <w:tc>
          <w:tcPr>
            <w:tcW w:w="9859"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Such shares vested to the extent of 10,000 shares on each of January 3, 2023 and January 4, 2023, and will vest to the extent of 10,000 shares on each of January 3, 2024, January 4, 2024 and January 3, 2025 and 800 shares on each of December 13, 2023 and 2024.</w:t>
            </w:r>
          </w:p>
        </w:tc>
      </w:tr>
      <w:tr>
        <w:trPr/>
        <w:tc>
          <w:tcPr>
            <w:tcW w:w="105" w:type="dxa"/>
            <w:tcBorders/>
            <w:shd w:fill="auto" w:val="clear"/>
            <w:vAlign w:val="center"/>
          </w:tcPr>
          <w:p>
            <w:pPr>
              <w:pStyle w:val="TableContents"/>
              <w:spacing w:before="0" w:after="0"/>
              <w:ind w:left="0" w:right="0" w:hanging="0"/>
              <w:rPr/>
            </w:pPr>
            <w:r>
              <w:rPr/>
              <w:t> </w:t>
            </w:r>
          </w:p>
        </w:tc>
        <w:tc>
          <w:tcPr>
            <w:tcW w:w="241" w:type="dxa"/>
            <w:tcBorders/>
            <w:shd w:fill="auto" w:val="clear"/>
            <w:vAlign w:val="center"/>
          </w:tcPr>
          <w:p>
            <w:pPr>
              <w:pStyle w:val="TableContents"/>
              <w:spacing w:before="0" w:after="0"/>
              <w:ind w:left="0" w:right="0" w:hanging="0"/>
              <w:jc w:val="center"/>
              <w:rPr/>
            </w:pPr>
            <w:r>
              <w:rPr/>
              <w:t> </w:t>
            </w:r>
          </w:p>
        </w:tc>
        <w:tc>
          <w:tcPr>
            <w:tcW w:w="9859"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24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(3)</w:t>
            </w:r>
          </w:p>
          <w:p>
            <w:pPr>
              <w:pStyle w:val="TableContents"/>
              <w:spacing w:before="0" w:after="0"/>
              <w:ind w:left="0" w:right="0" w:hanging="0"/>
              <w:rPr/>
            </w:pPr>
            <w:r>
              <w:rPr/>
              <w:t> </w:t>
            </w:r>
          </w:p>
        </w:tc>
        <w:tc>
          <w:tcPr>
            <w:tcW w:w="9859"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Such shares vested to the extent of 1,191 shares on January 28, 2023, and will vest to the extent of 1,432 shares on November 2, 2023, 1,190 shares on January 28, 2024, and 800 shares on each of December 13, 2023 and 2024.</w:t>
            </w:r>
          </w:p>
        </w:tc>
      </w:tr>
    </w:tbl>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69</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firstLine="720"/>
        <w:jc w:val="both"/>
        <w:rPr/>
      </w:pPr>
      <w:r>
        <w:rPr>
          <w:rStyle w:val="Emphasis"/>
          <w:rFonts w:ascii="times new roman" w:hAnsi="times new roman"/>
          <w:sz w:val="20"/>
        </w:rPr>
        <w:t>Termination of Employment and Change-in-Control Arrangements</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Barry B. Goldstein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Pursuant to the Third Amended Goldstein Employment Agreement, in the event that Mr. Goldstein’s employment is terminated by us without cause, or he resigns for good reason (each as defined in each such employment agreement), Mr. Goldstein would be entitled to receive his annual base salary and bonus for the remainder of the term. In addition, in the event that Mr. Goldstein’s employment is terminated by us for any reason, or he resigns for any reason, or, in the event of the termination of Mr. Goldstein’s employment due to disability or death, Mr. Goldstein’s granted but unvested restricted stock awards will vest.</w:t>
      </w:r>
    </w:p>
    <w:p>
      <w:pPr>
        <w:pStyle w:val="TextBody"/>
        <w:spacing w:before="0" w:after="0"/>
        <w:ind w:left="0" w:right="0" w:hanging="0"/>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Pursuant to the Third Amended Goldstein Employment Agreement, Mr. Goldstein would be entitled to receive, under certain circumstances, a payment equal to 1.5 times his then annual base salary and his accrued bonus in the event of the termination of his employment within eighteen months following a change of control of our company. In addition, pursuant to the 2014 Plan, Mr. Goldstein’s unvested restricted stock awards will vest in the event of a change of control of our company.</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Meryl S. Golden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Pursuant to the Second Amended Golden Employment Agreement, in the event that Ms. Golden’s employment is terminated by us without cause, or she resigns for good reason (each as defined in the Second Amended Golden Employment Agreement), Ms. Golden would be entitled to receive her annual base salary for the remainder of the term or for twelve months, whichever is later. In addition, pursuant to the 2014 Plan, in the event of a termination of employment due to the death or disability of Ms. Golden, the stock grants scheduled to vest on the next vesting date following such event shall vest under certain circumstances notwithstanding such event. Further, in the event that Ms. Golden’s employment is terminated by us without cause, or she resigns for good reason, Ms. Golden’s granted but unvested restricted stock awards will vest.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Ms. Golden would be entitled to receive, under certain circumstances, a payment equal to 1.5 times her then annual base salary and her accrued bonus in the event of the termination of her employment within eighteen months following a change in control of our company. In addition, pursuant to the 2014 Plan, Ms. Golden’s outstanding restricted stock awards will vest in the event of a change of control of our company.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Sarah (Minlei) Chen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Pursuant to the 2014 Plan, in the event of a termination of employment due to the death or disability of Ms. Chen, the stock grants scheduled to vest on the next vesting date following such event shall vest under certain circumstances notwithstanding such event. In addition, pursuant to the 2014 Plan, Ms. Chen’s outstanding restricted stock awards will vest in the event of a change of control of our company.</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70</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firstLine="720"/>
        <w:jc w:val="both"/>
        <w:rPr/>
      </w:pPr>
      <w:r>
        <w:rPr>
          <w:rStyle w:val="Emphasis"/>
          <w:rFonts w:ascii="times new roman" w:hAnsi="times new roman"/>
          <w:sz w:val="20"/>
        </w:rPr>
        <w:t>Compensation of Directors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sets forth certain information concerning the compensation of our non-employee directors for the fiscal year ended December 31, 2022:</w:t>
      </w:r>
    </w:p>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DIRECTOR COMPENSATION</w:t>
      </w:r>
    </w:p>
    <w:p>
      <w:pPr>
        <w:pStyle w:val="TextBody"/>
        <w:spacing w:before="0" w:after="0"/>
        <w:ind w:left="0" w:right="0" w:hanging="0"/>
        <w:jc w:val="both"/>
        <w:rPr/>
      </w:pPr>
      <w:r>
        <w:rPr/>
        <w:t> </w:t>
      </w:r>
    </w:p>
    <w:tbl>
      <w:tblPr>
        <w:tblW w:w="7737" w:type="dxa"/>
        <w:jc w:val="left"/>
        <w:tblInd w:w="0" w:type="dxa"/>
        <w:tblCellMar>
          <w:top w:w="0" w:type="dxa"/>
          <w:left w:w="0" w:type="dxa"/>
          <w:bottom w:w="28" w:type="dxa"/>
          <w:right w:w="0" w:type="dxa"/>
        </w:tblCellMar>
      </w:tblPr>
      <w:tblGrid>
        <w:gridCol w:w="1880"/>
        <w:gridCol w:w="90"/>
        <w:gridCol w:w="258"/>
        <w:gridCol w:w="1081"/>
        <w:gridCol w:w="90"/>
        <w:gridCol w:w="90"/>
        <w:gridCol w:w="276"/>
        <w:gridCol w:w="1153"/>
        <w:gridCol w:w="90"/>
        <w:gridCol w:w="90"/>
        <w:gridCol w:w="762"/>
        <w:gridCol w:w="562"/>
        <w:gridCol w:w="90"/>
        <w:gridCol w:w="90"/>
        <w:gridCol w:w="170"/>
        <w:gridCol w:w="830"/>
        <w:gridCol w:w="135"/>
      </w:tblGrid>
      <w:tr>
        <w:trPr/>
        <w:tc>
          <w:tcPr>
            <w:tcW w:w="1880" w:type="dxa"/>
            <w:tcBorders>
              <w:bottom w:val="single" w:sz="2" w:space="0" w:color="000000"/>
            </w:tcBorders>
            <w:shd w:fill="auto" w:val="clear"/>
            <w:vAlign w:val="center"/>
          </w:tcPr>
          <w:p>
            <w:pPr>
              <w:pStyle w:val="TableContents"/>
              <w:spacing w:before="0" w:after="0"/>
              <w:ind w:left="0" w:right="0" w:hanging="0"/>
              <w:rPr/>
            </w:pPr>
            <w:r>
              <w:rPr>
                <w:rStyle w:val="StrongEmphasis"/>
                <w:rFonts w:ascii="times new roman" w:hAnsi="times new roman"/>
                <w:sz w:val="20"/>
              </w:rPr>
              <w:t>Name</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339"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Fees Earned or</w:t>
            </w:r>
          </w:p>
          <w:p>
            <w:pPr>
              <w:pStyle w:val="TableContents"/>
              <w:spacing w:before="0" w:after="0"/>
              <w:ind w:left="0" w:right="0" w:hanging="0"/>
              <w:jc w:val="center"/>
              <w:rPr/>
            </w:pPr>
            <w:r>
              <w:rPr>
                <w:rStyle w:val="StrongEmphasis"/>
                <w:rFonts w:ascii="times new roman" w:hAnsi="times new roman"/>
                <w:sz w:val="20"/>
              </w:rPr>
              <w:t>Paid in Cash</w:t>
            </w:r>
          </w:p>
        </w:tc>
        <w:tc>
          <w:tcPr>
            <w:tcW w:w="90"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429"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Stock Awards(1)</w:t>
            </w:r>
          </w:p>
        </w:tc>
        <w:tc>
          <w:tcPr>
            <w:tcW w:w="90"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324"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Option Awards</w:t>
            </w:r>
          </w:p>
        </w:tc>
        <w:tc>
          <w:tcPr>
            <w:tcW w:w="90"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000"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Total</w:t>
            </w:r>
          </w:p>
        </w:tc>
        <w:tc>
          <w:tcPr>
            <w:tcW w:w="135" w:type="dxa"/>
            <w:tcBorders/>
            <w:shd w:fill="auto" w:val="clear"/>
            <w:tcMar>
              <w:bottom w:w="0" w:type="dxa"/>
            </w:tcMar>
            <w:vAlign w:val="center"/>
          </w:tcPr>
          <w:p>
            <w:pPr>
              <w:pStyle w:val="TableContents"/>
              <w:spacing w:before="0" w:after="0"/>
              <w:ind w:left="0" w:right="0" w:hanging="0"/>
              <w:rPr/>
            </w:pPr>
            <w:r>
              <w:rPr/>
              <w:t> </w:t>
            </w:r>
          </w:p>
        </w:tc>
      </w:tr>
      <w:tr>
        <w:trPr/>
        <w:tc>
          <w:tcPr>
            <w:tcW w:w="1880"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339" w:type="dxa"/>
            <w:gridSpan w:val="2"/>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429" w:type="dxa"/>
            <w:gridSpan w:val="2"/>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324" w:type="dxa"/>
            <w:gridSpan w:val="2"/>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000" w:type="dxa"/>
            <w:gridSpan w:val="2"/>
            <w:tcBorders/>
            <w:shd w:fill="auto" w:val="clear"/>
            <w:tcMar>
              <w:bottom w:w="0" w:type="dxa"/>
            </w:tcMar>
            <w:vAlign w:val="center"/>
          </w:tcPr>
          <w:p>
            <w:pPr>
              <w:pStyle w:val="TableContents"/>
              <w:spacing w:before="0" w:after="0"/>
              <w:ind w:left="0" w:right="0" w:hanging="0"/>
              <w:rPr/>
            </w:pPr>
            <w:r>
              <w:rPr/>
              <w:t> </w:t>
            </w:r>
          </w:p>
        </w:tc>
        <w:tc>
          <w:tcPr>
            <w:tcW w:w="135" w:type="dxa"/>
            <w:tcBorders/>
            <w:shd w:fill="auto" w:val="clear"/>
            <w:tcMar>
              <w:bottom w:w="0" w:type="dxa"/>
            </w:tcMar>
            <w:vAlign w:val="center"/>
          </w:tcPr>
          <w:p>
            <w:pPr>
              <w:pStyle w:val="TableContents"/>
              <w:spacing w:before="0" w:after="0"/>
              <w:ind w:left="0" w:right="0" w:hanging="0"/>
              <w:rPr/>
            </w:pPr>
            <w:r>
              <w:rPr/>
              <w:t> </w:t>
            </w:r>
          </w:p>
        </w:tc>
      </w:tr>
      <w:tr>
        <w:trPr/>
        <w:tc>
          <w:tcPr>
            <w:tcW w:w="1880"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William L. Yankus</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258" w:type="dxa"/>
            <w:tcBorders/>
            <w:shd w:fill="CCEEFF" w:val="clear"/>
            <w:tcMar>
              <w:bottom w:w="0" w:type="dxa"/>
            </w:tcMar>
            <w:vAlign w:val="center"/>
          </w:tcPr>
          <w:p>
            <w:pPr>
              <w:pStyle w:val="TableContents"/>
              <w:spacing w:before="0" w:after="283"/>
              <w:rPr/>
            </w:pPr>
            <w:r>
              <w:rPr/>
              <w:t>$</w:t>
            </w:r>
          </w:p>
        </w:tc>
        <w:tc>
          <w:tcPr>
            <w:tcW w:w="1081" w:type="dxa"/>
            <w:tcBorders/>
            <w:shd w:fill="CCEEFF" w:val="clear"/>
            <w:tcMar>
              <w:bottom w:w="0" w:type="dxa"/>
            </w:tcMar>
            <w:vAlign w:val="center"/>
          </w:tcPr>
          <w:p>
            <w:pPr>
              <w:pStyle w:val="TableContents"/>
              <w:spacing w:before="0" w:after="283"/>
              <w:jc w:val="right"/>
              <w:rPr/>
            </w:pPr>
            <w:r>
              <w:rPr/>
              <w:t>83,000</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276" w:type="dxa"/>
            <w:tcBorders/>
            <w:shd w:fill="CCEEFF" w:val="clear"/>
            <w:tcMar>
              <w:bottom w:w="0" w:type="dxa"/>
            </w:tcMar>
            <w:vAlign w:val="center"/>
          </w:tcPr>
          <w:p>
            <w:pPr>
              <w:pStyle w:val="TableContents"/>
              <w:spacing w:before="0" w:after="283"/>
              <w:rPr/>
            </w:pPr>
            <w:r>
              <w:rPr/>
              <w:t>$</w:t>
            </w:r>
          </w:p>
        </w:tc>
        <w:tc>
          <w:tcPr>
            <w:tcW w:w="1153" w:type="dxa"/>
            <w:tcBorders/>
            <w:shd w:fill="CCEEFF" w:val="clear"/>
            <w:tcMar>
              <w:bottom w:w="0" w:type="dxa"/>
            </w:tcMar>
            <w:vAlign w:val="center"/>
          </w:tcPr>
          <w:p>
            <w:pPr>
              <w:pStyle w:val="TableContents"/>
              <w:spacing w:before="0" w:after="283"/>
              <w:jc w:val="right"/>
              <w:rPr/>
            </w:pPr>
            <w:r>
              <w:rPr/>
              <w:t>40,000</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62" w:type="dxa"/>
            <w:tcBorders/>
            <w:shd w:fill="CCEEFF" w:val="clear"/>
            <w:tcMar>
              <w:bottom w:w="0" w:type="dxa"/>
            </w:tcMar>
            <w:vAlign w:val="center"/>
          </w:tcPr>
          <w:p>
            <w:pPr>
              <w:pStyle w:val="TableContents"/>
              <w:spacing w:before="0" w:after="283"/>
              <w:rPr/>
            </w:pPr>
            <w:r>
              <w:rPr/>
              <w:t>$</w:t>
            </w:r>
          </w:p>
        </w:tc>
        <w:tc>
          <w:tcPr>
            <w:tcW w:w="562" w:type="dxa"/>
            <w:tcBorders/>
            <w:shd w:fill="CCEEFF" w:val="clear"/>
            <w:tcMar>
              <w:bottom w:w="0" w:type="dxa"/>
            </w:tcMar>
            <w:vAlign w:val="center"/>
          </w:tcPr>
          <w:p>
            <w:pPr>
              <w:pStyle w:val="TableContents"/>
              <w:spacing w:before="0" w:after="283"/>
              <w:jc w:val="right"/>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283"/>
              <w:rPr/>
            </w:pPr>
            <w:r>
              <w:rPr/>
              <w:t>$</w:t>
            </w:r>
          </w:p>
        </w:tc>
        <w:tc>
          <w:tcPr>
            <w:tcW w:w="830" w:type="dxa"/>
            <w:tcBorders/>
            <w:shd w:fill="CCEEFF" w:val="clear"/>
            <w:tcMar>
              <w:bottom w:w="0" w:type="dxa"/>
            </w:tcMar>
            <w:vAlign w:val="center"/>
          </w:tcPr>
          <w:p>
            <w:pPr>
              <w:pStyle w:val="TableContents"/>
              <w:spacing w:before="0" w:after="283"/>
              <w:jc w:val="right"/>
              <w:rPr/>
            </w:pPr>
            <w:r>
              <w:rPr/>
              <w:t>123,000</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1880" w:type="dxa"/>
            <w:tcBorders/>
            <w:shd w:fill="FFFF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Floyd R. Tupper</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258" w:type="dxa"/>
            <w:tcBorders/>
            <w:shd w:fill="FFFFFF" w:val="clear"/>
            <w:tcMar>
              <w:bottom w:w="0" w:type="dxa"/>
            </w:tcMar>
            <w:vAlign w:val="center"/>
          </w:tcPr>
          <w:p>
            <w:pPr>
              <w:pStyle w:val="TableContents"/>
              <w:spacing w:before="0" w:after="283"/>
              <w:rPr/>
            </w:pPr>
            <w:r>
              <w:rPr/>
              <w:t>$</w:t>
            </w:r>
          </w:p>
        </w:tc>
        <w:tc>
          <w:tcPr>
            <w:tcW w:w="1081" w:type="dxa"/>
            <w:tcBorders/>
            <w:shd w:fill="FFFFFF" w:val="clear"/>
            <w:tcMar>
              <w:bottom w:w="0" w:type="dxa"/>
            </w:tcMar>
            <w:vAlign w:val="center"/>
          </w:tcPr>
          <w:p>
            <w:pPr>
              <w:pStyle w:val="TableContents"/>
              <w:spacing w:before="0" w:after="283"/>
              <w:jc w:val="right"/>
              <w:rPr/>
            </w:pPr>
            <w:r>
              <w:rPr/>
              <w:t>88,000</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276" w:type="dxa"/>
            <w:tcBorders/>
            <w:shd w:fill="FFFFFF" w:val="clear"/>
            <w:tcMar>
              <w:bottom w:w="0" w:type="dxa"/>
            </w:tcMar>
            <w:vAlign w:val="center"/>
          </w:tcPr>
          <w:p>
            <w:pPr>
              <w:pStyle w:val="TableContents"/>
              <w:spacing w:before="0" w:after="283"/>
              <w:rPr/>
            </w:pPr>
            <w:r>
              <w:rPr/>
              <w:t>$</w:t>
            </w:r>
          </w:p>
        </w:tc>
        <w:tc>
          <w:tcPr>
            <w:tcW w:w="1153" w:type="dxa"/>
            <w:tcBorders/>
            <w:shd w:fill="FFFFFF" w:val="clear"/>
            <w:tcMar>
              <w:bottom w:w="0" w:type="dxa"/>
            </w:tcMar>
            <w:vAlign w:val="center"/>
          </w:tcPr>
          <w:p>
            <w:pPr>
              <w:pStyle w:val="TableContents"/>
              <w:spacing w:before="0" w:after="283"/>
              <w:jc w:val="right"/>
              <w:rPr/>
            </w:pPr>
            <w:r>
              <w:rPr/>
              <w:t>40,000</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62" w:type="dxa"/>
            <w:tcBorders/>
            <w:shd w:fill="FFFFFF" w:val="clear"/>
            <w:tcMar>
              <w:bottom w:w="0" w:type="dxa"/>
            </w:tcMar>
            <w:vAlign w:val="center"/>
          </w:tcPr>
          <w:p>
            <w:pPr>
              <w:pStyle w:val="TableContents"/>
              <w:spacing w:before="0" w:after="283"/>
              <w:rPr/>
            </w:pPr>
            <w:r>
              <w:rPr/>
              <w:t>$</w:t>
            </w:r>
          </w:p>
        </w:tc>
        <w:tc>
          <w:tcPr>
            <w:tcW w:w="562" w:type="dxa"/>
            <w:tcBorders/>
            <w:shd w:fill="FFFFFF" w:val="clear"/>
            <w:tcMar>
              <w:bottom w:w="0" w:type="dxa"/>
            </w:tcMar>
            <w:vAlign w:val="center"/>
          </w:tcPr>
          <w:p>
            <w:pPr>
              <w:pStyle w:val="TableContents"/>
              <w:spacing w:before="0" w:after="283"/>
              <w:jc w:val="right"/>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283"/>
              <w:rPr/>
            </w:pPr>
            <w:r>
              <w:rPr/>
              <w:t>$</w:t>
            </w:r>
          </w:p>
        </w:tc>
        <w:tc>
          <w:tcPr>
            <w:tcW w:w="830" w:type="dxa"/>
            <w:tcBorders/>
            <w:shd w:fill="FFFFFF" w:val="clear"/>
            <w:tcMar>
              <w:bottom w:w="0" w:type="dxa"/>
            </w:tcMar>
            <w:vAlign w:val="center"/>
          </w:tcPr>
          <w:p>
            <w:pPr>
              <w:pStyle w:val="TableContents"/>
              <w:spacing w:before="0" w:after="283"/>
              <w:jc w:val="right"/>
              <w:rPr/>
            </w:pPr>
            <w:r>
              <w:rPr/>
              <w:t>128,000</w:t>
            </w:r>
          </w:p>
        </w:tc>
        <w:tc>
          <w:tcPr>
            <w:tcW w:w="135" w:type="dxa"/>
            <w:tcBorders/>
            <w:shd w:fill="FFFFFF" w:val="clear"/>
            <w:tcMar>
              <w:bottom w:w="0" w:type="dxa"/>
            </w:tcMar>
            <w:vAlign w:val="center"/>
          </w:tcPr>
          <w:p>
            <w:pPr>
              <w:pStyle w:val="TableContents"/>
              <w:spacing w:before="0" w:after="0"/>
              <w:ind w:left="0" w:right="0" w:hanging="0"/>
              <w:rPr/>
            </w:pPr>
            <w:r>
              <w:rPr/>
              <w:t> </w:t>
            </w:r>
          </w:p>
        </w:tc>
      </w:tr>
      <w:tr>
        <w:trPr/>
        <w:tc>
          <w:tcPr>
            <w:tcW w:w="1880"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Carla A. D’Andre</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258" w:type="dxa"/>
            <w:tcBorders/>
            <w:shd w:fill="CCEEFF" w:val="clear"/>
            <w:tcMar>
              <w:bottom w:w="0" w:type="dxa"/>
            </w:tcMar>
            <w:vAlign w:val="center"/>
          </w:tcPr>
          <w:p>
            <w:pPr>
              <w:pStyle w:val="TableContents"/>
              <w:spacing w:before="0" w:after="283"/>
              <w:rPr/>
            </w:pPr>
            <w:r>
              <w:rPr/>
              <w:t>$</w:t>
            </w:r>
          </w:p>
        </w:tc>
        <w:tc>
          <w:tcPr>
            <w:tcW w:w="1081" w:type="dxa"/>
            <w:tcBorders/>
            <w:shd w:fill="CCEEFF" w:val="clear"/>
            <w:tcMar>
              <w:bottom w:w="0" w:type="dxa"/>
            </w:tcMar>
            <w:vAlign w:val="center"/>
          </w:tcPr>
          <w:p>
            <w:pPr>
              <w:pStyle w:val="TableContents"/>
              <w:spacing w:before="0" w:after="283"/>
              <w:jc w:val="right"/>
              <w:rPr/>
            </w:pPr>
            <w:r>
              <w:rPr/>
              <w:t>78,000</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276" w:type="dxa"/>
            <w:tcBorders/>
            <w:shd w:fill="CCEEFF" w:val="clear"/>
            <w:tcMar>
              <w:bottom w:w="0" w:type="dxa"/>
            </w:tcMar>
            <w:vAlign w:val="center"/>
          </w:tcPr>
          <w:p>
            <w:pPr>
              <w:pStyle w:val="TableContents"/>
              <w:spacing w:before="0" w:after="283"/>
              <w:rPr/>
            </w:pPr>
            <w:r>
              <w:rPr/>
              <w:t>$</w:t>
            </w:r>
          </w:p>
        </w:tc>
        <w:tc>
          <w:tcPr>
            <w:tcW w:w="1153" w:type="dxa"/>
            <w:tcBorders/>
            <w:shd w:fill="CCEEFF" w:val="clear"/>
            <w:tcMar>
              <w:bottom w:w="0" w:type="dxa"/>
            </w:tcMar>
            <w:vAlign w:val="center"/>
          </w:tcPr>
          <w:p>
            <w:pPr>
              <w:pStyle w:val="TableContents"/>
              <w:spacing w:before="0" w:after="283"/>
              <w:jc w:val="right"/>
              <w:rPr/>
            </w:pPr>
            <w:r>
              <w:rPr/>
              <w:t>40,000</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62" w:type="dxa"/>
            <w:tcBorders/>
            <w:shd w:fill="CCEEFF" w:val="clear"/>
            <w:tcMar>
              <w:bottom w:w="0" w:type="dxa"/>
            </w:tcMar>
            <w:vAlign w:val="center"/>
          </w:tcPr>
          <w:p>
            <w:pPr>
              <w:pStyle w:val="TableContents"/>
              <w:spacing w:before="0" w:after="283"/>
              <w:rPr/>
            </w:pPr>
            <w:r>
              <w:rPr/>
              <w:t>$</w:t>
            </w:r>
          </w:p>
        </w:tc>
        <w:tc>
          <w:tcPr>
            <w:tcW w:w="562" w:type="dxa"/>
            <w:tcBorders/>
            <w:shd w:fill="CCEEFF" w:val="clear"/>
            <w:tcMar>
              <w:bottom w:w="0" w:type="dxa"/>
            </w:tcMar>
            <w:vAlign w:val="center"/>
          </w:tcPr>
          <w:p>
            <w:pPr>
              <w:pStyle w:val="TableContents"/>
              <w:spacing w:before="0" w:after="283"/>
              <w:jc w:val="right"/>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283"/>
              <w:rPr/>
            </w:pPr>
            <w:r>
              <w:rPr/>
              <w:t>$</w:t>
            </w:r>
          </w:p>
        </w:tc>
        <w:tc>
          <w:tcPr>
            <w:tcW w:w="830" w:type="dxa"/>
            <w:tcBorders/>
            <w:shd w:fill="CCEEFF" w:val="clear"/>
            <w:tcMar>
              <w:bottom w:w="0" w:type="dxa"/>
            </w:tcMar>
            <w:vAlign w:val="center"/>
          </w:tcPr>
          <w:p>
            <w:pPr>
              <w:pStyle w:val="TableContents"/>
              <w:spacing w:before="0" w:after="283"/>
              <w:jc w:val="right"/>
              <w:rPr/>
            </w:pPr>
            <w:r>
              <w:rPr/>
              <w:t>118,000</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1880" w:type="dxa"/>
            <w:tcBorders/>
            <w:shd w:fill="FFFF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Timothy P. McFadden</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258" w:type="dxa"/>
            <w:tcBorders/>
            <w:shd w:fill="FFFFFF" w:val="clear"/>
            <w:tcMar>
              <w:bottom w:w="0" w:type="dxa"/>
            </w:tcMar>
            <w:vAlign w:val="center"/>
          </w:tcPr>
          <w:p>
            <w:pPr>
              <w:pStyle w:val="TableContents"/>
              <w:spacing w:before="0" w:after="283"/>
              <w:rPr/>
            </w:pPr>
            <w:r>
              <w:rPr/>
              <w:t>$</w:t>
            </w:r>
          </w:p>
        </w:tc>
        <w:tc>
          <w:tcPr>
            <w:tcW w:w="1081" w:type="dxa"/>
            <w:tcBorders/>
            <w:shd w:fill="FFFFFF" w:val="clear"/>
            <w:tcMar>
              <w:bottom w:w="0" w:type="dxa"/>
            </w:tcMar>
            <w:vAlign w:val="center"/>
          </w:tcPr>
          <w:p>
            <w:pPr>
              <w:pStyle w:val="TableContents"/>
              <w:spacing w:before="0" w:after="283"/>
              <w:jc w:val="right"/>
              <w:rPr/>
            </w:pPr>
            <w:r>
              <w:rPr/>
              <w:t>78,000</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276" w:type="dxa"/>
            <w:tcBorders/>
            <w:shd w:fill="FFFFFF" w:val="clear"/>
            <w:tcMar>
              <w:bottom w:w="0" w:type="dxa"/>
            </w:tcMar>
            <w:vAlign w:val="center"/>
          </w:tcPr>
          <w:p>
            <w:pPr>
              <w:pStyle w:val="TableContents"/>
              <w:spacing w:before="0" w:after="283"/>
              <w:rPr/>
            </w:pPr>
            <w:r>
              <w:rPr/>
              <w:t>$</w:t>
            </w:r>
          </w:p>
        </w:tc>
        <w:tc>
          <w:tcPr>
            <w:tcW w:w="1153" w:type="dxa"/>
            <w:tcBorders/>
            <w:shd w:fill="FFFFFF" w:val="clear"/>
            <w:tcMar>
              <w:bottom w:w="0" w:type="dxa"/>
            </w:tcMar>
            <w:vAlign w:val="center"/>
          </w:tcPr>
          <w:p>
            <w:pPr>
              <w:pStyle w:val="TableContents"/>
              <w:spacing w:before="0" w:after="283"/>
              <w:jc w:val="right"/>
              <w:rPr/>
            </w:pPr>
            <w:r>
              <w:rPr/>
              <w:t>40,000</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62" w:type="dxa"/>
            <w:tcBorders/>
            <w:shd w:fill="FFFFFF" w:val="clear"/>
            <w:tcMar>
              <w:bottom w:w="0" w:type="dxa"/>
            </w:tcMar>
            <w:vAlign w:val="center"/>
          </w:tcPr>
          <w:p>
            <w:pPr>
              <w:pStyle w:val="TableContents"/>
              <w:spacing w:before="0" w:after="283"/>
              <w:rPr/>
            </w:pPr>
            <w:r>
              <w:rPr/>
              <w:t>$</w:t>
            </w:r>
          </w:p>
        </w:tc>
        <w:tc>
          <w:tcPr>
            <w:tcW w:w="562" w:type="dxa"/>
            <w:tcBorders/>
            <w:shd w:fill="FFFFFF" w:val="clear"/>
            <w:tcMar>
              <w:bottom w:w="0" w:type="dxa"/>
            </w:tcMar>
            <w:vAlign w:val="center"/>
          </w:tcPr>
          <w:p>
            <w:pPr>
              <w:pStyle w:val="TableContents"/>
              <w:spacing w:before="0" w:after="283"/>
              <w:jc w:val="right"/>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283"/>
              <w:rPr/>
            </w:pPr>
            <w:r>
              <w:rPr/>
              <w:t>$</w:t>
            </w:r>
          </w:p>
        </w:tc>
        <w:tc>
          <w:tcPr>
            <w:tcW w:w="830" w:type="dxa"/>
            <w:tcBorders/>
            <w:shd w:fill="FFFFFF" w:val="clear"/>
            <w:tcMar>
              <w:bottom w:w="0" w:type="dxa"/>
            </w:tcMar>
            <w:vAlign w:val="center"/>
          </w:tcPr>
          <w:p>
            <w:pPr>
              <w:pStyle w:val="TableContents"/>
              <w:spacing w:before="0" w:after="283"/>
              <w:jc w:val="right"/>
              <w:rPr/>
            </w:pPr>
            <w:r>
              <w:rPr/>
              <w:t>118,000</w:t>
            </w:r>
          </w:p>
        </w:tc>
        <w:tc>
          <w:tcPr>
            <w:tcW w:w="135" w:type="dxa"/>
            <w:tcBorders/>
            <w:shd w:fill="FFFFFF" w:val="clear"/>
            <w:tcMar>
              <w:bottom w:w="0" w:type="dxa"/>
            </w:tcM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105"/>
        <w:gridCol w:w="232"/>
        <w:gridCol w:w="9868"/>
      </w:tblGrid>
      <w:tr>
        <w:trPr/>
        <w:tc>
          <w:tcPr>
            <w:tcW w:w="105" w:type="dxa"/>
            <w:tcBorders/>
            <w:shd w:fill="auto" w:val="clear"/>
            <w:vAlign w:val="center"/>
          </w:tcPr>
          <w:p>
            <w:pPr>
              <w:pStyle w:val="TableContents"/>
              <w:spacing w:before="0" w:after="0"/>
              <w:ind w:left="0" w:right="0" w:hanging="0"/>
              <w:rPr/>
            </w:pPr>
            <w:r>
              <w:rPr/>
              <w:t> </w:t>
            </w:r>
          </w:p>
        </w:tc>
        <w:tc>
          <w:tcPr>
            <w:tcW w:w="232"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868"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Amounts reflect the aggregate grant date fair value of grants made in the fiscal year computed in accordance with stock-based accounting rules (FASB ASC Topic 718-Stock Compensation), excluding the effect of estimated forfeitures. Assumptions used in the calculations of these amounts are included in Note 12 to our consolidated financial statements included in this Annual Report.</w:t>
            </w:r>
          </w:p>
        </w:tc>
      </w:tr>
    </w:tbl>
    <w:p>
      <w:pPr>
        <w:pStyle w:val="TextBody"/>
        <w:spacing w:before="0" w:after="0"/>
        <w:ind w:left="0" w:right="0" w:hanging="0"/>
        <w:rPr/>
      </w:pPr>
      <w:r>
        <w:rPr/>
        <w:t xml:space="preserve">  </w:t>
      </w:r>
    </w:p>
    <w:p>
      <w:pPr>
        <w:pStyle w:val="TextBody"/>
        <w:spacing w:before="0" w:after="0"/>
        <w:ind w:left="0" w:right="0" w:firstLine="720"/>
        <w:jc w:val="both"/>
        <w:rPr>
          <w:rFonts w:ascii="times new roman" w:hAnsi="times new roman"/>
          <w:sz w:val="20"/>
        </w:rPr>
      </w:pPr>
      <w:r>
        <w:rPr>
          <w:rFonts w:ascii="times new roman" w:hAnsi="times new roman"/>
          <w:sz w:val="20"/>
        </w:rPr>
        <w:t>The aggregate number of unvested restricted stock awards outstanding as of fiscal year end for each non-employee director is as follows:</w:t>
      </w:r>
    </w:p>
    <w:p>
      <w:pPr>
        <w:pStyle w:val="TextBody"/>
        <w:spacing w:before="0" w:after="0"/>
        <w:ind w:left="0" w:right="0" w:hanging="0"/>
        <w:jc w:val="both"/>
        <w:rPr/>
      </w:pPr>
      <w:r>
        <w:rPr/>
        <w:t> </w:t>
      </w:r>
    </w:p>
    <w:tbl>
      <w:tblPr>
        <w:tblW w:w="5289" w:type="dxa"/>
        <w:jc w:val="left"/>
        <w:tblInd w:w="0" w:type="dxa"/>
        <w:tblCellMar>
          <w:top w:w="0" w:type="dxa"/>
          <w:left w:w="0" w:type="dxa"/>
          <w:bottom w:w="28" w:type="dxa"/>
          <w:right w:w="0" w:type="dxa"/>
        </w:tblCellMar>
      </w:tblPr>
      <w:tblGrid>
        <w:gridCol w:w="1880"/>
        <w:gridCol w:w="90"/>
        <w:gridCol w:w="418"/>
        <w:gridCol w:w="2766"/>
        <w:gridCol w:w="135"/>
      </w:tblGrid>
      <w:tr>
        <w:trPr/>
        <w:tc>
          <w:tcPr>
            <w:tcW w:w="1880" w:type="dxa"/>
            <w:tcBorders>
              <w:bottom w:val="single" w:sz="2" w:space="0" w:color="000000"/>
            </w:tcBorders>
            <w:shd w:fill="auto" w:val="clear"/>
            <w:vAlign w:val="center"/>
          </w:tcPr>
          <w:p>
            <w:pPr>
              <w:pStyle w:val="TableContents"/>
              <w:spacing w:before="0" w:after="0"/>
              <w:ind w:left="0" w:right="0" w:hanging="0"/>
              <w:rPr/>
            </w:pPr>
            <w:r>
              <w:rPr>
                <w:rStyle w:val="StrongEmphasis"/>
                <w:rFonts w:ascii="times new roman" w:hAnsi="times new roman"/>
                <w:sz w:val="20"/>
              </w:rPr>
              <w:t>Name</w:t>
            </w:r>
          </w:p>
        </w:tc>
        <w:tc>
          <w:tcPr>
            <w:tcW w:w="90" w:type="dxa"/>
            <w:tcBorders/>
            <w:shd w:fill="auto" w:val="clear"/>
            <w:tcMar>
              <w:bottom w:w="0" w:type="dxa"/>
            </w:tcMar>
            <w:vAlign w:val="center"/>
          </w:tcPr>
          <w:p>
            <w:pPr>
              <w:pStyle w:val="TableContents"/>
              <w:spacing w:before="0" w:after="0"/>
              <w:ind w:left="0" w:right="0" w:hanging="0"/>
              <w:rPr/>
            </w:pPr>
            <w:r>
              <w:rPr/>
              <w:t> </w:t>
            </w:r>
          </w:p>
        </w:tc>
        <w:tc>
          <w:tcPr>
            <w:tcW w:w="3184"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Unvested Restricted Stock Awards (#)</w:t>
            </w:r>
          </w:p>
        </w:tc>
        <w:tc>
          <w:tcPr>
            <w:tcW w:w="135" w:type="dxa"/>
            <w:tcBorders/>
            <w:shd w:fill="auto" w:val="clear"/>
            <w:tcMar>
              <w:bottom w:w="0" w:type="dxa"/>
            </w:tcMar>
            <w:vAlign w:val="center"/>
          </w:tcPr>
          <w:p>
            <w:pPr>
              <w:pStyle w:val="TableContents"/>
              <w:spacing w:before="0" w:after="0"/>
              <w:ind w:left="0" w:right="0" w:hanging="0"/>
              <w:rPr/>
            </w:pPr>
            <w:r>
              <w:rPr/>
              <w:t> </w:t>
            </w:r>
          </w:p>
        </w:tc>
      </w:tr>
      <w:tr>
        <w:trPr/>
        <w:tc>
          <w:tcPr>
            <w:tcW w:w="1880"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3184" w:type="dxa"/>
            <w:gridSpan w:val="2"/>
            <w:tcBorders/>
            <w:shd w:fill="auto" w:val="clear"/>
            <w:tcMar>
              <w:bottom w:w="0" w:type="dxa"/>
            </w:tcMar>
            <w:vAlign w:val="center"/>
          </w:tcPr>
          <w:p>
            <w:pPr>
              <w:pStyle w:val="TableContents"/>
              <w:spacing w:before="0" w:after="0"/>
              <w:ind w:left="0" w:right="0" w:hanging="0"/>
              <w:rPr/>
            </w:pPr>
            <w:r>
              <w:rPr/>
              <w:t> </w:t>
            </w:r>
          </w:p>
        </w:tc>
        <w:tc>
          <w:tcPr>
            <w:tcW w:w="135" w:type="dxa"/>
            <w:tcBorders/>
            <w:shd w:fill="auto" w:val="clear"/>
            <w:tcMar>
              <w:bottom w:w="0" w:type="dxa"/>
            </w:tcMar>
            <w:vAlign w:val="center"/>
          </w:tcPr>
          <w:p>
            <w:pPr>
              <w:pStyle w:val="TableContents"/>
              <w:spacing w:before="0" w:after="0"/>
              <w:ind w:left="0" w:right="0" w:hanging="0"/>
              <w:rPr/>
            </w:pPr>
            <w:r>
              <w:rPr/>
              <w:t> </w:t>
            </w:r>
          </w:p>
        </w:tc>
      </w:tr>
      <w:tr>
        <w:trPr/>
        <w:tc>
          <w:tcPr>
            <w:tcW w:w="1880"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Floyd R. Tupper</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418" w:type="dxa"/>
            <w:tcBorders/>
            <w:shd w:fill="CCEEFF" w:val="clear"/>
            <w:tcMar>
              <w:bottom w:w="0" w:type="dxa"/>
            </w:tcMar>
            <w:vAlign w:val="center"/>
          </w:tcPr>
          <w:p>
            <w:pPr>
              <w:pStyle w:val="TableContents"/>
              <w:spacing w:before="0" w:after="0"/>
              <w:ind w:left="0" w:right="0" w:hanging="0"/>
              <w:rPr/>
            </w:pPr>
            <w:r>
              <w:rPr/>
              <w:t> </w:t>
            </w:r>
          </w:p>
        </w:tc>
        <w:tc>
          <w:tcPr>
            <w:tcW w:w="2766" w:type="dxa"/>
            <w:tcBorders/>
            <w:shd w:fill="CCEEFF" w:val="clear"/>
            <w:tcMar>
              <w:bottom w:w="0" w:type="dxa"/>
            </w:tcMar>
            <w:vAlign w:val="center"/>
          </w:tcPr>
          <w:p>
            <w:pPr>
              <w:pStyle w:val="TableContents"/>
              <w:spacing w:before="0" w:after="283"/>
              <w:jc w:val="right"/>
              <w:rPr/>
            </w:pPr>
            <w:r>
              <w:rPr/>
              <w:t>8,000</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1880" w:type="dxa"/>
            <w:tcBorders/>
            <w:shd w:fill="FFFF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William L. Yankus</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418" w:type="dxa"/>
            <w:tcBorders/>
            <w:shd w:fill="FFFFFF" w:val="clear"/>
            <w:tcMar>
              <w:bottom w:w="0" w:type="dxa"/>
            </w:tcMar>
            <w:vAlign w:val="center"/>
          </w:tcPr>
          <w:p>
            <w:pPr>
              <w:pStyle w:val="TableContents"/>
              <w:spacing w:before="0" w:after="0"/>
              <w:ind w:left="0" w:right="0" w:hanging="0"/>
              <w:rPr/>
            </w:pPr>
            <w:r>
              <w:rPr/>
              <w:t> </w:t>
            </w:r>
          </w:p>
        </w:tc>
        <w:tc>
          <w:tcPr>
            <w:tcW w:w="2766" w:type="dxa"/>
            <w:tcBorders/>
            <w:shd w:fill="FFFFFF" w:val="clear"/>
            <w:tcMar>
              <w:bottom w:w="0" w:type="dxa"/>
            </w:tcMar>
            <w:vAlign w:val="center"/>
          </w:tcPr>
          <w:p>
            <w:pPr>
              <w:pStyle w:val="TableContents"/>
              <w:spacing w:before="0" w:after="283"/>
              <w:jc w:val="right"/>
              <w:rPr/>
            </w:pPr>
            <w:r>
              <w:rPr/>
              <w:t>8,000</w:t>
            </w:r>
          </w:p>
        </w:tc>
        <w:tc>
          <w:tcPr>
            <w:tcW w:w="135" w:type="dxa"/>
            <w:tcBorders/>
            <w:shd w:fill="FFFFFF" w:val="clear"/>
            <w:tcMar>
              <w:bottom w:w="0" w:type="dxa"/>
            </w:tcMar>
            <w:vAlign w:val="center"/>
          </w:tcPr>
          <w:p>
            <w:pPr>
              <w:pStyle w:val="TableContents"/>
              <w:spacing w:before="0" w:after="0"/>
              <w:ind w:left="0" w:right="0" w:hanging="0"/>
              <w:rPr/>
            </w:pPr>
            <w:r>
              <w:rPr/>
              <w:t> </w:t>
            </w:r>
          </w:p>
        </w:tc>
      </w:tr>
      <w:tr>
        <w:trPr/>
        <w:tc>
          <w:tcPr>
            <w:tcW w:w="1880"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Carla A. D’Andre</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418" w:type="dxa"/>
            <w:tcBorders/>
            <w:shd w:fill="CCEEFF" w:val="clear"/>
            <w:tcMar>
              <w:bottom w:w="0" w:type="dxa"/>
            </w:tcMar>
            <w:vAlign w:val="center"/>
          </w:tcPr>
          <w:p>
            <w:pPr>
              <w:pStyle w:val="TableContents"/>
              <w:spacing w:before="0" w:after="0"/>
              <w:ind w:left="0" w:right="0" w:hanging="0"/>
              <w:rPr/>
            </w:pPr>
            <w:r>
              <w:rPr/>
              <w:t> </w:t>
            </w:r>
          </w:p>
        </w:tc>
        <w:tc>
          <w:tcPr>
            <w:tcW w:w="2766" w:type="dxa"/>
            <w:tcBorders/>
            <w:shd w:fill="CCEEFF" w:val="clear"/>
            <w:tcMar>
              <w:bottom w:w="0" w:type="dxa"/>
            </w:tcMar>
            <w:vAlign w:val="center"/>
          </w:tcPr>
          <w:p>
            <w:pPr>
              <w:pStyle w:val="TableContents"/>
              <w:spacing w:before="0" w:after="283"/>
              <w:jc w:val="right"/>
              <w:rPr/>
            </w:pPr>
            <w:r>
              <w:rPr/>
              <w:t>8,000</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1880" w:type="dxa"/>
            <w:tcBorders/>
            <w:shd w:fill="FFFF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Timothy P. McFadden</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418" w:type="dxa"/>
            <w:tcBorders/>
            <w:shd w:fill="FFFFFF" w:val="clear"/>
            <w:tcMar>
              <w:bottom w:w="0" w:type="dxa"/>
            </w:tcMar>
            <w:vAlign w:val="center"/>
          </w:tcPr>
          <w:p>
            <w:pPr>
              <w:pStyle w:val="TableContents"/>
              <w:spacing w:before="0" w:after="0"/>
              <w:ind w:left="0" w:right="0" w:hanging="0"/>
              <w:rPr/>
            </w:pPr>
            <w:r>
              <w:rPr/>
              <w:t> </w:t>
            </w:r>
          </w:p>
        </w:tc>
        <w:tc>
          <w:tcPr>
            <w:tcW w:w="2766" w:type="dxa"/>
            <w:tcBorders/>
            <w:shd w:fill="FFFFFF" w:val="clear"/>
            <w:tcMar>
              <w:bottom w:w="0" w:type="dxa"/>
            </w:tcMar>
            <w:vAlign w:val="center"/>
          </w:tcPr>
          <w:p>
            <w:pPr>
              <w:pStyle w:val="TableContents"/>
              <w:spacing w:before="0" w:after="283"/>
              <w:jc w:val="right"/>
              <w:rPr/>
            </w:pPr>
            <w:r>
              <w:rPr/>
              <w:t>8,000</w:t>
            </w:r>
          </w:p>
        </w:tc>
        <w:tc>
          <w:tcPr>
            <w:tcW w:w="135" w:type="dxa"/>
            <w:tcBorders/>
            <w:shd w:fill="FFFFFF" w:val="clear"/>
            <w:tcMar>
              <w:bottom w:w="0" w:type="dxa"/>
            </w:tcM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non-employee directors are entitled to receive annual compensation for their services as directors as follows:</w:t>
      </w:r>
    </w:p>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105"/>
        <w:gridCol w:w="200"/>
        <w:gridCol w:w="9900"/>
      </w:tblGrid>
      <w:tr>
        <w:trPr/>
        <w:tc>
          <w:tcPr>
            <w:tcW w:w="105" w:type="dxa"/>
            <w:tcBorders/>
            <w:shd w:fill="auto" w:val="clear"/>
            <w:vAlign w:val="center"/>
          </w:tcPr>
          <w:p>
            <w:pPr>
              <w:pStyle w:val="TableContents"/>
              <w:spacing w:before="0" w:after="0"/>
              <w:ind w:left="0" w:right="0" w:hanging="0"/>
              <w:rPr/>
            </w:pPr>
            <w:r>
              <w:rPr/>
              <w:t> </w:t>
            </w:r>
          </w:p>
        </w:tc>
        <w:tc>
          <w:tcPr>
            <w:tcW w:w="200" w:type="dxa"/>
            <w:tcBorders/>
            <w:shd w:fill="auto" w:val="clear"/>
            <w:vAlign w:val="center"/>
          </w:tcPr>
          <w:p>
            <w:pPr>
              <w:pStyle w:val="TableContents"/>
              <w:spacing w:before="0" w:after="0"/>
              <w:ind w:left="0" w:right="0" w:hanging="0"/>
              <w:jc w:val="left"/>
              <w:rPr/>
            </w:pPr>
            <w:r>
              <w:rPr/>
              <w:t>●</w:t>
            </w:r>
          </w:p>
        </w:tc>
        <w:tc>
          <w:tcPr>
            <w:tcW w:w="9900"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$50,000;</w:t>
            </w:r>
          </w:p>
        </w:tc>
      </w:tr>
      <w:tr>
        <w:trPr/>
        <w:tc>
          <w:tcPr>
            <w:tcW w:w="105" w:type="dxa"/>
            <w:tcBorders/>
            <w:shd w:fill="auto" w:val="clear"/>
            <w:vAlign w:val="center"/>
          </w:tcPr>
          <w:p>
            <w:pPr>
              <w:pStyle w:val="TableContents"/>
              <w:spacing w:before="0" w:after="0"/>
              <w:ind w:left="0" w:right="0" w:hanging="0"/>
              <w:rPr/>
            </w:pPr>
            <w:r>
              <w:rPr/>
              <w:t> </w:t>
            </w:r>
          </w:p>
        </w:tc>
        <w:tc>
          <w:tcPr>
            <w:tcW w:w="200" w:type="dxa"/>
            <w:tcBorders/>
            <w:shd w:fill="auto" w:val="clear"/>
            <w:vAlign w:val="center"/>
          </w:tcPr>
          <w:p>
            <w:pPr>
              <w:pStyle w:val="TableContents"/>
              <w:spacing w:before="0" w:after="0"/>
              <w:ind w:left="0" w:right="0" w:hanging="0"/>
              <w:jc w:val="center"/>
              <w:rPr/>
            </w:pPr>
            <w:r>
              <w:rPr/>
              <w:t> </w:t>
            </w:r>
          </w:p>
        </w:tc>
        <w:tc>
          <w:tcPr>
            <w:tcW w:w="9900"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200" w:type="dxa"/>
            <w:tcBorders/>
            <w:shd w:fill="auto" w:val="clear"/>
            <w:vAlign w:val="center"/>
          </w:tcPr>
          <w:p>
            <w:pPr>
              <w:pStyle w:val="TableContents"/>
              <w:spacing w:before="0" w:after="0"/>
              <w:ind w:left="0" w:right="0" w:hanging="0"/>
              <w:jc w:val="left"/>
              <w:rPr/>
            </w:pPr>
            <w:r>
              <w:rPr/>
              <w:t>●</w:t>
            </w:r>
          </w:p>
        </w:tc>
        <w:tc>
          <w:tcPr>
            <w:tcW w:w="9900"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an additional $25,000 for service as audit committee chair, an additional $20,000 for service as compensation committee chair, an additional $10,000 for service as investment committee chair, and an additional $15,000 for service as chair of other committees; and</w:t>
            </w:r>
          </w:p>
        </w:tc>
      </w:tr>
      <w:tr>
        <w:trPr/>
        <w:tc>
          <w:tcPr>
            <w:tcW w:w="105" w:type="dxa"/>
            <w:tcBorders/>
            <w:shd w:fill="auto" w:val="clear"/>
            <w:vAlign w:val="center"/>
          </w:tcPr>
          <w:p>
            <w:pPr>
              <w:pStyle w:val="TableContents"/>
              <w:spacing w:before="0" w:after="0"/>
              <w:ind w:left="0" w:right="0" w:hanging="0"/>
              <w:rPr/>
            </w:pPr>
            <w:r>
              <w:rPr/>
              <w:t> </w:t>
            </w:r>
          </w:p>
        </w:tc>
        <w:tc>
          <w:tcPr>
            <w:tcW w:w="200" w:type="dxa"/>
            <w:tcBorders/>
            <w:shd w:fill="auto" w:val="clear"/>
            <w:vAlign w:val="center"/>
          </w:tcPr>
          <w:p>
            <w:pPr>
              <w:pStyle w:val="TableContents"/>
              <w:spacing w:before="0" w:after="0"/>
              <w:ind w:left="0" w:right="0" w:hanging="0"/>
              <w:jc w:val="center"/>
              <w:rPr/>
            </w:pPr>
            <w:r>
              <w:rPr/>
              <w:t> </w:t>
            </w:r>
          </w:p>
        </w:tc>
        <w:tc>
          <w:tcPr>
            <w:tcW w:w="9900"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200" w:type="dxa"/>
            <w:tcBorders/>
            <w:shd w:fill="auto" w:val="clear"/>
            <w:vAlign w:val="center"/>
          </w:tcPr>
          <w:p>
            <w:pPr>
              <w:pStyle w:val="TableContents"/>
              <w:spacing w:before="0" w:after="0"/>
              <w:ind w:left="0" w:right="0" w:hanging="0"/>
              <w:jc w:val="left"/>
              <w:rPr/>
            </w:pPr>
            <w:r>
              <w:rPr/>
              <w:t>●</w:t>
            </w:r>
          </w:p>
        </w:tc>
        <w:tc>
          <w:tcPr>
            <w:tcW w:w="9900"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$53,000 of our common stock determined by the closing stock price on the first business day of the year, which vest on the first anniversary of the grant date.</w:t>
            </w:r>
          </w:p>
        </w:tc>
      </w:tr>
    </w:tbl>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71</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both"/>
        <w:rPr/>
      </w:pPr>
      <w:bookmarkStart w:id="21" w:name="i12"/>
      <w:bookmarkEnd w:id="21"/>
      <w:r>
        <w:rPr>
          <w:rStyle w:val="StrongEmphasis"/>
          <w:rFonts w:ascii="times new roman" w:hAnsi="times new roman"/>
          <w:sz w:val="20"/>
          <w:u w:val="single"/>
        </w:rPr>
        <w:t>ITEM 12.</w:t>
      </w:r>
      <w:r>
        <w:rPr>
          <w:rStyle w:val="StrongEmphasis"/>
          <w:rFonts w:ascii="times new roman" w:hAnsi="times new roman"/>
          <w:sz w:val="20"/>
        </w:rPr>
        <w:t> </w:t>
      </w:r>
      <w:r>
        <w:rPr>
          <w:rStyle w:val="StrongEmphasis"/>
          <w:rFonts w:ascii="times new roman" w:hAnsi="times new roman"/>
          <w:sz w:val="20"/>
          <w:u w:val="single"/>
        </w:rPr>
        <w:t>SECURITY OWNERSHIP OF CERTAIN BENEFICIAL OWNERS AND</w:t>
      </w:r>
      <w:r>
        <w:rPr>
          <w:rStyle w:val="StrongEmphasis"/>
          <w:rFonts w:ascii="times new roman" w:hAnsi="times new roman"/>
          <w:sz w:val="20"/>
        </w:rPr>
        <w:t xml:space="preserve"> </w:t>
      </w:r>
      <w:r>
        <w:rPr>
          <w:rStyle w:val="StrongEmphasis"/>
          <w:rFonts w:ascii="times new roman" w:hAnsi="times new roman"/>
          <w:sz w:val="20"/>
          <w:u w:val="single"/>
        </w:rPr>
        <w:t>MANAGEMENT AND RELATED STOCKHOLDER MATTERS.</w:t>
      </w:r>
    </w:p>
    <w:p>
      <w:pPr>
        <w:pStyle w:val="TextBody"/>
        <w:spacing w:before="0" w:after="0"/>
        <w:ind w:left="0" w:right="0" w:hanging="0"/>
        <w:jc w:val="both"/>
        <w:rPr/>
      </w:pPr>
      <w:r>
        <w:rPr/>
        <w:t> </w:t>
      </w:r>
    </w:p>
    <w:p>
      <w:pPr>
        <w:pStyle w:val="TextBody"/>
        <w:spacing w:before="0" w:after="0"/>
        <w:ind w:left="0" w:right="0" w:firstLine="675"/>
        <w:jc w:val="both"/>
        <w:rPr/>
      </w:pPr>
      <w:r>
        <w:rPr>
          <w:rStyle w:val="Emphasis"/>
          <w:rFonts w:ascii="times new roman" w:hAnsi="times new roman"/>
          <w:sz w:val="20"/>
        </w:rPr>
        <w:t>Security Ownership</w:t>
      </w:r>
    </w:p>
    <w:p>
      <w:pPr>
        <w:pStyle w:val="TextBody"/>
        <w:spacing w:before="0" w:after="0"/>
        <w:ind w:left="0" w:right="0" w:firstLine="675"/>
        <w:jc w:val="both"/>
        <w:rPr/>
      </w:pPr>
      <w:r>
        <w:rPr/>
        <w:t> </w:t>
      </w:r>
    </w:p>
    <w:p>
      <w:pPr>
        <w:pStyle w:val="TextBody"/>
        <w:spacing w:before="0" w:after="0"/>
        <w:ind w:left="0" w:right="0" w:firstLine="675"/>
        <w:jc w:val="both"/>
        <w:rPr>
          <w:rFonts w:ascii="times new roman" w:hAnsi="times new roman"/>
          <w:sz w:val="20"/>
        </w:rPr>
      </w:pPr>
      <w:r>
        <w:rPr>
          <w:rFonts w:ascii="times new roman" w:hAnsi="times new roman"/>
          <w:sz w:val="20"/>
        </w:rPr>
        <w:t>The following table sets forth certain information as of March 21, 2023, regarding the beneficial ownership of our shares of common stock by (i) each person who we believe to be the beneficial owner of more than 5% of our outstanding shares of common stock, (ii) each present director, (iii) each Named Executive Officer and (iv) all of our present executive officers and directors as a group.</w:t>
      </w:r>
    </w:p>
    <w:p>
      <w:pPr>
        <w:pStyle w:val="TextBody"/>
        <w:spacing w:before="0" w:after="0"/>
        <w:ind w:left="0" w:right="0" w:hanging="0"/>
        <w:jc w:val="both"/>
        <w:rPr/>
      </w:pPr>
      <w:r>
        <w:rPr/>
        <w:t> </w:t>
      </w:r>
    </w:p>
    <w:tbl>
      <w:tblPr>
        <w:tblW w:w="7749" w:type="dxa"/>
        <w:jc w:val="left"/>
        <w:tblInd w:w="0" w:type="dxa"/>
        <w:tblCellMar>
          <w:top w:w="0" w:type="dxa"/>
          <w:left w:w="0" w:type="dxa"/>
          <w:bottom w:w="28" w:type="dxa"/>
          <w:right w:w="0" w:type="dxa"/>
        </w:tblCellMar>
      </w:tblPr>
      <w:tblGrid>
        <w:gridCol w:w="3050"/>
        <w:gridCol w:w="90"/>
        <w:gridCol w:w="139"/>
        <w:gridCol w:w="1560"/>
        <w:gridCol w:w="1130"/>
        <w:gridCol w:w="90"/>
        <w:gridCol w:w="224"/>
        <w:gridCol w:w="1176"/>
        <w:gridCol w:w="290"/>
      </w:tblGrid>
      <w:tr>
        <w:trPr/>
        <w:tc>
          <w:tcPr>
            <w:tcW w:w="3050" w:type="dxa"/>
            <w:tcBorders>
              <w:bottom w:val="single" w:sz="2" w:space="0" w:color="000000"/>
            </w:tcBorders>
            <w:shd w:fill="auto" w:val="clear"/>
            <w:vAlign w:val="center"/>
          </w:tcPr>
          <w:p>
            <w:pPr>
              <w:pStyle w:val="TableContents"/>
              <w:spacing w:before="0" w:after="0"/>
              <w:ind w:left="0" w:right="0" w:hanging="0"/>
              <w:rPr/>
            </w:pPr>
            <w:r>
              <w:rPr>
                <w:rStyle w:val="StrongEmphasis"/>
                <w:rFonts w:ascii="times new roman" w:hAnsi="times new roman"/>
                <w:sz w:val="20"/>
              </w:rPr>
              <w:t>Name and Address</w:t>
            </w:r>
          </w:p>
          <w:p>
            <w:pPr>
              <w:pStyle w:val="TableContents"/>
              <w:spacing w:before="0" w:after="0"/>
              <w:ind w:left="0" w:right="0" w:hanging="0"/>
              <w:rPr/>
            </w:pPr>
            <w:r>
              <w:rPr>
                <w:rStyle w:val="StrongEmphasis"/>
                <w:rFonts w:ascii="times new roman" w:hAnsi="times new roman"/>
                <w:sz w:val="20"/>
              </w:rPr>
              <w:t>of Beneficial Owner</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699"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Number of Shares</w:t>
            </w:r>
          </w:p>
          <w:p>
            <w:pPr>
              <w:pStyle w:val="TableContents"/>
              <w:spacing w:before="0" w:after="0"/>
              <w:ind w:left="0" w:right="0" w:hanging="0"/>
              <w:jc w:val="center"/>
              <w:rPr/>
            </w:pPr>
            <w:r>
              <w:rPr>
                <w:rStyle w:val="StrongEmphasis"/>
                <w:rFonts w:ascii="times new roman" w:hAnsi="times new roman"/>
                <w:sz w:val="20"/>
              </w:rPr>
              <w:t>Beneficially Owned</w:t>
            </w:r>
          </w:p>
        </w:tc>
        <w:tc>
          <w:tcPr>
            <w:tcW w:w="1130"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400"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Approximate</w:t>
            </w:r>
          </w:p>
          <w:p>
            <w:pPr>
              <w:pStyle w:val="TableContents"/>
              <w:spacing w:before="0" w:after="0"/>
              <w:ind w:left="0" w:right="0" w:hanging="0"/>
              <w:jc w:val="center"/>
              <w:rPr/>
            </w:pPr>
            <w:r>
              <w:rPr>
                <w:rStyle w:val="StrongEmphasis"/>
                <w:rFonts w:ascii="times new roman" w:hAnsi="times new roman"/>
                <w:sz w:val="20"/>
              </w:rPr>
              <w:t>Percent of Class</w:t>
            </w:r>
          </w:p>
        </w:tc>
        <w:tc>
          <w:tcPr>
            <w:tcW w:w="290" w:type="dxa"/>
            <w:tcBorders/>
            <w:shd w:fill="auto" w:val="clear"/>
            <w:tcMar>
              <w:bottom w:w="0" w:type="dxa"/>
            </w:tcMar>
            <w:vAlign w:val="center"/>
          </w:tcPr>
          <w:p>
            <w:pPr>
              <w:pStyle w:val="TableContents"/>
              <w:spacing w:before="0" w:after="0"/>
              <w:ind w:left="0" w:right="0" w:hanging="0"/>
              <w:rPr/>
            </w:pPr>
            <w:r>
              <w:rPr/>
              <w:t> </w:t>
            </w:r>
          </w:p>
        </w:tc>
      </w:tr>
      <w:tr>
        <w:trPr/>
        <w:tc>
          <w:tcPr>
            <w:tcW w:w="3050"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699" w:type="dxa"/>
            <w:gridSpan w:val="2"/>
            <w:tcBorders/>
            <w:shd w:fill="auto" w:val="clear"/>
            <w:tcMar>
              <w:bottom w:w="0" w:type="dxa"/>
            </w:tcMar>
            <w:vAlign w:val="center"/>
          </w:tcPr>
          <w:p>
            <w:pPr>
              <w:pStyle w:val="TableContents"/>
              <w:spacing w:before="0" w:after="0"/>
              <w:ind w:left="0" w:right="0" w:hanging="0"/>
              <w:rPr/>
            </w:pPr>
            <w:r>
              <w:rPr/>
              <w:t> </w:t>
            </w:r>
          </w:p>
        </w:tc>
        <w:tc>
          <w:tcPr>
            <w:tcW w:w="1130"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400" w:type="dxa"/>
            <w:gridSpan w:val="2"/>
            <w:tcBorders/>
            <w:shd w:fill="auto" w:val="clear"/>
            <w:tcMar>
              <w:bottom w:w="0" w:type="dxa"/>
            </w:tcMar>
            <w:vAlign w:val="center"/>
          </w:tcPr>
          <w:p>
            <w:pPr>
              <w:pStyle w:val="TableContents"/>
              <w:spacing w:before="0" w:after="0"/>
              <w:ind w:left="0" w:right="0" w:hanging="0"/>
              <w:rPr/>
            </w:pPr>
            <w:r>
              <w:rPr/>
              <w:t> </w:t>
            </w:r>
          </w:p>
        </w:tc>
        <w:tc>
          <w:tcPr>
            <w:tcW w:w="290" w:type="dxa"/>
            <w:tcBorders/>
            <w:shd w:fill="auto" w:val="clear"/>
            <w:tcMar>
              <w:bottom w:w="0" w:type="dxa"/>
            </w:tcMar>
            <w:vAlign w:val="center"/>
          </w:tcPr>
          <w:p>
            <w:pPr>
              <w:pStyle w:val="TableContents"/>
              <w:spacing w:before="0" w:after="0"/>
              <w:ind w:left="0" w:right="0" w:hanging="0"/>
              <w:rPr/>
            </w:pPr>
            <w:r>
              <w:rPr/>
              <w:t> </w:t>
            </w:r>
          </w:p>
        </w:tc>
      </w:tr>
      <w:tr>
        <w:trPr/>
        <w:tc>
          <w:tcPr>
            <w:tcW w:w="3050"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Barry B. Goldstein</w:t>
            </w:r>
          </w:p>
          <w:p>
            <w:pPr>
              <w:pStyle w:val="TableContents"/>
              <w:spacing w:before="0" w:after="0"/>
              <w:ind w:left="0" w:right="0" w:hanging="0"/>
              <w:jc w:val="both"/>
              <w:rPr>
                <w:rFonts w:ascii="times new roman" w:hAnsi="times new roman"/>
                <w:sz w:val="20"/>
              </w:rPr>
            </w:pPr>
            <w:r>
              <w:rPr>
                <w:rFonts w:ascii="times new roman" w:hAnsi="times new roman"/>
                <w:sz w:val="20"/>
              </w:rPr>
              <w:t>15 Joys Lane</w:t>
            </w:r>
          </w:p>
          <w:p>
            <w:pPr>
              <w:pStyle w:val="TableContents"/>
              <w:spacing w:before="0" w:after="0"/>
              <w:ind w:left="0" w:right="0" w:hanging="0"/>
              <w:jc w:val="both"/>
              <w:rPr>
                <w:rFonts w:ascii="times new roman" w:hAnsi="times new roman"/>
                <w:sz w:val="20"/>
              </w:rPr>
            </w:pPr>
            <w:r>
              <w:rPr>
                <w:rFonts w:ascii="times new roman" w:hAnsi="times new roman"/>
                <w:sz w:val="20"/>
              </w:rPr>
              <w:t>Kingston, New York</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39" w:type="dxa"/>
            <w:tcBorders/>
            <w:shd w:fill="CCEEFF" w:val="clear"/>
            <w:tcMar>
              <w:bottom w:w="0" w:type="dxa"/>
            </w:tcMar>
            <w:vAlign w:val="center"/>
          </w:tcPr>
          <w:p>
            <w:pPr>
              <w:pStyle w:val="TableContents"/>
              <w:spacing w:before="0" w:after="0"/>
              <w:ind w:left="0" w:right="0" w:hanging="0"/>
              <w:rPr/>
            </w:pPr>
            <w:r>
              <w:rPr/>
              <w:t> </w:t>
            </w:r>
          </w:p>
        </w:tc>
        <w:tc>
          <w:tcPr>
            <w:tcW w:w="1560" w:type="dxa"/>
            <w:tcBorders/>
            <w:shd w:fill="CCEEFF" w:val="clear"/>
            <w:tcMar>
              <w:bottom w:w="0" w:type="dxa"/>
            </w:tcMar>
            <w:vAlign w:val="center"/>
          </w:tcPr>
          <w:p>
            <w:pPr>
              <w:pStyle w:val="TableContents"/>
              <w:spacing w:before="0" w:after="283"/>
              <w:jc w:val="right"/>
              <w:rPr/>
            </w:pPr>
            <w:r>
              <w:rPr/>
              <w:t>832,076</w:t>
            </w:r>
          </w:p>
        </w:tc>
        <w:tc>
          <w:tcPr>
            <w:tcW w:w="1130" w:type="dxa"/>
            <w:tcBorders/>
            <w:shd w:fill="CCEEFF" w:val="clear"/>
            <w:tcMar>
              <w:bottom w:w="0" w:type="dxa"/>
            </w:tcMar>
            <w:vAlign w:val="center"/>
          </w:tcPr>
          <w:p>
            <w:pPr>
              <w:pStyle w:val="TableContents"/>
              <w:spacing w:before="0" w:after="283"/>
              <w:rPr/>
            </w:pPr>
            <w:r>
              <w:rPr/>
              <w:t>(1)</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224" w:type="dxa"/>
            <w:tcBorders/>
            <w:shd w:fill="CCEEFF" w:val="clear"/>
            <w:tcMar>
              <w:bottom w:w="0" w:type="dxa"/>
            </w:tcMar>
            <w:vAlign w:val="center"/>
          </w:tcPr>
          <w:p>
            <w:pPr>
              <w:pStyle w:val="TableContents"/>
              <w:spacing w:before="0" w:after="0"/>
              <w:ind w:left="0" w:right="0" w:hanging="0"/>
              <w:rPr/>
            </w:pPr>
            <w:r>
              <w:rPr/>
              <w:t> </w:t>
            </w:r>
          </w:p>
        </w:tc>
        <w:tc>
          <w:tcPr>
            <w:tcW w:w="1176" w:type="dxa"/>
            <w:tcBorders/>
            <w:shd w:fill="CCEEFF" w:val="clear"/>
            <w:tcMar>
              <w:bottom w:w="0" w:type="dxa"/>
            </w:tcMar>
            <w:vAlign w:val="center"/>
          </w:tcPr>
          <w:p>
            <w:pPr>
              <w:pStyle w:val="TableContents"/>
              <w:spacing w:before="0" w:after="283"/>
              <w:jc w:val="right"/>
              <w:rPr/>
            </w:pPr>
            <w:r>
              <w:rPr/>
              <w:t>7.7</w:t>
            </w:r>
          </w:p>
        </w:tc>
        <w:tc>
          <w:tcPr>
            <w:tcW w:w="290" w:type="dxa"/>
            <w:tcBorders/>
            <w:shd w:fill="CCEEFF" w:val="clear"/>
            <w:tcMar>
              <w:bottom w:w="0" w:type="dxa"/>
            </w:tcMar>
            <w:vAlign w:val="center"/>
          </w:tcPr>
          <w:p>
            <w:pPr>
              <w:pStyle w:val="TableContents"/>
              <w:spacing w:before="0" w:after="283"/>
              <w:rPr/>
            </w:pPr>
            <w:r>
              <w:rPr/>
              <w:t>%</w:t>
            </w:r>
          </w:p>
        </w:tc>
      </w:tr>
      <w:tr>
        <w:trPr/>
        <w:tc>
          <w:tcPr>
            <w:tcW w:w="305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39" w:type="dxa"/>
            <w:tcBorders/>
            <w:shd w:fill="FFFFFF" w:val="clear"/>
            <w:tcMar>
              <w:bottom w:w="0" w:type="dxa"/>
            </w:tcMar>
            <w:vAlign w:val="center"/>
          </w:tcPr>
          <w:p>
            <w:pPr>
              <w:pStyle w:val="TableContents"/>
              <w:spacing w:before="0" w:after="0"/>
              <w:ind w:left="0" w:right="0" w:hanging="0"/>
              <w:rPr/>
            </w:pPr>
            <w:r>
              <w:rPr/>
              <w:t> </w:t>
            </w:r>
          </w:p>
        </w:tc>
        <w:tc>
          <w:tcPr>
            <w:tcW w:w="1560" w:type="dxa"/>
            <w:tcBorders/>
            <w:shd w:fill="FFFFFF" w:val="clear"/>
            <w:tcMar>
              <w:bottom w:w="0" w:type="dxa"/>
            </w:tcMar>
            <w:vAlign w:val="center"/>
          </w:tcPr>
          <w:p>
            <w:pPr>
              <w:pStyle w:val="TableContents"/>
              <w:spacing w:before="0" w:after="0"/>
              <w:ind w:left="0" w:right="0" w:hanging="0"/>
              <w:rPr/>
            </w:pPr>
            <w:r>
              <w:rPr/>
              <w:t> </w:t>
            </w:r>
          </w:p>
        </w:tc>
        <w:tc>
          <w:tcPr>
            <w:tcW w:w="113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224" w:type="dxa"/>
            <w:tcBorders/>
            <w:shd w:fill="FFFFFF" w:val="clear"/>
            <w:tcMar>
              <w:bottom w:w="0" w:type="dxa"/>
            </w:tcMar>
            <w:vAlign w:val="center"/>
          </w:tcPr>
          <w:p>
            <w:pPr>
              <w:pStyle w:val="TableContents"/>
              <w:spacing w:before="0" w:after="0"/>
              <w:ind w:left="0" w:right="0" w:hanging="0"/>
              <w:rPr/>
            </w:pPr>
            <w:r>
              <w:rPr/>
              <w:t> </w:t>
            </w:r>
          </w:p>
        </w:tc>
        <w:tc>
          <w:tcPr>
            <w:tcW w:w="1176" w:type="dxa"/>
            <w:tcBorders/>
            <w:shd w:fill="FFFFFF" w:val="clear"/>
            <w:tcMar>
              <w:bottom w:w="0" w:type="dxa"/>
            </w:tcMar>
            <w:vAlign w:val="center"/>
          </w:tcPr>
          <w:p>
            <w:pPr>
              <w:pStyle w:val="TableContents"/>
              <w:spacing w:before="0" w:after="0"/>
              <w:ind w:left="0" w:right="0" w:hanging="0"/>
              <w:rPr/>
            </w:pPr>
            <w:r>
              <w:rPr/>
              <w:t> </w:t>
            </w:r>
          </w:p>
        </w:tc>
        <w:tc>
          <w:tcPr>
            <w:tcW w:w="290" w:type="dxa"/>
            <w:tcBorders/>
            <w:shd w:fill="FFFFFF" w:val="clear"/>
            <w:tcMar>
              <w:bottom w:w="0" w:type="dxa"/>
            </w:tcMar>
            <w:vAlign w:val="center"/>
          </w:tcPr>
          <w:p>
            <w:pPr>
              <w:pStyle w:val="TableContents"/>
              <w:spacing w:before="0" w:after="0"/>
              <w:ind w:left="0" w:right="0" w:hanging="0"/>
              <w:rPr/>
            </w:pPr>
            <w:r>
              <w:rPr/>
              <w:t> </w:t>
            </w:r>
          </w:p>
        </w:tc>
      </w:tr>
      <w:tr>
        <w:trPr/>
        <w:tc>
          <w:tcPr>
            <w:tcW w:w="3050" w:type="dxa"/>
            <w:tcBorders/>
            <w:shd w:fill="CCEEFF"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Floyd R. Tupper</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39" w:type="dxa"/>
            <w:tcBorders/>
            <w:shd w:fill="CCEEFF" w:val="clear"/>
            <w:tcMar>
              <w:bottom w:w="0" w:type="dxa"/>
            </w:tcMar>
            <w:vAlign w:val="center"/>
          </w:tcPr>
          <w:p>
            <w:pPr>
              <w:pStyle w:val="TableContents"/>
              <w:spacing w:before="0" w:after="0"/>
              <w:ind w:left="0" w:right="0" w:hanging="0"/>
              <w:rPr/>
            </w:pPr>
            <w:r>
              <w:rPr/>
              <w:t> </w:t>
            </w:r>
          </w:p>
        </w:tc>
        <w:tc>
          <w:tcPr>
            <w:tcW w:w="1560" w:type="dxa"/>
            <w:tcBorders/>
            <w:shd w:fill="CCEEFF" w:val="clear"/>
            <w:tcMar>
              <w:bottom w:w="0" w:type="dxa"/>
            </w:tcMar>
            <w:vAlign w:val="center"/>
          </w:tcPr>
          <w:p>
            <w:pPr>
              <w:pStyle w:val="TableContents"/>
              <w:spacing w:before="0" w:after="283"/>
              <w:jc w:val="right"/>
              <w:rPr/>
            </w:pPr>
            <w:r>
              <w:rPr/>
              <w:t>87,576</w:t>
            </w:r>
          </w:p>
        </w:tc>
        <w:tc>
          <w:tcPr>
            <w:tcW w:w="1130" w:type="dxa"/>
            <w:tcBorders/>
            <w:shd w:fill="CCEEFF" w:val="clear"/>
            <w:tcMar>
              <w:bottom w:w="0" w:type="dxa"/>
            </w:tcMar>
            <w:vAlign w:val="center"/>
          </w:tcPr>
          <w:p>
            <w:pPr>
              <w:pStyle w:val="TableContents"/>
              <w:spacing w:before="0" w:after="283"/>
              <w:rPr/>
            </w:pPr>
            <w:r>
              <w:rPr/>
              <w:t>(2)</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400" w:type="dxa"/>
            <w:gridSpan w:val="2"/>
            <w:tcBorders/>
            <w:shd w:fill="CCEEFF"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90" w:type="dxa"/>
            <w:tcBorders/>
            <w:shd w:fill="CCEEFF" w:val="clear"/>
            <w:tcMar>
              <w:bottom w:w="0" w:type="dxa"/>
            </w:tcMar>
            <w:vAlign w:val="center"/>
          </w:tcPr>
          <w:p>
            <w:pPr>
              <w:pStyle w:val="TableContents"/>
              <w:spacing w:before="0" w:after="0"/>
              <w:ind w:left="0" w:right="0" w:hanging="0"/>
              <w:rPr/>
            </w:pPr>
            <w:r>
              <w:rPr/>
              <w:t> </w:t>
            </w:r>
          </w:p>
        </w:tc>
      </w:tr>
      <w:tr>
        <w:trPr/>
        <w:tc>
          <w:tcPr>
            <w:tcW w:w="305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39" w:type="dxa"/>
            <w:tcBorders/>
            <w:shd w:fill="FFFFFF" w:val="clear"/>
            <w:tcMar>
              <w:bottom w:w="0" w:type="dxa"/>
            </w:tcMar>
            <w:vAlign w:val="center"/>
          </w:tcPr>
          <w:p>
            <w:pPr>
              <w:pStyle w:val="TableContents"/>
              <w:spacing w:before="0" w:after="0"/>
              <w:ind w:left="0" w:right="0" w:hanging="0"/>
              <w:rPr/>
            </w:pPr>
            <w:r>
              <w:rPr/>
              <w:t> </w:t>
            </w:r>
          </w:p>
        </w:tc>
        <w:tc>
          <w:tcPr>
            <w:tcW w:w="1560" w:type="dxa"/>
            <w:tcBorders/>
            <w:shd w:fill="FFFFFF" w:val="clear"/>
            <w:tcMar>
              <w:bottom w:w="0" w:type="dxa"/>
            </w:tcMar>
            <w:vAlign w:val="center"/>
          </w:tcPr>
          <w:p>
            <w:pPr>
              <w:pStyle w:val="TableContents"/>
              <w:spacing w:before="0" w:after="0"/>
              <w:ind w:left="0" w:right="0" w:hanging="0"/>
              <w:rPr/>
            </w:pPr>
            <w:r>
              <w:rPr/>
              <w:t> </w:t>
            </w:r>
          </w:p>
        </w:tc>
        <w:tc>
          <w:tcPr>
            <w:tcW w:w="113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224" w:type="dxa"/>
            <w:tcBorders/>
            <w:shd w:fill="FFFFFF" w:val="clear"/>
            <w:tcMar>
              <w:bottom w:w="0" w:type="dxa"/>
            </w:tcMar>
            <w:vAlign w:val="center"/>
          </w:tcPr>
          <w:p>
            <w:pPr>
              <w:pStyle w:val="TableContents"/>
              <w:spacing w:before="0" w:after="0"/>
              <w:ind w:left="0" w:right="0" w:hanging="0"/>
              <w:rPr/>
            </w:pPr>
            <w:r>
              <w:rPr/>
              <w:t> </w:t>
            </w:r>
          </w:p>
        </w:tc>
        <w:tc>
          <w:tcPr>
            <w:tcW w:w="1176" w:type="dxa"/>
            <w:tcBorders/>
            <w:shd w:fill="FFFFFF" w:val="clear"/>
            <w:tcMar>
              <w:bottom w:w="0" w:type="dxa"/>
            </w:tcMar>
            <w:vAlign w:val="center"/>
          </w:tcPr>
          <w:p>
            <w:pPr>
              <w:pStyle w:val="TableContents"/>
              <w:spacing w:before="0" w:after="0"/>
              <w:ind w:left="0" w:right="0" w:hanging="0"/>
              <w:rPr/>
            </w:pPr>
            <w:r>
              <w:rPr/>
              <w:t> </w:t>
            </w:r>
          </w:p>
        </w:tc>
        <w:tc>
          <w:tcPr>
            <w:tcW w:w="290" w:type="dxa"/>
            <w:tcBorders/>
            <w:shd w:fill="FFFFFF" w:val="clear"/>
            <w:tcMar>
              <w:bottom w:w="0" w:type="dxa"/>
            </w:tcMar>
            <w:vAlign w:val="center"/>
          </w:tcPr>
          <w:p>
            <w:pPr>
              <w:pStyle w:val="TableContents"/>
              <w:spacing w:before="0" w:after="0"/>
              <w:ind w:left="0" w:right="0" w:hanging="0"/>
              <w:rPr/>
            </w:pPr>
            <w:r>
              <w:rPr/>
              <w:t> </w:t>
            </w:r>
          </w:p>
        </w:tc>
      </w:tr>
      <w:tr>
        <w:trPr/>
        <w:tc>
          <w:tcPr>
            <w:tcW w:w="3050" w:type="dxa"/>
            <w:tcBorders/>
            <w:shd w:fill="CCEEFF"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Meryl S. Golden</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39" w:type="dxa"/>
            <w:tcBorders/>
            <w:shd w:fill="CCEEFF" w:val="clear"/>
            <w:tcMar>
              <w:bottom w:w="0" w:type="dxa"/>
            </w:tcMar>
            <w:vAlign w:val="center"/>
          </w:tcPr>
          <w:p>
            <w:pPr>
              <w:pStyle w:val="TableContents"/>
              <w:spacing w:before="0" w:after="0"/>
              <w:ind w:left="0" w:right="0" w:hanging="0"/>
              <w:rPr/>
            </w:pPr>
            <w:r>
              <w:rPr/>
              <w:t> </w:t>
            </w:r>
          </w:p>
        </w:tc>
        <w:tc>
          <w:tcPr>
            <w:tcW w:w="1560" w:type="dxa"/>
            <w:tcBorders/>
            <w:shd w:fill="CCEEFF" w:val="clear"/>
            <w:tcMar>
              <w:bottom w:w="0" w:type="dxa"/>
            </w:tcMar>
            <w:vAlign w:val="center"/>
          </w:tcPr>
          <w:p>
            <w:pPr>
              <w:pStyle w:val="TableContents"/>
              <w:spacing w:before="0" w:after="283"/>
              <w:jc w:val="right"/>
              <w:rPr/>
            </w:pPr>
            <w:r>
              <w:rPr/>
              <w:t>85,248</w:t>
            </w:r>
          </w:p>
        </w:tc>
        <w:tc>
          <w:tcPr>
            <w:tcW w:w="1130" w:type="dxa"/>
            <w:tcBorders/>
            <w:shd w:fill="CCEEFF" w:val="clear"/>
            <w:tcMar>
              <w:bottom w:w="0" w:type="dxa"/>
            </w:tcMar>
            <w:vAlign w:val="center"/>
          </w:tcPr>
          <w:p>
            <w:pPr>
              <w:pStyle w:val="TableContents"/>
              <w:spacing w:before="0" w:after="283"/>
              <w:rPr/>
            </w:pPr>
            <w:r>
              <w:rPr/>
              <w:t>(3)</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400" w:type="dxa"/>
            <w:gridSpan w:val="2"/>
            <w:tcBorders/>
            <w:shd w:fill="CCEEFF"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90" w:type="dxa"/>
            <w:tcBorders/>
            <w:shd w:fill="CCEEFF" w:val="clear"/>
            <w:tcMar>
              <w:bottom w:w="0" w:type="dxa"/>
            </w:tcMar>
            <w:vAlign w:val="center"/>
          </w:tcPr>
          <w:p>
            <w:pPr>
              <w:pStyle w:val="TableContents"/>
              <w:spacing w:before="0" w:after="0"/>
              <w:ind w:left="0" w:right="0" w:hanging="0"/>
              <w:jc w:val="right"/>
              <w:rPr/>
            </w:pPr>
            <w:r>
              <w:rPr/>
              <w:t> </w:t>
            </w:r>
          </w:p>
        </w:tc>
      </w:tr>
      <w:tr>
        <w:trPr/>
        <w:tc>
          <w:tcPr>
            <w:tcW w:w="305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39" w:type="dxa"/>
            <w:tcBorders/>
            <w:shd w:fill="FFFFFF" w:val="clear"/>
            <w:tcMar>
              <w:bottom w:w="0" w:type="dxa"/>
            </w:tcMar>
            <w:vAlign w:val="center"/>
          </w:tcPr>
          <w:p>
            <w:pPr>
              <w:pStyle w:val="TableContents"/>
              <w:spacing w:before="0" w:after="0"/>
              <w:ind w:left="0" w:right="0" w:hanging="0"/>
              <w:rPr/>
            </w:pPr>
            <w:r>
              <w:rPr/>
              <w:t> </w:t>
            </w:r>
          </w:p>
        </w:tc>
        <w:tc>
          <w:tcPr>
            <w:tcW w:w="1560" w:type="dxa"/>
            <w:tcBorders/>
            <w:shd w:fill="FFFFFF" w:val="clear"/>
            <w:tcMar>
              <w:bottom w:w="0" w:type="dxa"/>
            </w:tcMar>
            <w:vAlign w:val="center"/>
          </w:tcPr>
          <w:p>
            <w:pPr>
              <w:pStyle w:val="TableContents"/>
              <w:spacing w:before="0" w:after="0"/>
              <w:ind w:left="0" w:right="0" w:hanging="0"/>
              <w:rPr/>
            </w:pPr>
            <w:r>
              <w:rPr/>
              <w:t> </w:t>
            </w:r>
          </w:p>
        </w:tc>
        <w:tc>
          <w:tcPr>
            <w:tcW w:w="113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224" w:type="dxa"/>
            <w:tcBorders/>
            <w:shd w:fill="FFFFFF" w:val="clear"/>
            <w:tcMar>
              <w:bottom w:w="0" w:type="dxa"/>
            </w:tcMar>
            <w:vAlign w:val="center"/>
          </w:tcPr>
          <w:p>
            <w:pPr>
              <w:pStyle w:val="TableContents"/>
              <w:spacing w:before="0" w:after="0"/>
              <w:ind w:left="0" w:right="0" w:hanging="0"/>
              <w:rPr/>
            </w:pPr>
            <w:r>
              <w:rPr/>
              <w:t> </w:t>
            </w:r>
          </w:p>
        </w:tc>
        <w:tc>
          <w:tcPr>
            <w:tcW w:w="1176" w:type="dxa"/>
            <w:tcBorders/>
            <w:shd w:fill="FFFFFF" w:val="clear"/>
            <w:tcMar>
              <w:bottom w:w="0" w:type="dxa"/>
            </w:tcMar>
            <w:vAlign w:val="center"/>
          </w:tcPr>
          <w:p>
            <w:pPr>
              <w:pStyle w:val="TableContents"/>
              <w:spacing w:before="0" w:after="0"/>
              <w:ind w:left="0" w:right="0" w:hanging="0"/>
              <w:rPr/>
            </w:pPr>
            <w:r>
              <w:rPr/>
              <w:t> </w:t>
            </w:r>
          </w:p>
        </w:tc>
        <w:tc>
          <w:tcPr>
            <w:tcW w:w="290" w:type="dxa"/>
            <w:tcBorders/>
            <w:shd w:fill="FFFFFF" w:val="clear"/>
            <w:tcMar>
              <w:bottom w:w="0" w:type="dxa"/>
            </w:tcMar>
            <w:vAlign w:val="center"/>
          </w:tcPr>
          <w:p>
            <w:pPr>
              <w:pStyle w:val="TableContents"/>
              <w:spacing w:before="0" w:after="0"/>
              <w:ind w:left="0" w:right="0" w:hanging="0"/>
              <w:rPr/>
            </w:pPr>
            <w:r>
              <w:rPr/>
              <w:t> </w:t>
            </w:r>
          </w:p>
        </w:tc>
      </w:tr>
      <w:tr>
        <w:trPr/>
        <w:tc>
          <w:tcPr>
            <w:tcW w:w="3050"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Jennifer Gravelle</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39" w:type="dxa"/>
            <w:tcBorders/>
            <w:shd w:fill="CCEEFF" w:val="clear"/>
            <w:tcMar>
              <w:bottom w:w="0" w:type="dxa"/>
            </w:tcMar>
            <w:vAlign w:val="center"/>
          </w:tcPr>
          <w:p>
            <w:pPr>
              <w:pStyle w:val="TableContents"/>
              <w:spacing w:before="0" w:after="0"/>
              <w:ind w:left="0" w:right="0" w:hanging="0"/>
              <w:rPr/>
            </w:pPr>
            <w:r>
              <w:rPr/>
              <w:t> </w:t>
            </w:r>
          </w:p>
        </w:tc>
        <w:tc>
          <w:tcPr>
            <w:tcW w:w="1560" w:type="dxa"/>
            <w:tcBorders/>
            <w:shd w:fill="CCEEFF" w:val="clear"/>
            <w:tcMar>
              <w:bottom w:w="0" w:type="dxa"/>
            </w:tcMar>
            <w:vAlign w:val="center"/>
          </w:tcPr>
          <w:p>
            <w:pPr>
              <w:pStyle w:val="TableContents"/>
              <w:spacing w:before="0" w:after="283"/>
              <w:jc w:val="right"/>
              <w:rPr/>
            </w:pPr>
            <w:r>
              <w:rPr/>
              <w:t>-</w:t>
            </w:r>
          </w:p>
        </w:tc>
        <w:tc>
          <w:tcPr>
            <w:tcW w:w="113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224" w:type="dxa"/>
            <w:tcBorders/>
            <w:shd w:fill="CCEEFF" w:val="clear"/>
            <w:tcMar>
              <w:bottom w:w="0" w:type="dxa"/>
            </w:tcMar>
            <w:vAlign w:val="center"/>
          </w:tcPr>
          <w:p>
            <w:pPr>
              <w:pStyle w:val="TableContents"/>
              <w:spacing w:before="0" w:after="0"/>
              <w:ind w:left="0" w:right="0" w:hanging="0"/>
              <w:rPr/>
            </w:pPr>
            <w:r>
              <w:rPr/>
              <w:t> </w:t>
            </w:r>
          </w:p>
        </w:tc>
        <w:tc>
          <w:tcPr>
            <w:tcW w:w="1176" w:type="dxa"/>
            <w:tcBorders/>
            <w:shd w:fill="CCEEFF" w:val="clear"/>
            <w:tcMar>
              <w:bottom w:w="0" w:type="dxa"/>
            </w:tcMar>
            <w:vAlign w:val="center"/>
          </w:tcPr>
          <w:p>
            <w:pPr>
              <w:pStyle w:val="TableContents"/>
              <w:spacing w:before="0" w:after="283"/>
              <w:jc w:val="right"/>
              <w:rPr/>
            </w:pPr>
            <w:r>
              <w:rPr/>
              <w:t>-</w:t>
            </w:r>
          </w:p>
        </w:tc>
        <w:tc>
          <w:tcPr>
            <w:tcW w:w="290" w:type="dxa"/>
            <w:tcBorders/>
            <w:shd w:fill="CCEEFF" w:val="clear"/>
            <w:tcMar>
              <w:bottom w:w="0" w:type="dxa"/>
            </w:tcMar>
            <w:vAlign w:val="center"/>
          </w:tcPr>
          <w:p>
            <w:pPr>
              <w:pStyle w:val="TableContents"/>
              <w:spacing w:before="0" w:after="0"/>
              <w:ind w:left="0" w:right="0" w:hanging="0"/>
              <w:rPr/>
            </w:pPr>
            <w:r>
              <w:rPr/>
              <w:t> </w:t>
            </w:r>
          </w:p>
        </w:tc>
      </w:tr>
      <w:tr>
        <w:trPr/>
        <w:tc>
          <w:tcPr>
            <w:tcW w:w="305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39" w:type="dxa"/>
            <w:tcBorders/>
            <w:shd w:fill="FFFFFF" w:val="clear"/>
            <w:tcMar>
              <w:bottom w:w="0" w:type="dxa"/>
            </w:tcMar>
            <w:vAlign w:val="center"/>
          </w:tcPr>
          <w:p>
            <w:pPr>
              <w:pStyle w:val="TableContents"/>
              <w:spacing w:before="0" w:after="0"/>
              <w:ind w:left="0" w:right="0" w:hanging="0"/>
              <w:rPr/>
            </w:pPr>
            <w:r>
              <w:rPr/>
              <w:t> </w:t>
            </w:r>
          </w:p>
        </w:tc>
        <w:tc>
          <w:tcPr>
            <w:tcW w:w="1560" w:type="dxa"/>
            <w:tcBorders/>
            <w:shd w:fill="FFFFFF" w:val="clear"/>
            <w:tcMar>
              <w:bottom w:w="0" w:type="dxa"/>
            </w:tcMar>
            <w:vAlign w:val="center"/>
          </w:tcPr>
          <w:p>
            <w:pPr>
              <w:pStyle w:val="TableContents"/>
              <w:spacing w:before="0" w:after="0"/>
              <w:ind w:left="0" w:right="0" w:hanging="0"/>
              <w:rPr/>
            </w:pPr>
            <w:r>
              <w:rPr/>
              <w:t> </w:t>
            </w:r>
          </w:p>
        </w:tc>
        <w:tc>
          <w:tcPr>
            <w:tcW w:w="113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224" w:type="dxa"/>
            <w:tcBorders/>
            <w:shd w:fill="FFFFFF" w:val="clear"/>
            <w:tcMar>
              <w:bottom w:w="0" w:type="dxa"/>
            </w:tcMar>
            <w:vAlign w:val="center"/>
          </w:tcPr>
          <w:p>
            <w:pPr>
              <w:pStyle w:val="TableContents"/>
              <w:spacing w:before="0" w:after="0"/>
              <w:ind w:left="0" w:right="0" w:hanging="0"/>
              <w:rPr/>
            </w:pPr>
            <w:r>
              <w:rPr/>
              <w:t> </w:t>
            </w:r>
          </w:p>
        </w:tc>
        <w:tc>
          <w:tcPr>
            <w:tcW w:w="1176" w:type="dxa"/>
            <w:tcBorders/>
            <w:shd w:fill="FFFFFF" w:val="clear"/>
            <w:tcMar>
              <w:bottom w:w="0" w:type="dxa"/>
            </w:tcMar>
            <w:vAlign w:val="center"/>
          </w:tcPr>
          <w:p>
            <w:pPr>
              <w:pStyle w:val="TableContents"/>
              <w:spacing w:before="0" w:after="0"/>
              <w:ind w:left="0" w:right="0" w:hanging="0"/>
              <w:rPr/>
            </w:pPr>
            <w:r>
              <w:rPr/>
              <w:t> </w:t>
            </w:r>
          </w:p>
        </w:tc>
        <w:tc>
          <w:tcPr>
            <w:tcW w:w="290" w:type="dxa"/>
            <w:tcBorders/>
            <w:shd w:fill="FFFFFF" w:val="clear"/>
            <w:tcMar>
              <w:bottom w:w="0" w:type="dxa"/>
            </w:tcMar>
            <w:vAlign w:val="center"/>
          </w:tcPr>
          <w:p>
            <w:pPr>
              <w:pStyle w:val="TableContents"/>
              <w:spacing w:before="0" w:after="0"/>
              <w:ind w:left="0" w:right="0" w:hanging="0"/>
              <w:rPr/>
            </w:pPr>
            <w:r>
              <w:rPr/>
              <w:t> </w:t>
            </w:r>
          </w:p>
        </w:tc>
      </w:tr>
      <w:tr>
        <w:trPr/>
        <w:tc>
          <w:tcPr>
            <w:tcW w:w="3050"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William L. Yankus</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39" w:type="dxa"/>
            <w:tcBorders/>
            <w:shd w:fill="CCEEFF" w:val="clear"/>
            <w:tcMar>
              <w:bottom w:w="0" w:type="dxa"/>
            </w:tcMar>
            <w:vAlign w:val="center"/>
          </w:tcPr>
          <w:p>
            <w:pPr>
              <w:pStyle w:val="TableContents"/>
              <w:spacing w:before="0" w:after="0"/>
              <w:ind w:left="0" w:right="0" w:hanging="0"/>
              <w:rPr/>
            </w:pPr>
            <w:r>
              <w:rPr/>
              <w:t> </w:t>
            </w:r>
          </w:p>
        </w:tc>
        <w:tc>
          <w:tcPr>
            <w:tcW w:w="1560" w:type="dxa"/>
            <w:tcBorders/>
            <w:shd w:fill="CCEEFF" w:val="clear"/>
            <w:tcMar>
              <w:bottom w:w="0" w:type="dxa"/>
            </w:tcMar>
            <w:vAlign w:val="center"/>
          </w:tcPr>
          <w:p>
            <w:pPr>
              <w:pStyle w:val="TableContents"/>
              <w:spacing w:before="0" w:after="283"/>
              <w:jc w:val="right"/>
              <w:rPr/>
            </w:pPr>
            <w:r>
              <w:rPr/>
              <w:t>37,945</w:t>
            </w:r>
          </w:p>
        </w:tc>
        <w:tc>
          <w:tcPr>
            <w:tcW w:w="113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400" w:type="dxa"/>
            <w:gridSpan w:val="2"/>
            <w:tcBorders/>
            <w:shd w:fill="CCEEFF"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90" w:type="dxa"/>
            <w:tcBorders/>
            <w:shd w:fill="CCEEFF" w:val="clear"/>
            <w:tcMar>
              <w:bottom w:w="0" w:type="dxa"/>
            </w:tcMar>
            <w:vAlign w:val="center"/>
          </w:tcPr>
          <w:p>
            <w:pPr>
              <w:pStyle w:val="TableContents"/>
              <w:spacing w:before="0" w:after="0"/>
              <w:ind w:left="0" w:right="0" w:hanging="0"/>
              <w:rPr/>
            </w:pPr>
            <w:r>
              <w:rPr/>
              <w:t> </w:t>
            </w:r>
          </w:p>
        </w:tc>
      </w:tr>
      <w:tr>
        <w:trPr/>
        <w:tc>
          <w:tcPr>
            <w:tcW w:w="305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39" w:type="dxa"/>
            <w:tcBorders/>
            <w:shd w:fill="FFFFFF" w:val="clear"/>
            <w:tcMar>
              <w:bottom w:w="0" w:type="dxa"/>
            </w:tcMar>
            <w:vAlign w:val="center"/>
          </w:tcPr>
          <w:p>
            <w:pPr>
              <w:pStyle w:val="TableContents"/>
              <w:spacing w:before="0" w:after="0"/>
              <w:ind w:left="0" w:right="0" w:hanging="0"/>
              <w:rPr/>
            </w:pPr>
            <w:r>
              <w:rPr/>
              <w:t> </w:t>
            </w:r>
          </w:p>
        </w:tc>
        <w:tc>
          <w:tcPr>
            <w:tcW w:w="1560" w:type="dxa"/>
            <w:tcBorders/>
            <w:shd w:fill="FFFFFF" w:val="clear"/>
            <w:tcMar>
              <w:bottom w:w="0" w:type="dxa"/>
            </w:tcMar>
            <w:vAlign w:val="center"/>
          </w:tcPr>
          <w:p>
            <w:pPr>
              <w:pStyle w:val="TableContents"/>
              <w:spacing w:before="0" w:after="0"/>
              <w:ind w:left="0" w:right="0" w:hanging="0"/>
              <w:rPr/>
            </w:pPr>
            <w:r>
              <w:rPr/>
              <w:t> </w:t>
            </w:r>
          </w:p>
        </w:tc>
        <w:tc>
          <w:tcPr>
            <w:tcW w:w="113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224" w:type="dxa"/>
            <w:tcBorders/>
            <w:shd w:fill="FFFFFF" w:val="clear"/>
            <w:tcMar>
              <w:bottom w:w="0" w:type="dxa"/>
            </w:tcMar>
            <w:vAlign w:val="center"/>
          </w:tcPr>
          <w:p>
            <w:pPr>
              <w:pStyle w:val="TableContents"/>
              <w:spacing w:before="0" w:after="0"/>
              <w:ind w:left="0" w:right="0" w:hanging="0"/>
              <w:rPr/>
            </w:pPr>
            <w:r>
              <w:rPr/>
              <w:t> </w:t>
            </w:r>
          </w:p>
        </w:tc>
        <w:tc>
          <w:tcPr>
            <w:tcW w:w="1176" w:type="dxa"/>
            <w:tcBorders/>
            <w:shd w:fill="FFFFFF" w:val="clear"/>
            <w:tcMar>
              <w:bottom w:w="0" w:type="dxa"/>
            </w:tcMar>
            <w:vAlign w:val="center"/>
          </w:tcPr>
          <w:p>
            <w:pPr>
              <w:pStyle w:val="TableContents"/>
              <w:spacing w:before="0" w:after="0"/>
              <w:ind w:left="0" w:right="0" w:hanging="0"/>
              <w:rPr/>
            </w:pPr>
            <w:r>
              <w:rPr/>
              <w:t> </w:t>
            </w:r>
          </w:p>
        </w:tc>
        <w:tc>
          <w:tcPr>
            <w:tcW w:w="290" w:type="dxa"/>
            <w:tcBorders/>
            <w:shd w:fill="FFFFFF" w:val="clear"/>
            <w:tcMar>
              <w:bottom w:w="0" w:type="dxa"/>
            </w:tcMar>
            <w:vAlign w:val="center"/>
          </w:tcPr>
          <w:p>
            <w:pPr>
              <w:pStyle w:val="TableContents"/>
              <w:spacing w:before="0" w:after="0"/>
              <w:ind w:left="0" w:right="0" w:hanging="0"/>
              <w:rPr/>
            </w:pPr>
            <w:r>
              <w:rPr/>
              <w:t> </w:t>
            </w:r>
          </w:p>
        </w:tc>
      </w:tr>
      <w:tr>
        <w:trPr/>
        <w:tc>
          <w:tcPr>
            <w:tcW w:w="3050"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Carla A. D’Andre</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39" w:type="dxa"/>
            <w:tcBorders/>
            <w:shd w:fill="CCEEFF" w:val="clear"/>
            <w:tcMar>
              <w:bottom w:w="0" w:type="dxa"/>
            </w:tcMar>
            <w:vAlign w:val="center"/>
          </w:tcPr>
          <w:p>
            <w:pPr>
              <w:pStyle w:val="TableContents"/>
              <w:spacing w:before="0" w:after="0"/>
              <w:ind w:left="0" w:right="0" w:hanging="0"/>
              <w:rPr/>
            </w:pPr>
            <w:r>
              <w:rPr/>
              <w:t> </w:t>
            </w:r>
          </w:p>
        </w:tc>
        <w:tc>
          <w:tcPr>
            <w:tcW w:w="1560" w:type="dxa"/>
            <w:tcBorders/>
            <w:shd w:fill="CCEEFF" w:val="clear"/>
            <w:tcMar>
              <w:bottom w:w="0" w:type="dxa"/>
            </w:tcMar>
            <w:vAlign w:val="center"/>
          </w:tcPr>
          <w:p>
            <w:pPr>
              <w:pStyle w:val="TableContents"/>
              <w:spacing w:before="0" w:after="283"/>
              <w:jc w:val="right"/>
              <w:rPr/>
            </w:pPr>
            <w:r>
              <w:rPr/>
              <w:t>36,095</w:t>
            </w:r>
          </w:p>
        </w:tc>
        <w:tc>
          <w:tcPr>
            <w:tcW w:w="1130" w:type="dxa"/>
            <w:tcBorders/>
            <w:shd w:fill="CCEEFF" w:val="clear"/>
            <w:tcMar>
              <w:bottom w:w="0" w:type="dxa"/>
            </w:tcMar>
            <w:vAlign w:val="center"/>
          </w:tcPr>
          <w:p>
            <w:pPr>
              <w:pStyle w:val="TableContents"/>
              <w:spacing w:before="0" w:after="283"/>
              <w:rPr/>
            </w:pPr>
            <w:r>
              <w:rPr/>
              <w:t>(4)</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400" w:type="dxa"/>
            <w:gridSpan w:val="2"/>
            <w:tcBorders/>
            <w:shd w:fill="CCEEFF"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90" w:type="dxa"/>
            <w:tcBorders/>
            <w:shd w:fill="CCEEFF" w:val="clear"/>
            <w:tcMar>
              <w:bottom w:w="0" w:type="dxa"/>
            </w:tcMar>
            <w:vAlign w:val="center"/>
          </w:tcPr>
          <w:p>
            <w:pPr>
              <w:pStyle w:val="TableContents"/>
              <w:spacing w:before="0" w:after="0"/>
              <w:ind w:left="0" w:right="0" w:hanging="0"/>
              <w:rPr/>
            </w:pPr>
            <w:r>
              <w:rPr/>
              <w:t> </w:t>
            </w:r>
          </w:p>
        </w:tc>
      </w:tr>
      <w:tr>
        <w:trPr/>
        <w:tc>
          <w:tcPr>
            <w:tcW w:w="305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39" w:type="dxa"/>
            <w:tcBorders/>
            <w:shd w:fill="FFFFFF" w:val="clear"/>
            <w:tcMar>
              <w:bottom w:w="0" w:type="dxa"/>
            </w:tcMar>
            <w:vAlign w:val="center"/>
          </w:tcPr>
          <w:p>
            <w:pPr>
              <w:pStyle w:val="TableContents"/>
              <w:spacing w:before="0" w:after="0"/>
              <w:ind w:left="0" w:right="0" w:hanging="0"/>
              <w:rPr/>
            </w:pPr>
            <w:r>
              <w:rPr/>
              <w:t> </w:t>
            </w:r>
          </w:p>
        </w:tc>
        <w:tc>
          <w:tcPr>
            <w:tcW w:w="1560" w:type="dxa"/>
            <w:tcBorders/>
            <w:shd w:fill="FFFFFF" w:val="clear"/>
            <w:tcMar>
              <w:bottom w:w="0" w:type="dxa"/>
            </w:tcMar>
            <w:vAlign w:val="center"/>
          </w:tcPr>
          <w:p>
            <w:pPr>
              <w:pStyle w:val="TableContents"/>
              <w:spacing w:before="0" w:after="0"/>
              <w:ind w:left="0" w:right="0" w:hanging="0"/>
              <w:rPr/>
            </w:pPr>
            <w:r>
              <w:rPr/>
              <w:t> </w:t>
            </w:r>
          </w:p>
        </w:tc>
        <w:tc>
          <w:tcPr>
            <w:tcW w:w="113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224" w:type="dxa"/>
            <w:tcBorders/>
            <w:shd w:fill="FFFFFF" w:val="clear"/>
            <w:tcMar>
              <w:bottom w:w="0" w:type="dxa"/>
            </w:tcMar>
            <w:vAlign w:val="center"/>
          </w:tcPr>
          <w:p>
            <w:pPr>
              <w:pStyle w:val="TableContents"/>
              <w:spacing w:before="0" w:after="0"/>
              <w:ind w:left="0" w:right="0" w:hanging="0"/>
              <w:rPr/>
            </w:pPr>
            <w:r>
              <w:rPr/>
              <w:t> </w:t>
            </w:r>
          </w:p>
        </w:tc>
        <w:tc>
          <w:tcPr>
            <w:tcW w:w="1176" w:type="dxa"/>
            <w:tcBorders/>
            <w:shd w:fill="FFFFFF" w:val="clear"/>
            <w:tcMar>
              <w:bottom w:w="0" w:type="dxa"/>
            </w:tcMar>
            <w:vAlign w:val="center"/>
          </w:tcPr>
          <w:p>
            <w:pPr>
              <w:pStyle w:val="TableContents"/>
              <w:spacing w:before="0" w:after="0"/>
              <w:ind w:left="0" w:right="0" w:hanging="0"/>
              <w:rPr/>
            </w:pPr>
            <w:r>
              <w:rPr/>
              <w:t> </w:t>
            </w:r>
          </w:p>
        </w:tc>
        <w:tc>
          <w:tcPr>
            <w:tcW w:w="290" w:type="dxa"/>
            <w:tcBorders/>
            <w:shd w:fill="FFFFFF" w:val="clear"/>
            <w:tcMar>
              <w:bottom w:w="0" w:type="dxa"/>
            </w:tcMar>
            <w:vAlign w:val="center"/>
          </w:tcPr>
          <w:p>
            <w:pPr>
              <w:pStyle w:val="TableContents"/>
              <w:spacing w:before="0" w:after="0"/>
              <w:ind w:left="0" w:right="0" w:hanging="0"/>
              <w:rPr/>
            </w:pPr>
            <w:r>
              <w:rPr/>
              <w:t> </w:t>
            </w:r>
          </w:p>
        </w:tc>
      </w:tr>
      <w:tr>
        <w:trPr/>
        <w:tc>
          <w:tcPr>
            <w:tcW w:w="3050"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Timothy P. McFadden</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39" w:type="dxa"/>
            <w:tcBorders/>
            <w:shd w:fill="CCEEFF" w:val="clear"/>
            <w:tcMar>
              <w:bottom w:w="0" w:type="dxa"/>
            </w:tcMar>
            <w:vAlign w:val="center"/>
          </w:tcPr>
          <w:p>
            <w:pPr>
              <w:pStyle w:val="TableContents"/>
              <w:spacing w:before="0" w:after="0"/>
              <w:ind w:left="0" w:right="0" w:hanging="0"/>
              <w:rPr/>
            </w:pPr>
            <w:r>
              <w:rPr/>
              <w:t> </w:t>
            </w:r>
          </w:p>
        </w:tc>
        <w:tc>
          <w:tcPr>
            <w:tcW w:w="1560" w:type="dxa"/>
            <w:tcBorders/>
            <w:shd w:fill="CCEEFF" w:val="clear"/>
            <w:tcMar>
              <w:bottom w:w="0" w:type="dxa"/>
            </w:tcMar>
            <w:vAlign w:val="center"/>
          </w:tcPr>
          <w:p>
            <w:pPr>
              <w:pStyle w:val="TableContents"/>
              <w:spacing w:before="0" w:after="283"/>
              <w:jc w:val="right"/>
              <w:rPr/>
            </w:pPr>
            <w:r>
              <w:rPr/>
              <w:t>35,740</w:t>
            </w:r>
          </w:p>
        </w:tc>
        <w:tc>
          <w:tcPr>
            <w:tcW w:w="113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400" w:type="dxa"/>
            <w:gridSpan w:val="2"/>
            <w:tcBorders/>
            <w:shd w:fill="CCEEFF"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90" w:type="dxa"/>
            <w:tcBorders/>
            <w:shd w:fill="CCEEFF" w:val="clear"/>
            <w:tcMar>
              <w:bottom w:w="0" w:type="dxa"/>
            </w:tcMar>
            <w:vAlign w:val="center"/>
          </w:tcPr>
          <w:p>
            <w:pPr>
              <w:pStyle w:val="TableContents"/>
              <w:spacing w:before="0" w:after="0"/>
              <w:ind w:left="0" w:right="0" w:hanging="0"/>
              <w:rPr/>
            </w:pPr>
            <w:r>
              <w:rPr/>
              <w:t> </w:t>
            </w:r>
          </w:p>
        </w:tc>
      </w:tr>
      <w:tr>
        <w:trPr/>
        <w:tc>
          <w:tcPr>
            <w:tcW w:w="305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39" w:type="dxa"/>
            <w:tcBorders/>
            <w:shd w:fill="FFFFFF" w:val="clear"/>
            <w:tcMar>
              <w:bottom w:w="0" w:type="dxa"/>
            </w:tcMar>
            <w:vAlign w:val="center"/>
          </w:tcPr>
          <w:p>
            <w:pPr>
              <w:pStyle w:val="TableContents"/>
              <w:spacing w:before="0" w:after="0"/>
              <w:ind w:left="0" w:right="0" w:hanging="0"/>
              <w:rPr/>
            </w:pPr>
            <w:r>
              <w:rPr/>
              <w:t> </w:t>
            </w:r>
          </w:p>
        </w:tc>
        <w:tc>
          <w:tcPr>
            <w:tcW w:w="1560" w:type="dxa"/>
            <w:tcBorders/>
            <w:shd w:fill="FFFFFF" w:val="clear"/>
            <w:tcMar>
              <w:bottom w:w="0" w:type="dxa"/>
            </w:tcMar>
            <w:vAlign w:val="center"/>
          </w:tcPr>
          <w:p>
            <w:pPr>
              <w:pStyle w:val="TableContents"/>
              <w:spacing w:before="0" w:after="0"/>
              <w:ind w:left="0" w:right="0" w:hanging="0"/>
              <w:rPr/>
            </w:pPr>
            <w:r>
              <w:rPr/>
              <w:t> </w:t>
            </w:r>
          </w:p>
        </w:tc>
        <w:tc>
          <w:tcPr>
            <w:tcW w:w="113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224" w:type="dxa"/>
            <w:tcBorders/>
            <w:shd w:fill="FFFFFF" w:val="clear"/>
            <w:tcMar>
              <w:bottom w:w="0" w:type="dxa"/>
            </w:tcMar>
            <w:vAlign w:val="center"/>
          </w:tcPr>
          <w:p>
            <w:pPr>
              <w:pStyle w:val="TableContents"/>
              <w:spacing w:before="0" w:after="0"/>
              <w:ind w:left="0" w:right="0" w:hanging="0"/>
              <w:rPr/>
            </w:pPr>
            <w:r>
              <w:rPr/>
              <w:t> </w:t>
            </w:r>
          </w:p>
        </w:tc>
        <w:tc>
          <w:tcPr>
            <w:tcW w:w="1176" w:type="dxa"/>
            <w:tcBorders/>
            <w:shd w:fill="FFFFFF" w:val="clear"/>
            <w:tcMar>
              <w:bottom w:w="0" w:type="dxa"/>
            </w:tcMar>
            <w:vAlign w:val="center"/>
          </w:tcPr>
          <w:p>
            <w:pPr>
              <w:pStyle w:val="TableContents"/>
              <w:spacing w:before="0" w:after="0"/>
              <w:ind w:left="0" w:right="0" w:hanging="0"/>
              <w:rPr/>
            </w:pPr>
            <w:r>
              <w:rPr/>
              <w:t> </w:t>
            </w:r>
          </w:p>
        </w:tc>
        <w:tc>
          <w:tcPr>
            <w:tcW w:w="290" w:type="dxa"/>
            <w:tcBorders/>
            <w:shd w:fill="FFFFFF" w:val="clear"/>
            <w:tcMar>
              <w:bottom w:w="0" w:type="dxa"/>
            </w:tcMar>
            <w:vAlign w:val="center"/>
          </w:tcPr>
          <w:p>
            <w:pPr>
              <w:pStyle w:val="TableContents"/>
              <w:spacing w:before="0" w:after="0"/>
              <w:ind w:left="0" w:right="0" w:hanging="0"/>
              <w:rPr/>
            </w:pPr>
            <w:r>
              <w:rPr/>
              <w:t> </w:t>
            </w:r>
          </w:p>
        </w:tc>
      </w:tr>
      <w:tr>
        <w:trPr/>
        <w:tc>
          <w:tcPr>
            <w:tcW w:w="3050"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Sarah (Minlei) Chen</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39" w:type="dxa"/>
            <w:tcBorders/>
            <w:shd w:fill="CCEEFF" w:val="clear"/>
            <w:tcMar>
              <w:bottom w:w="0" w:type="dxa"/>
            </w:tcMar>
            <w:vAlign w:val="center"/>
          </w:tcPr>
          <w:p>
            <w:pPr>
              <w:pStyle w:val="TableContents"/>
              <w:spacing w:before="0" w:after="0"/>
              <w:ind w:left="0" w:right="0" w:hanging="0"/>
              <w:rPr/>
            </w:pPr>
            <w:r>
              <w:rPr/>
              <w:t> </w:t>
            </w:r>
          </w:p>
        </w:tc>
        <w:tc>
          <w:tcPr>
            <w:tcW w:w="1560" w:type="dxa"/>
            <w:tcBorders/>
            <w:shd w:fill="CCEEFF" w:val="clear"/>
            <w:tcMar>
              <w:bottom w:w="0" w:type="dxa"/>
            </w:tcMar>
            <w:vAlign w:val="center"/>
          </w:tcPr>
          <w:p>
            <w:pPr>
              <w:pStyle w:val="TableContents"/>
              <w:spacing w:before="0" w:after="283"/>
              <w:jc w:val="right"/>
              <w:rPr/>
            </w:pPr>
            <w:r>
              <w:rPr/>
              <w:t>4,485</w:t>
            </w:r>
          </w:p>
        </w:tc>
        <w:tc>
          <w:tcPr>
            <w:tcW w:w="113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400" w:type="dxa"/>
            <w:gridSpan w:val="2"/>
            <w:tcBorders/>
            <w:shd w:fill="CCEEFF" w:val="clear"/>
            <w:tcMar>
              <w:bottom w:w="0"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290" w:type="dxa"/>
            <w:tcBorders/>
            <w:shd w:fill="CCEEFF" w:val="clear"/>
            <w:tcMar>
              <w:bottom w:w="0" w:type="dxa"/>
            </w:tcMar>
            <w:vAlign w:val="center"/>
          </w:tcPr>
          <w:p>
            <w:pPr>
              <w:pStyle w:val="TableContents"/>
              <w:spacing w:before="0" w:after="0"/>
              <w:ind w:left="0" w:right="0" w:hanging="0"/>
              <w:rPr/>
            </w:pPr>
            <w:r>
              <w:rPr/>
              <w:t> </w:t>
            </w:r>
          </w:p>
        </w:tc>
      </w:tr>
      <w:tr>
        <w:trPr/>
        <w:tc>
          <w:tcPr>
            <w:tcW w:w="305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39" w:type="dxa"/>
            <w:tcBorders/>
            <w:shd w:fill="FFFFFF" w:val="clear"/>
            <w:tcMar>
              <w:bottom w:w="0" w:type="dxa"/>
            </w:tcMar>
            <w:vAlign w:val="center"/>
          </w:tcPr>
          <w:p>
            <w:pPr>
              <w:pStyle w:val="TableContents"/>
              <w:spacing w:before="0" w:after="0"/>
              <w:ind w:left="0" w:right="0" w:hanging="0"/>
              <w:rPr/>
            </w:pPr>
            <w:r>
              <w:rPr/>
              <w:t> </w:t>
            </w:r>
          </w:p>
        </w:tc>
        <w:tc>
          <w:tcPr>
            <w:tcW w:w="1560" w:type="dxa"/>
            <w:tcBorders/>
            <w:shd w:fill="FFFFFF" w:val="clear"/>
            <w:tcMar>
              <w:bottom w:w="0" w:type="dxa"/>
            </w:tcMar>
            <w:vAlign w:val="center"/>
          </w:tcPr>
          <w:p>
            <w:pPr>
              <w:pStyle w:val="TableContents"/>
              <w:spacing w:before="0" w:after="0"/>
              <w:ind w:left="0" w:right="0" w:hanging="0"/>
              <w:rPr/>
            </w:pPr>
            <w:r>
              <w:rPr/>
              <w:t> </w:t>
            </w:r>
          </w:p>
        </w:tc>
        <w:tc>
          <w:tcPr>
            <w:tcW w:w="113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224" w:type="dxa"/>
            <w:tcBorders/>
            <w:shd w:fill="FFFFFF" w:val="clear"/>
            <w:tcMar>
              <w:bottom w:w="0" w:type="dxa"/>
            </w:tcMar>
            <w:vAlign w:val="center"/>
          </w:tcPr>
          <w:p>
            <w:pPr>
              <w:pStyle w:val="TableContents"/>
              <w:spacing w:before="0" w:after="0"/>
              <w:ind w:left="0" w:right="0" w:hanging="0"/>
              <w:rPr/>
            </w:pPr>
            <w:r>
              <w:rPr/>
              <w:t> </w:t>
            </w:r>
          </w:p>
        </w:tc>
        <w:tc>
          <w:tcPr>
            <w:tcW w:w="1176" w:type="dxa"/>
            <w:tcBorders/>
            <w:shd w:fill="FFFFFF" w:val="clear"/>
            <w:tcMar>
              <w:bottom w:w="0" w:type="dxa"/>
            </w:tcMar>
            <w:vAlign w:val="center"/>
          </w:tcPr>
          <w:p>
            <w:pPr>
              <w:pStyle w:val="TableContents"/>
              <w:spacing w:before="0" w:after="0"/>
              <w:ind w:left="0" w:right="0" w:hanging="0"/>
              <w:rPr/>
            </w:pPr>
            <w:r>
              <w:rPr/>
              <w:t> </w:t>
            </w:r>
          </w:p>
        </w:tc>
        <w:tc>
          <w:tcPr>
            <w:tcW w:w="290" w:type="dxa"/>
            <w:tcBorders/>
            <w:shd w:fill="FFFFFF" w:val="clear"/>
            <w:tcMar>
              <w:bottom w:w="0" w:type="dxa"/>
            </w:tcMar>
            <w:vAlign w:val="center"/>
          </w:tcPr>
          <w:p>
            <w:pPr>
              <w:pStyle w:val="TableContents"/>
              <w:spacing w:before="0" w:after="0"/>
              <w:ind w:left="0" w:right="0" w:hanging="0"/>
              <w:rPr/>
            </w:pPr>
            <w:r>
              <w:rPr/>
              <w:t> </w:t>
            </w:r>
          </w:p>
        </w:tc>
      </w:tr>
      <w:tr>
        <w:trPr/>
        <w:tc>
          <w:tcPr>
            <w:tcW w:w="3050"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Gregory Fortunoff</w:t>
            </w:r>
          </w:p>
          <w:p>
            <w:pPr>
              <w:pStyle w:val="TableContents"/>
              <w:spacing w:before="0" w:after="0"/>
              <w:ind w:left="0" w:right="0" w:hanging="0"/>
              <w:rPr>
                <w:rFonts w:ascii="times new roman" w:hAnsi="times new roman"/>
                <w:sz w:val="20"/>
              </w:rPr>
            </w:pPr>
            <w:r>
              <w:rPr>
                <w:rFonts w:ascii="times new roman" w:hAnsi="times new roman"/>
                <w:sz w:val="20"/>
              </w:rPr>
              <w:t>49 West 37th Street</w:t>
            </w:r>
          </w:p>
          <w:p>
            <w:pPr>
              <w:pStyle w:val="TableContents"/>
              <w:spacing w:before="0" w:after="0"/>
              <w:ind w:left="0" w:right="0" w:hanging="0"/>
              <w:rPr>
                <w:rFonts w:ascii="times new roman" w:hAnsi="times new roman"/>
                <w:sz w:val="20"/>
              </w:rPr>
            </w:pPr>
            <w:r>
              <w:rPr>
                <w:rFonts w:ascii="times new roman" w:hAnsi="times new roman"/>
                <w:sz w:val="20"/>
              </w:rPr>
              <w:t>New York, New York 10018</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39" w:type="dxa"/>
            <w:tcBorders/>
            <w:shd w:fill="CCEEFF" w:val="clear"/>
            <w:tcMar>
              <w:bottom w:w="0" w:type="dxa"/>
            </w:tcMar>
            <w:vAlign w:val="center"/>
          </w:tcPr>
          <w:p>
            <w:pPr>
              <w:pStyle w:val="TableContents"/>
              <w:spacing w:before="0" w:after="0"/>
              <w:ind w:left="0" w:right="0" w:hanging="0"/>
              <w:rPr/>
            </w:pPr>
            <w:r>
              <w:rPr/>
              <w:t> </w:t>
            </w:r>
          </w:p>
        </w:tc>
        <w:tc>
          <w:tcPr>
            <w:tcW w:w="1560" w:type="dxa"/>
            <w:tcBorders/>
            <w:shd w:fill="CCEEFF" w:val="clear"/>
            <w:tcMar>
              <w:bottom w:w="0" w:type="dxa"/>
            </w:tcMar>
            <w:vAlign w:val="center"/>
          </w:tcPr>
          <w:p>
            <w:pPr>
              <w:pStyle w:val="TableContents"/>
              <w:spacing w:before="0" w:after="283"/>
              <w:jc w:val="right"/>
              <w:rPr/>
            </w:pPr>
            <w:r>
              <w:rPr/>
              <w:t>753,600</w:t>
            </w:r>
          </w:p>
        </w:tc>
        <w:tc>
          <w:tcPr>
            <w:tcW w:w="1130" w:type="dxa"/>
            <w:tcBorders/>
            <w:shd w:fill="CCEEFF" w:val="clear"/>
            <w:tcMar>
              <w:bottom w:w="0" w:type="dxa"/>
            </w:tcMar>
            <w:vAlign w:val="center"/>
          </w:tcPr>
          <w:p>
            <w:pPr>
              <w:pStyle w:val="TableContents"/>
              <w:spacing w:before="0" w:after="283"/>
              <w:rPr/>
            </w:pPr>
            <w:r>
              <w:rPr/>
              <w:t>(5)</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224" w:type="dxa"/>
            <w:tcBorders/>
            <w:shd w:fill="CCEEFF" w:val="clear"/>
            <w:tcMar>
              <w:bottom w:w="0" w:type="dxa"/>
            </w:tcMar>
            <w:vAlign w:val="center"/>
          </w:tcPr>
          <w:p>
            <w:pPr>
              <w:pStyle w:val="TableContents"/>
              <w:spacing w:before="0" w:after="0"/>
              <w:ind w:left="0" w:right="0" w:hanging="0"/>
              <w:rPr/>
            </w:pPr>
            <w:r>
              <w:rPr/>
              <w:t> </w:t>
            </w:r>
          </w:p>
        </w:tc>
        <w:tc>
          <w:tcPr>
            <w:tcW w:w="1176" w:type="dxa"/>
            <w:tcBorders/>
            <w:shd w:fill="CCEEFF" w:val="clear"/>
            <w:tcMar>
              <w:bottom w:w="0" w:type="dxa"/>
            </w:tcMar>
            <w:vAlign w:val="center"/>
          </w:tcPr>
          <w:p>
            <w:pPr>
              <w:pStyle w:val="TableContents"/>
              <w:spacing w:before="0" w:after="283"/>
              <w:jc w:val="right"/>
              <w:rPr/>
            </w:pPr>
            <w:r>
              <w:rPr/>
              <w:t>7.0</w:t>
            </w:r>
          </w:p>
        </w:tc>
        <w:tc>
          <w:tcPr>
            <w:tcW w:w="290" w:type="dxa"/>
            <w:tcBorders/>
            <w:shd w:fill="CCEEFF" w:val="clear"/>
            <w:tcMar>
              <w:bottom w:w="0" w:type="dxa"/>
            </w:tcMar>
            <w:vAlign w:val="center"/>
          </w:tcPr>
          <w:p>
            <w:pPr>
              <w:pStyle w:val="TableContents"/>
              <w:spacing w:before="0" w:after="283"/>
              <w:rPr/>
            </w:pPr>
            <w:r>
              <w:rPr/>
              <w:t>%</w:t>
            </w:r>
          </w:p>
        </w:tc>
      </w:tr>
      <w:tr>
        <w:trPr/>
        <w:tc>
          <w:tcPr>
            <w:tcW w:w="305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39" w:type="dxa"/>
            <w:tcBorders/>
            <w:shd w:fill="FFFFFF" w:val="clear"/>
            <w:tcMar>
              <w:bottom w:w="0" w:type="dxa"/>
            </w:tcMar>
            <w:vAlign w:val="center"/>
          </w:tcPr>
          <w:p>
            <w:pPr>
              <w:pStyle w:val="TableContents"/>
              <w:spacing w:before="0" w:after="0"/>
              <w:ind w:left="0" w:right="0" w:hanging="0"/>
              <w:rPr/>
            </w:pPr>
            <w:r>
              <w:rPr/>
              <w:t> </w:t>
            </w:r>
          </w:p>
        </w:tc>
        <w:tc>
          <w:tcPr>
            <w:tcW w:w="1560" w:type="dxa"/>
            <w:tcBorders/>
            <w:shd w:fill="FFFFFF" w:val="clear"/>
            <w:tcMar>
              <w:bottom w:w="0" w:type="dxa"/>
            </w:tcMar>
            <w:vAlign w:val="center"/>
          </w:tcPr>
          <w:p>
            <w:pPr>
              <w:pStyle w:val="TableContents"/>
              <w:spacing w:before="0" w:after="0"/>
              <w:ind w:left="0" w:right="0" w:hanging="0"/>
              <w:rPr/>
            </w:pPr>
            <w:r>
              <w:rPr/>
              <w:t> </w:t>
            </w:r>
          </w:p>
        </w:tc>
        <w:tc>
          <w:tcPr>
            <w:tcW w:w="113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224" w:type="dxa"/>
            <w:tcBorders/>
            <w:shd w:fill="FFFFFF" w:val="clear"/>
            <w:tcMar>
              <w:bottom w:w="0" w:type="dxa"/>
            </w:tcMar>
            <w:vAlign w:val="center"/>
          </w:tcPr>
          <w:p>
            <w:pPr>
              <w:pStyle w:val="TableContents"/>
              <w:spacing w:before="0" w:after="0"/>
              <w:ind w:left="0" w:right="0" w:hanging="0"/>
              <w:rPr/>
            </w:pPr>
            <w:r>
              <w:rPr/>
              <w:t> </w:t>
            </w:r>
          </w:p>
        </w:tc>
        <w:tc>
          <w:tcPr>
            <w:tcW w:w="1176" w:type="dxa"/>
            <w:tcBorders/>
            <w:shd w:fill="FFFFFF" w:val="clear"/>
            <w:tcMar>
              <w:bottom w:w="0" w:type="dxa"/>
            </w:tcMar>
            <w:vAlign w:val="center"/>
          </w:tcPr>
          <w:p>
            <w:pPr>
              <w:pStyle w:val="TableContents"/>
              <w:spacing w:before="0" w:after="0"/>
              <w:ind w:left="0" w:right="0" w:hanging="0"/>
              <w:rPr/>
            </w:pPr>
            <w:r>
              <w:rPr/>
              <w:t> </w:t>
            </w:r>
          </w:p>
        </w:tc>
        <w:tc>
          <w:tcPr>
            <w:tcW w:w="290" w:type="dxa"/>
            <w:tcBorders/>
            <w:shd w:fill="FFFFFF" w:val="clear"/>
            <w:tcMar>
              <w:bottom w:w="0" w:type="dxa"/>
            </w:tcMar>
            <w:vAlign w:val="center"/>
          </w:tcPr>
          <w:p>
            <w:pPr>
              <w:pStyle w:val="TableContents"/>
              <w:spacing w:before="0" w:after="0"/>
              <w:ind w:left="0" w:right="0" w:hanging="0"/>
              <w:rPr/>
            </w:pPr>
            <w:r>
              <w:rPr/>
              <w:t> </w:t>
            </w:r>
          </w:p>
        </w:tc>
      </w:tr>
      <w:tr>
        <w:trPr/>
        <w:tc>
          <w:tcPr>
            <w:tcW w:w="3050"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The TCW Group, Inc.</w:t>
            </w:r>
          </w:p>
          <w:p>
            <w:pPr>
              <w:pStyle w:val="TableContents"/>
              <w:spacing w:before="0" w:after="0"/>
              <w:ind w:left="0" w:right="0" w:hanging="0"/>
              <w:rPr/>
            </w:pPr>
            <w:r>
              <w:rPr/>
              <w:t> </w:t>
            </w:r>
            <w:r>
              <w:rPr>
                <w:rFonts w:ascii="times new roman" w:hAnsi="times new roman"/>
                <w:sz w:val="20"/>
              </w:rPr>
              <w:t>on behalf of the TCW Business Unit</w:t>
            </w:r>
          </w:p>
          <w:p>
            <w:pPr>
              <w:pStyle w:val="TableContents"/>
              <w:spacing w:before="0" w:after="0"/>
              <w:ind w:left="0" w:right="0" w:hanging="0"/>
              <w:rPr>
                <w:rFonts w:ascii="times new roman" w:hAnsi="times new roman"/>
                <w:sz w:val="20"/>
              </w:rPr>
            </w:pPr>
            <w:r>
              <w:rPr>
                <w:rFonts w:ascii="times new roman" w:hAnsi="times new roman"/>
                <w:sz w:val="20"/>
              </w:rPr>
              <w:t>865 South Figueroa Street</w:t>
            </w:r>
          </w:p>
          <w:p>
            <w:pPr>
              <w:pStyle w:val="TableContents"/>
              <w:spacing w:before="0" w:after="0"/>
              <w:ind w:left="0" w:right="0" w:hanging="0"/>
              <w:rPr>
                <w:rFonts w:ascii="times new roman" w:hAnsi="times new roman"/>
                <w:sz w:val="20"/>
              </w:rPr>
            </w:pPr>
            <w:r>
              <w:rPr>
                <w:rFonts w:ascii="times new roman" w:hAnsi="times new roman"/>
                <w:sz w:val="20"/>
              </w:rPr>
              <w:t>Los Angeles, California</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39" w:type="dxa"/>
            <w:tcBorders/>
            <w:shd w:fill="CCEEFF" w:val="clear"/>
            <w:tcMar>
              <w:bottom w:w="0" w:type="dxa"/>
            </w:tcMar>
            <w:vAlign w:val="center"/>
          </w:tcPr>
          <w:p>
            <w:pPr>
              <w:pStyle w:val="TableContents"/>
              <w:spacing w:before="0" w:after="0"/>
              <w:ind w:left="0" w:right="0" w:hanging="0"/>
              <w:rPr/>
            </w:pPr>
            <w:r>
              <w:rPr/>
              <w:t> </w:t>
            </w:r>
          </w:p>
        </w:tc>
        <w:tc>
          <w:tcPr>
            <w:tcW w:w="1560" w:type="dxa"/>
            <w:tcBorders/>
            <w:shd w:fill="CCEEFF" w:val="clear"/>
            <w:tcMar>
              <w:bottom w:w="0" w:type="dxa"/>
            </w:tcMar>
            <w:vAlign w:val="center"/>
          </w:tcPr>
          <w:p>
            <w:pPr>
              <w:pStyle w:val="TableContents"/>
              <w:spacing w:before="0" w:after="283"/>
              <w:jc w:val="right"/>
              <w:rPr/>
            </w:pPr>
            <w:r>
              <w:rPr/>
              <w:t>597,740</w:t>
            </w:r>
          </w:p>
        </w:tc>
        <w:tc>
          <w:tcPr>
            <w:tcW w:w="1130" w:type="dxa"/>
            <w:tcBorders/>
            <w:shd w:fill="CCEEFF" w:val="clear"/>
            <w:tcMar>
              <w:bottom w:w="0" w:type="dxa"/>
            </w:tcMar>
            <w:vAlign w:val="center"/>
          </w:tcPr>
          <w:p>
            <w:pPr>
              <w:pStyle w:val="TableContents"/>
              <w:spacing w:before="0" w:after="283"/>
              <w:rPr/>
            </w:pPr>
            <w:r>
              <w:rPr/>
              <w:t>(6)</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224" w:type="dxa"/>
            <w:tcBorders/>
            <w:shd w:fill="CCEEFF" w:val="clear"/>
            <w:tcMar>
              <w:bottom w:w="0" w:type="dxa"/>
            </w:tcMar>
            <w:vAlign w:val="center"/>
          </w:tcPr>
          <w:p>
            <w:pPr>
              <w:pStyle w:val="TableContents"/>
              <w:spacing w:before="0" w:after="0"/>
              <w:ind w:left="0" w:right="0" w:hanging="0"/>
              <w:rPr/>
            </w:pPr>
            <w:r>
              <w:rPr/>
              <w:t> </w:t>
            </w:r>
          </w:p>
        </w:tc>
        <w:tc>
          <w:tcPr>
            <w:tcW w:w="1176" w:type="dxa"/>
            <w:tcBorders/>
            <w:shd w:fill="CCEEFF" w:val="clear"/>
            <w:tcMar>
              <w:bottom w:w="0" w:type="dxa"/>
            </w:tcMar>
            <w:vAlign w:val="center"/>
          </w:tcPr>
          <w:p>
            <w:pPr>
              <w:pStyle w:val="TableContents"/>
              <w:spacing w:before="0" w:after="283"/>
              <w:jc w:val="right"/>
              <w:rPr/>
            </w:pPr>
            <w:r>
              <w:rPr/>
              <w:t>5.6</w:t>
            </w:r>
          </w:p>
        </w:tc>
        <w:tc>
          <w:tcPr>
            <w:tcW w:w="290" w:type="dxa"/>
            <w:tcBorders/>
            <w:shd w:fill="CCEEFF" w:val="clear"/>
            <w:tcMar>
              <w:bottom w:w="0" w:type="dxa"/>
            </w:tcMar>
            <w:vAlign w:val="center"/>
          </w:tcPr>
          <w:p>
            <w:pPr>
              <w:pStyle w:val="TableContents"/>
              <w:spacing w:before="0" w:after="283"/>
              <w:rPr/>
            </w:pPr>
            <w:r>
              <w:rPr/>
              <w:t>%</w:t>
            </w:r>
          </w:p>
        </w:tc>
      </w:tr>
      <w:tr>
        <w:trPr/>
        <w:tc>
          <w:tcPr>
            <w:tcW w:w="305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39" w:type="dxa"/>
            <w:tcBorders/>
            <w:shd w:fill="FFFFFF" w:val="clear"/>
            <w:tcMar>
              <w:bottom w:w="0" w:type="dxa"/>
            </w:tcMar>
            <w:vAlign w:val="center"/>
          </w:tcPr>
          <w:p>
            <w:pPr>
              <w:pStyle w:val="TableContents"/>
              <w:spacing w:before="0" w:after="0"/>
              <w:ind w:left="0" w:right="0" w:hanging="0"/>
              <w:rPr/>
            </w:pPr>
            <w:r>
              <w:rPr/>
              <w:t> </w:t>
            </w:r>
          </w:p>
        </w:tc>
        <w:tc>
          <w:tcPr>
            <w:tcW w:w="1560" w:type="dxa"/>
            <w:tcBorders/>
            <w:shd w:fill="FFFFFF" w:val="clear"/>
            <w:tcMar>
              <w:bottom w:w="0" w:type="dxa"/>
            </w:tcMar>
            <w:vAlign w:val="center"/>
          </w:tcPr>
          <w:p>
            <w:pPr>
              <w:pStyle w:val="TableContents"/>
              <w:spacing w:before="0" w:after="0"/>
              <w:ind w:left="0" w:right="0" w:hanging="0"/>
              <w:rPr/>
            </w:pPr>
            <w:r>
              <w:rPr/>
              <w:t> </w:t>
            </w:r>
          </w:p>
        </w:tc>
        <w:tc>
          <w:tcPr>
            <w:tcW w:w="113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224" w:type="dxa"/>
            <w:tcBorders/>
            <w:shd w:fill="FFFFFF" w:val="clear"/>
            <w:tcMar>
              <w:bottom w:w="0" w:type="dxa"/>
            </w:tcMar>
            <w:vAlign w:val="center"/>
          </w:tcPr>
          <w:p>
            <w:pPr>
              <w:pStyle w:val="TableContents"/>
              <w:spacing w:before="0" w:after="0"/>
              <w:ind w:left="0" w:right="0" w:hanging="0"/>
              <w:rPr/>
            </w:pPr>
            <w:r>
              <w:rPr/>
              <w:t> </w:t>
            </w:r>
          </w:p>
        </w:tc>
        <w:tc>
          <w:tcPr>
            <w:tcW w:w="1176" w:type="dxa"/>
            <w:tcBorders/>
            <w:shd w:fill="FFFFFF" w:val="clear"/>
            <w:tcMar>
              <w:bottom w:w="0" w:type="dxa"/>
            </w:tcMar>
            <w:vAlign w:val="center"/>
          </w:tcPr>
          <w:p>
            <w:pPr>
              <w:pStyle w:val="TableContents"/>
              <w:spacing w:before="0" w:after="0"/>
              <w:ind w:left="0" w:right="0" w:hanging="0"/>
              <w:rPr/>
            </w:pPr>
            <w:r>
              <w:rPr/>
              <w:t> </w:t>
            </w:r>
          </w:p>
        </w:tc>
        <w:tc>
          <w:tcPr>
            <w:tcW w:w="290" w:type="dxa"/>
            <w:tcBorders/>
            <w:shd w:fill="FFFFFF" w:val="clear"/>
            <w:tcMar>
              <w:bottom w:w="0" w:type="dxa"/>
            </w:tcMar>
            <w:vAlign w:val="center"/>
          </w:tcPr>
          <w:p>
            <w:pPr>
              <w:pStyle w:val="TableContents"/>
              <w:spacing w:before="0" w:after="0"/>
              <w:ind w:left="0" w:right="0" w:hanging="0"/>
              <w:rPr/>
            </w:pPr>
            <w:r>
              <w:rPr/>
              <w:t> </w:t>
            </w:r>
          </w:p>
        </w:tc>
      </w:tr>
      <w:tr>
        <w:trPr/>
        <w:tc>
          <w:tcPr>
            <w:tcW w:w="3050"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Michael Doak</w:t>
            </w:r>
          </w:p>
          <w:p>
            <w:pPr>
              <w:pStyle w:val="TableContents"/>
              <w:spacing w:before="0" w:after="0"/>
              <w:ind w:left="0" w:right="0" w:hanging="0"/>
              <w:rPr>
                <w:rFonts w:ascii="times new roman" w:hAnsi="times new roman"/>
                <w:sz w:val="20"/>
              </w:rPr>
            </w:pPr>
            <w:r>
              <w:rPr>
                <w:rFonts w:ascii="times new roman" w:hAnsi="times new roman"/>
                <w:sz w:val="20"/>
              </w:rPr>
              <w:t>Griffin Highline Capital LLC</w:t>
            </w:r>
          </w:p>
          <w:p>
            <w:pPr>
              <w:pStyle w:val="TableContents"/>
              <w:spacing w:before="0" w:after="0"/>
              <w:ind w:left="0" w:right="0" w:hanging="0"/>
              <w:rPr>
                <w:rFonts w:ascii="times new roman" w:hAnsi="times new roman"/>
                <w:sz w:val="20"/>
              </w:rPr>
            </w:pPr>
            <w:r>
              <w:rPr>
                <w:rFonts w:ascii="times new roman" w:hAnsi="times new roman"/>
                <w:sz w:val="20"/>
              </w:rPr>
              <w:t>4514 Cole Avenue</w:t>
            </w:r>
          </w:p>
          <w:p>
            <w:pPr>
              <w:pStyle w:val="TableContents"/>
              <w:spacing w:before="0" w:after="0"/>
              <w:ind w:left="0" w:right="0" w:hanging="0"/>
              <w:rPr>
                <w:rFonts w:ascii="times new roman" w:hAnsi="times new roman"/>
                <w:sz w:val="20"/>
              </w:rPr>
            </w:pPr>
            <w:r>
              <w:rPr>
                <w:rFonts w:ascii="times new roman" w:hAnsi="times new roman"/>
                <w:sz w:val="20"/>
              </w:rPr>
              <w:t>Dallas, Texas</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39" w:type="dxa"/>
            <w:tcBorders/>
            <w:shd w:fill="CCEEFF" w:val="clear"/>
            <w:tcMar>
              <w:bottom w:w="0" w:type="dxa"/>
            </w:tcMar>
            <w:vAlign w:val="center"/>
          </w:tcPr>
          <w:p>
            <w:pPr>
              <w:pStyle w:val="TableContents"/>
              <w:spacing w:before="0" w:after="0"/>
              <w:ind w:left="0" w:right="0" w:hanging="0"/>
              <w:rPr/>
            </w:pPr>
            <w:r>
              <w:rPr/>
              <w:t> </w:t>
            </w:r>
          </w:p>
        </w:tc>
        <w:tc>
          <w:tcPr>
            <w:tcW w:w="1560" w:type="dxa"/>
            <w:tcBorders/>
            <w:shd w:fill="CCEEFF" w:val="clear"/>
            <w:tcMar>
              <w:bottom w:w="0" w:type="dxa"/>
            </w:tcMar>
            <w:vAlign w:val="center"/>
          </w:tcPr>
          <w:p>
            <w:pPr>
              <w:pStyle w:val="TableContents"/>
              <w:spacing w:before="0" w:after="283"/>
              <w:jc w:val="right"/>
              <w:rPr/>
            </w:pPr>
            <w:r>
              <w:rPr/>
              <w:t>595,238</w:t>
            </w:r>
          </w:p>
        </w:tc>
        <w:tc>
          <w:tcPr>
            <w:tcW w:w="1130" w:type="dxa"/>
            <w:tcBorders/>
            <w:shd w:fill="CCEEFF" w:val="clear"/>
            <w:tcMar>
              <w:bottom w:w="0" w:type="dxa"/>
            </w:tcMar>
            <w:vAlign w:val="center"/>
          </w:tcPr>
          <w:p>
            <w:pPr>
              <w:pStyle w:val="TableContents"/>
              <w:spacing w:before="0" w:after="283"/>
              <w:rPr/>
            </w:pPr>
            <w:r>
              <w:rPr/>
              <w:t>(7)</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224" w:type="dxa"/>
            <w:tcBorders/>
            <w:shd w:fill="CCEEFF" w:val="clear"/>
            <w:tcMar>
              <w:bottom w:w="0" w:type="dxa"/>
            </w:tcMar>
            <w:vAlign w:val="center"/>
          </w:tcPr>
          <w:p>
            <w:pPr>
              <w:pStyle w:val="TableContents"/>
              <w:spacing w:before="0" w:after="0"/>
              <w:ind w:left="0" w:right="0" w:hanging="0"/>
              <w:rPr/>
            </w:pPr>
            <w:r>
              <w:rPr/>
              <w:t> </w:t>
            </w:r>
          </w:p>
        </w:tc>
        <w:tc>
          <w:tcPr>
            <w:tcW w:w="1176" w:type="dxa"/>
            <w:tcBorders/>
            <w:shd w:fill="CCEEFF" w:val="clear"/>
            <w:tcMar>
              <w:bottom w:w="0" w:type="dxa"/>
            </w:tcMar>
            <w:vAlign w:val="center"/>
          </w:tcPr>
          <w:p>
            <w:pPr>
              <w:pStyle w:val="TableContents"/>
              <w:spacing w:before="0" w:after="283"/>
              <w:jc w:val="right"/>
              <w:rPr/>
            </w:pPr>
            <w:r>
              <w:rPr/>
              <w:t>5.5</w:t>
            </w:r>
          </w:p>
        </w:tc>
        <w:tc>
          <w:tcPr>
            <w:tcW w:w="290" w:type="dxa"/>
            <w:tcBorders/>
            <w:shd w:fill="CCEEFF" w:val="clear"/>
            <w:tcMar>
              <w:bottom w:w="0" w:type="dxa"/>
            </w:tcMar>
            <w:vAlign w:val="center"/>
          </w:tcPr>
          <w:p>
            <w:pPr>
              <w:pStyle w:val="TableContents"/>
              <w:spacing w:before="0" w:after="283"/>
              <w:rPr/>
            </w:pPr>
            <w:r>
              <w:rPr/>
              <w:t>%</w:t>
            </w:r>
          </w:p>
        </w:tc>
      </w:tr>
      <w:tr>
        <w:trPr/>
        <w:tc>
          <w:tcPr>
            <w:tcW w:w="305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39" w:type="dxa"/>
            <w:tcBorders/>
            <w:shd w:fill="FFFFFF" w:val="clear"/>
            <w:tcMar>
              <w:bottom w:w="0" w:type="dxa"/>
            </w:tcMar>
            <w:vAlign w:val="center"/>
          </w:tcPr>
          <w:p>
            <w:pPr>
              <w:pStyle w:val="TableContents"/>
              <w:spacing w:before="0" w:after="0"/>
              <w:ind w:left="0" w:right="0" w:hanging="0"/>
              <w:rPr/>
            </w:pPr>
            <w:r>
              <w:rPr/>
              <w:t> </w:t>
            </w:r>
          </w:p>
        </w:tc>
        <w:tc>
          <w:tcPr>
            <w:tcW w:w="1560" w:type="dxa"/>
            <w:tcBorders/>
            <w:shd w:fill="FFFFFF" w:val="clear"/>
            <w:tcMar>
              <w:bottom w:w="0" w:type="dxa"/>
            </w:tcMar>
            <w:vAlign w:val="center"/>
          </w:tcPr>
          <w:p>
            <w:pPr>
              <w:pStyle w:val="TableContents"/>
              <w:spacing w:before="0" w:after="0"/>
              <w:ind w:left="0" w:right="0" w:hanging="0"/>
              <w:rPr/>
            </w:pPr>
            <w:r>
              <w:rPr/>
              <w:t> </w:t>
            </w:r>
          </w:p>
        </w:tc>
        <w:tc>
          <w:tcPr>
            <w:tcW w:w="113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224" w:type="dxa"/>
            <w:tcBorders/>
            <w:shd w:fill="FFFFFF" w:val="clear"/>
            <w:tcMar>
              <w:bottom w:w="0" w:type="dxa"/>
            </w:tcMar>
            <w:vAlign w:val="center"/>
          </w:tcPr>
          <w:p>
            <w:pPr>
              <w:pStyle w:val="TableContents"/>
              <w:spacing w:before="0" w:after="0"/>
              <w:ind w:left="0" w:right="0" w:hanging="0"/>
              <w:rPr/>
            </w:pPr>
            <w:r>
              <w:rPr/>
              <w:t> </w:t>
            </w:r>
          </w:p>
        </w:tc>
        <w:tc>
          <w:tcPr>
            <w:tcW w:w="1176" w:type="dxa"/>
            <w:tcBorders/>
            <w:shd w:fill="FFFFFF" w:val="clear"/>
            <w:tcMar>
              <w:bottom w:w="0" w:type="dxa"/>
            </w:tcMar>
            <w:vAlign w:val="center"/>
          </w:tcPr>
          <w:p>
            <w:pPr>
              <w:pStyle w:val="TableContents"/>
              <w:spacing w:before="0" w:after="0"/>
              <w:ind w:left="0" w:right="0" w:hanging="0"/>
              <w:rPr/>
            </w:pPr>
            <w:r>
              <w:rPr/>
              <w:t> </w:t>
            </w:r>
          </w:p>
        </w:tc>
        <w:tc>
          <w:tcPr>
            <w:tcW w:w="290" w:type="dxa"/>
            <w:tcBorders/>
            <w:shd w:fill="FFFFFF" w:val="clear"/>
            <w:tcMar>
              <w:bottom w:w="0" w:type="dxa"/>
            </w:tcMar>
            <w:vAlign w:val="center"/>
          </w:tcPr>
          <w:p>
            <w:pPr>
              <w:pStyle w:val="TableContents"/>
              <w:spacing w:before="0" w:after="0"/>
              <w:ind w:left="0" w:right="0" w:hanging="0"/>
              <w:rPr/>
            </w:pPr>
            <w:r>
              <w:rPr/>
              <w:t> </w:t>
            </w:r>
          </w:p>
        </w:tc>
      </w:tr>
      <w:tr>
        <w:trPr/>
        <w:tc>
          <w:tcPr>
            <w:tcW w:w="3050"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All executive officers</w:t>
            </w:r>
          </w:p>
          <w:p>
            <w:pPr>
              <w:pStyle w:val="TableContents"/>
              <w:spacing w:before="0" w:after="0"/>
              <w:ind w:left="0" w:right="0" w:hanging="0"/>
              <w:rPr>
                <w:rFonts w:ascii="times new roman" w:hAnsi="times new roman"/>
                <w:sz w:val="20"/>
              </w:rPr>
            </w:pPr>
            <w:r>
              <w:rPr>
                <w:rFonts w:ascii="times new roman" w:hAnsi="times new roman"/>
                <w:sz w:val="20"/>
              </w:rPr>
              <w:t>and directors as a group</w:t>
            </w:r>
          </w:p>
          <w:p>
            <w:pPr>
              <w:pStyle w:val="TableContents"/>
              <w:spacing w:before="0" w:after="0"/>
              <w:ind w:left="0" w:right="0" w:hanging="0"/>
              <w:jc w:val="both"/>
              <w:rPr>
                <w:rFonts w:ascii="times new roman" w:hAnsi="times new roman"/>
                <w:sz w:val="20"/>
              </w:rPr>
            </w:pPr>
            <w:r>
              <w:rPr>
                <w:rFonts w:ascii="times new roman" w:hAnsi="times new roman"/>
                <w:sz w:val="20"/>
              </w:rPr>
              <w:t>(8 persons)</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39" w:type="dxa"/>
            <w:tcBorders/>
            <w:shd w:fill="CCEEFF" w:val="clear"/>
            <w:tcMar>
              <w:bottom w:w="0" w:type="dxa"/>
            </w:tcMar>
            <w:vAlign w:val="center"/>
          </w:tcPr>
          <w:p>
            <w:pPr>
              <w:pStyle w:val="TableContents"/>
              <w:spacing w:before="0" w:after="0"/>
              <w:ind w:left="0" w:right="0" w:hanging="0"/>
              <w:rPr/>
            </w:pPr>
            <w:r>
              <w:rPr/>
              <w:t> </w:t>
            </w:r>
          </w:p>
        </w:tc>
        <w:tc>
          <w:tcPr>
            <w:tcW w:w="1560" w:type="dxa"/>
            <w:tcBorders/>
            <w:shd w:fill="CCEEFF" w:val="clear"/>
            <w:tcMar>
              <w:bottom w:w="0" w:type="dxa"/>
            </w:tcMar>
            <w:vAlign w:val="center"/>
          </w:tcPr>
          <w:p>
            <w:pPr>
              <w:pStyle w:val="TableContents"/>
              <w:spacing w:before="0" w:after="283"/>
              <w:jc w:val="right"/>
              <w:rPr/>
            </w:pPr>
            <w:r>
              <w:rPr/>
              <w:t>1,119,165</w:t>
            </w:r>
          </w:p>
        </w:tc>
        <w:tc>
          <w:tcPr>
            <w:tcW w:w="1130" w:type="dxa"/>
            <w:tcBorders/>
            <w:shd w:fill="CCEEFF" w:val="clear"/>
            <w:tcMar>
              <w:bottom w:w="0" w:type="dxa"/>
            </w:tcMar>
            <w:vAlign w:val="center"/>
          </w:tcPr>
          <w:p>
            <w:pPr>
              <w:pStyle w:val="TableContents"/>
              <w:spacing w:before="0" w:after="283"/>
              <w:rPr/>
            </w:pPr>
            <w:r>
              <w:rPr/>
              <w:t>(1)(2)(3)(4)</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224" w:type="dxa"/>
            <w:tcBorders/>
            <w:shd w:fill="CCEEFF" w:val="clear"/>
            <w:tcMar>
              <w:bottom w:w="0" w:type="dxa"/>
            </w:tcMar>
            <w:vAlign w:val="center"/>
          </w:tcPr>
          <w:p>
            <w:pPr>
              <w:pStyle w:val="TableContents"/>
              <w:spacing w:before="0" w:after="0"/>
              <w:ind w:left="0" w:right="0" w:hanging="0"/>
              <w:rPr/>
            </w:pPr>
            <w:r>
              <w:rPr/>
              <w:t> </w:t>
            </w:r>
          </w:p>
        </w:tc>
        <w:tc>
          <w:tcPr>
            <w:tcW w:w="1176" w:type="dxa"/>
            <w:tcBorders/>
            <w:shd w:fill="CCEEFF" w:val="clear"/>
            <w:tcMar>
              <w:bottom w:w="0" w:type="dxa"/>
            </w:tcMar>
            <w:vAlign w:val="center"/>
          </w:tcPr>
          <w:p>
            <w:pPr>
              <w:pStyle w:val="TableContents"/>
              <w:spacing w:before="0" w:after="283"/>
              <w:jc w:val="right"/>
              <w:rPr/>
            </w:pPr>
            <w:r>
              <w:rPr/>
              <w:t>10.4</w:t>
            </w:r>
          </w:p>
        </w:tc>
        <w:tc>
          <w:tcPr>
            <w:tcW w:w="290" w:type="dxa"/>
            <w:tcBorders/>
            <w:shd w:fill="CCEEFF" w:val="clear"/>
            <w:tcMar>
              <w:bottom w:w="0" w:type="dxa"/>
            </w:tcMar>
            <w:vAlign w:val="center"/>
          </w:tcPr>
          <w:p>
            <w:pPr>
              <w:pStyle w:val="TableContents"/>
              <w:spacing w:before="0" w:after="283"/>
              <w:rPr/>
            </w:pPr>
            <w:r>
              <w:rPr/>
              <w:t>%</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Less than 1%.</w:t>
      </w:r>
    </w:p>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105"/>
        <w:gridCol w:w="224"/>
        <w:gridCol w:w="9876"/>
      </w:tblGrid>
      <w:tr>
        <w:trPr/>
        <w:tc>
          <w:tcPr>
            <w:tcW w:w="105" w:type="dxa"/>
            <w:tcBorders/>
            <w:shd w:fill="auto" w:val="clear"/>
            <w:vAlign w:val="center"/>
          </w:tcPr>
          <w:p>
            <w:pPr>
              <w:pStyle w:val="TableContents"/>
              <w:spacing w:before="0" w:after="0"/>
              <w:ind w:left="0" w:right="0" w:hanging="0"/>
              <w:rPr/>
            </w:pPr>
            <w:r>
              <w:rPr/>
              <w:t> </w:t>
            </w:r>
          </w:p>
        </w:tc>
        <w:tc>
          <w:tcPr>
            <w:tcW w:w="224"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(1)</w:t>
            </w:r>
          </w:p>
        </w:tc>
        <w:tc>
          <w:tcPr>
            <w:tcW w:w="9876"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The information regarding Mr. Goldstein is based solely on publicly available information filed with the SEC. Includes (i) 73,168 shares of common stock owned by Mr. Goldstein’s wife and (ii) 15,000 shares held in a retirement trust for the benefit of Mr. Goldstein. Mr. Goldstein has sole voting and dispositive power over 758,908 shares of common stock and shared voting and dispositive power over 73,168 shares of common stock. The inclusion of the shares owned by Mr. Goldstein’s wife and the retirement trust shall not be construed as an admission that Mr. Goldstein is, for purposes of Section 13(d) or 13(g) of the Exchange Act, the beneficial owner of such shares.</w:t>
            </w:r>
          </w:p>
        </w:tc>
      </w:tr>
    </w:tbl>
    <w:p>
      <w:pPr>
        <w:pStyle w:val="TextBody"/>
        <w:spacing w:before="0" w:after="0"/>
        <w:ind w:left="0" w:right="0" w:hanging="0"/>
        <w:rPr/>
      </w:pPr>
      <w:r>
        <w:rPr/>
        <w:t xml:space="preserve">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72</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105"/>
        <w:gridCol w:w="225"/>
        <w:gridCol w:w="9875"/>
      </w:tblGrid>
      <w:tr>
        <w:trPr/>
        <w:tc>
          <w:tcPr>
            <w:tcW w:w="105" w:type="dxa"/>
            <w:tcBorders/>
            <w:shd w:fill="auto" w:val="clear"/>
            <w:vAlign w:val="center"/>
          </w:tcPr>
          <w:p>
            <w:pPr>
              <w:pStyle w:val="TableContents"/>
              <w:spacing w:before="0" w:after="0"/>
              <w:ind w:left="0" w:right="0" w:hanging="0"/>
              <w:rPr/>
            </w:pPr>
            <w:r>
              <w:rPr/>
              <w:t> </w:t>
            </w:r>
          </w:p>
        </w:tc>
        <w:tc>
          <w:tcPr>
            <w:tcW w:w="22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(2)</w:t>
            </w:r>
          </w:p>
        </w:tc>
        <w:tc>
          <w:tcPr>
            <w:tcW w:w="9875"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Includes (i) 32,395 shares owned by Mr. Tupper’s wife, (ii) 6,675 shares held in a retirement trust for the benefit of Mr. Tupper and (iii) 810 shares held in a retirement trust for the benefit of Mr. Tupper’s wife. Mr. Tupper has sole voting and dispositive power over 54,371 shares of common stock and shared voting and dispositive power over 33,205 shares of common stock. The inclusion of the shares owned by Mr. Tupper’s wife and the retirement trusts for the benefit of Mr. Tupper and his wife shall not be construed as an admission that Mr. Tupper is, for purposes of Section 13(d) or 13(g) of the Exchange Act, the beneficial owner of such shares.</w:t>
            </w:r>
          </w:p>
        </w:tc>
      </w:tr>
      <w:tr>
        <w:trPr/>
        <w:tc>
          <w:tcPr>
            <w:tcW w:w="105" w:type="dxa"/>
            <w:tcBorders/>
            <w:shd w:fill="auto" w:val="clear"/>
            <w:vAlign w:val="center"/>
          </w:tcPr>
          <w:p>
            <w:pPr>
              <w:pStyle w:val="TableContents"/>
              <w:spacing w:before="0" w:after="0"/>
              <w:ind w:left="0" w:right="0" w:hanging="0"/>
              <w:rPr/>
            </w:pPr>
            <w:r>
              <w:rPr/>
              <w:t> </w:t>
            </w:r>
          </w:p>
        </w:tc>
        <w:tc>
          <w:tcPr>
            <w:tcW w:w="225" w:type="dxa"/>
            <w:tcBorders/>
            <w:shd w:fill="auto" w:val="clear"/>
            <w:vAlign w:val="center"/>
          </w:tcPr>
          <w:p>
            <w:pPr>
              <w:pStyle w:val="TableContents"/>
              <w:spacing w:before="0" w:after="283"/>
              <w:rPr>
                <w:sz w:val="4"/>
                <w:szCs w:val="4"/>
              </w:rPr>
            </w:pPr>
            <w:r>
              <w:rPr>
                <w:sz w:val="4"/>
                <w:szCs w:val="4"/>
              </w:rPr>
            </w:r>
          </w:p>
        </w:tc>
        <w:tc>
          <w:tcPr>
            <w:tcW w:w="987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22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(3)</w:t>
            </w:r>
          </w:p>
        </w:tc>
        <w:tc>
          <w:tcPr>
            <w:tcW w:w="9875"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Includes 50,000 shares issuable upon the exercise of options that are exercisable currently.</w:t>
            </w:r>
          </w:p>
        </w:tc>
      </w:tr>
      <w:tr>
        <w:trPr/>
        <w:tc>
          <w:tcPr>
            <w:tcW w:w="105" w:type="dxa"/>
            <w:tcBorders/>
            <w:shd w:fill="auto" w:val="clear"/>
            <w:vAlign w:val="center"/>
          </w:tcPr>
          <w:p>
            <w:pPr>
              <w:pStyle w:val="TableContents"/>
              <w:spacing w:before="0" w:after="0"/>
              <w:ind w:left="0" w:right="0" w:hanging="0"/>
              <w:rPr/>
            </w:pPr>
            <w:r>
              <w:rPr/>
              <w:t> </w:t>
            </w:r>
          </w:p>
        </w:tc>
        <w:tc>
          <w:tcPr>
            <w:tcW w:w="225" w:type="dxa"/>
            <w:tcBorders/>
            <w:shd w:fill="auto" w:val="clear"/>
            <w:vAlign w:val="center"/>
          </w:tcPr>
          <w:p>
            <w:pPr>
              <w:pStyle w:val="TableContents"/>
              <w:spacing w:before="0" w:after="283"/>
              <w:rPr>
                <w:sz w:val="4"/>
                <w:szCs w:val="4"/>
              </w:rPr>
            </w:pPr>
            <w:r>
              <w:rPr>
                <w:sz w:val="4"/>
                <w:szCs w:val="4"/>
              </w:rPr>
            </w:r>
          </w:p>
        </w:tc>
        <w:tc>
          <w:tcPr>
            <w:tcW w:w="987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22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(4)</w:t>
            </w:r>
          </w:p>
        </w:tc>
        <w:tc>
          <w:tcPr>
            <w:tcW w:w="9875"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Includes (i) 1,400 shares held in a retirement trust for the benefit of Ms. D’Andre and (ii) 10,000 shares held in a retirement trust for the benefit of Ms. D’Andre’s husband. Ms. D’Andre has sole voting and dispositive power over 26,095 shares of common stock and shared voting and dispositive power over 10,000 shares of common stock. The inclusion of the shares owned by the retirement trust for the benefit of Ms. D’Andre’s husband shall not be construed as an admission that Ms. D’Andre is, for purposes of Section 13(d) or 13(g) of the Exchange Act, the beneficial owner of such shares.</w:t>
            </w:r>
          </w:p>
        </w:tc>
      </w:tr>
      <w:tr>
        <w:trPr/>
        <w:tc>
          <w:tcPr>
            <w:tcW w:w="105" w:type="dxa"/>
            <w:tcBorders/>
            <w:shd w:fill="auto" w:val="clear"/>
            <w:vAlign w:val="center"/>
          </w:tcPr>
          <w:p>
            <w:pPr>
              <w:pStyle w:val="TableContents"/>
              <w:spacing w:before="0" w:after="0"/>
              <w:ind w:left="0" w:right="0" w:hanging="0"/>
              <w:rPr/>
            </w:pPr>
            <w:r>
              <w:rPr/>
              <w:t> </w:t>
            </w:r>
          </w:p>
        </w:tc>
        <w:tc>
          <w:tcPr>
            <w:tcW w:w="225" w:type="dxa"/>
            <w:tcBorders/>
            <w:shd w:fill="auto" w:val="clear"/>
            <w:vAlign w:val="center"/>
          </w:tcPr>
          <w:p>
            <w:pPr>
              <w:pStyle w:val="TableContents"/>
              <w:spacing w:before="0" w:after="0"/>
              <w:ind w:left="0" w:right="0" w:hanging="0"/>
              <w:jc w:val="center"/>
              <w:rPr/>
            </w:pPr>
            <w:r>
              <w:rPr/>
              <w:t> </w:t>
            </w:r>
          </w:p>
        </w:tc>
        <w:tc>
          <w:tcPr>
            <w:tcW w:w="987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22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(5)</w:t>
            </w:r>
          </w:p>
        </w:tc>
        <w:tc>
          <w:tcPr>
            <w:tcW w:w="9875"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The information regarding Gregory Fortunoff is based solely on Amendment No. 3 to Schedule 13D filed by such reporting person with the SEC on January 6, 2023 (the “Fortunoff 13D/A”). According to the Fortunoff 13D/A, such reporting person has sole voting and dispositive power over 602,100 shares of common stock and shared voting and dispositive power over 151,500 shares of common stock. The Fortunoff 13D/A also indicates that Scott Fortunoff has sole voting and dispositive power over 217,000 shares of common stock and shared voting and dispositive power over 151,500 shares of common stock.</w:t>
            </w:r>
          </w:p>
        </w:tc>
      </w:tr>
      <w:tr>
        <w:trPr/>
        <w:tc>
          <w:tcPr>
            <w:tcW w:w="105" w:type="dxa"/>
            <w:tcBorders/>
            <w:shd w:fill="auto" w:val="clear"/>
            <w:vAlign w:val="center"/>
          </w:tcPr>
          <w:p>
            <w:pPr>
              <w:pStyle w:val="TableContents"/>
              <w:spacing w:before="0" w:after="0"/>
              <w:ind w:left="0" w:right="0" w:hanging="0"/>
              <w:rPr/>
            </w:pPr>
            <w:r>
              <w:rPr/>
              <w:t> </w:t>
            </w:r>
          </w:p>
        </w:tc>
        <w:tc>
          <w:tcPr>
            <w:tcW w:w="225" w:type="dxa"/>
            <w:tcBorders/>
            <w:shd w:fill="auto" w:val="clear"/>
            <w:vAlign w:val="center"/>
          </w:tcPr>
          <w:p>
            <w:pPr>
              <w:pStyle w:val="TableContents"/>
              <w:spacing w:before="0" w:after="283"/>
              <w:rPr>
                <w:sz w:val="4"/>
                <w:szCs w:val="4"/>
              </w:rPr>
            </w:pPr>
            <w:r>
              <w:rPr>
                <w:sz w:val="4"/>
                <w:szCs w:val="4"/>
              </w:rPr>
            </w:r>
          </w:p>
        </w:tc>
        <w:tc>
          <w:tcPr>
            <w:tcW w:w="987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22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(6)</w:t>
            </w:r>
          </w:p>
        </w:tc>
        <w:tc>
          <w:tcPr>
            <w:tcW w:w="9875"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The information regarding The TCW Group, Inc. on behalf of the TCW Business Unit is based solely on Amendment No. 3 to Schedule 13G filed by such reporting person with the SEC on January 25, 2023 (the “TCW 13G/A”). According to the TCW 13G/A, such reporting person has shared voting and dispositive power over the 597,740 shares of common stock.</w:t>
            </w:r>
          </w:p>
        </w:tc>
      </w:tr>
      <w:tr>
        <w:trPr/>
        <w:tc>
          <w:tcPr>
            <w:tcW w:w="105" w:type="dxa"/>
            <w:tcBorders/>
            <w:shd w:fill="auto" w:val="clear"/>
            <w:vAlign w:val="center"/>
          </w:tcPr>
          <w:p>
            <w:pPr>
              <w:pStyle w:val="TableContents"/>
              <w:spacing w:before="0" w:after="0"/>
              <w:ind w:left="0" w:right="0" w:hanging="0"/>
              <w:rPr/>
            </w:pPr>
            <w:r>
              <w:rPr/>
              <w:t> </w:t>
            </w:r>
          </w:p>
        </w:tc>
        <w:tc>
          <w:tcPr>
            <w:tcW w:w="225" w:type="dxa"/>
            <w:tcBorders/>
            <w:shd w:fill="auto" w:val="clear"/>
            <w:vAlign w:val="center"/>
          </w:tcPr>
          <w:p>
            <w:pPr>
              <w:pStyle w:val="TableContents"/>
              <w:spacing w:before="0" w:after="0"/>
              <w:ind w:left="0" w:right="0" w:hanging="0"/>
              <w:jc w:val="center"/>
              <w:rPr/>
            </w:pPr>
            <w:r>
              <w:rPr/>
              <w:t> </w:t>
            </w:r>
          </w:p>
        </w:tc>
        <w:tc>
          <w:tcPr>
            <w:tcW w:w="987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22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(7)</w:t>
            </w:r>
          </w:p>
        </w:tc>
        <w:tc>
          <w:tcPr>
            <w:tcW w:w="9875"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The information regarding Michael Doak (“Doak”) and Griffin Highline Capital LLC (“Griffin”) is based solely on Amendment No. 4 to Schedule 13D filed by such reporting persons with the SEC on November 15, 2022 (the “Doak/Griffin 13D/A”). According to the Doak/Griffin 13D/A, each of Doak and Griffin has shared voting and dispositive power over the 595,238 shares of common stock.</w:t>
            </w:r>
          </w:p>
        </w:tc>
      </w:tr>
    </w:tbl>
    <w:p>
      <w:pPr>
        <w:pStyle w:val="TextBody"/>
        <w:spacing w:before="0" w:after="0"/>
        <w:ind w:left="0" w:right="0" w:hanging="0"/>
        <w:rPr/>
      </w:pPr>
      <w:r>
        <w:rPr/>
        <w:t xml:space="preserve">  </w:t>
      </w:r>
    </w:p>
    <w:p>
      <w:pPr>
        <w:pStyle w:val="TextBody"/>
        <w:spacing w:before="0" w:after="0"/>
        <w:ind w:left="0" w:right="0" w:firstLine="720"/>
        <w:jc w:val="both"/>
        <w:rPr/>
      </w:pPr>
      <w:r>
        <w:rPr>
          <w:rStyle w:val="Emphasis"/>
          <w:rFonts w:ascii="times new roman" w:hAnsi="times new roman"/>
          <w:sz w:val="20"/>
        </w:rPr>
        <w:t>Securities Authorized for Issuance Under Equity Compensation Plans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sets forth information as of December 31, 2022, with respect to compensation plans (including individual compensation arrangements) under which our common stock is authorized for issuance, aggregated as follows:</w:t>
      </w:r>
    </w:p>
    <w:p>
      <w:pPr>
        <w:pStyle w:val="TextBody"/>
        <w:spacing w:before="0" w:after="0"/>
        <w:ind w:left="0" w:right="0" w:hanging="0"/>
        <w:jc w:val="both"/>
        <w:rPr/>
      </w:pPr>
      <w:r>
        <w:rPr/>
        <w:t> </w:t>
      </w:r>
    </w:p>
    <w:tbl>
      <w:tblPr>
        <w:tblW w:w="6040" w:type="dxa"/>
        <w:jc w:val="left"/>
        <w:tblInd w:w="0" w:type="dxa"/>
        <w:tblCellMar>
          <w:top w:w="0" w:type="dxa"/>
          <w:left w:w="0" w:type="dxa"/>
          <w:bottom w:w="0" w:type="dxa"/>
          <w:right w:w="0" w:type="dxa"/>
        </w:tblCellMar>
      </w:tblPr>
      <w:tblGrid>
        <w:gridCol w:w="105"/>
        <w:gridCol w:w="200"/>
        <w:gridCol w:w="5735"/>
      </w:tblGrid>
      <w:tr>
        <w:trPr/>
        <w:tc>
          <w:tcPr>
            <w:tcW w:w="105" w:type="dxa"/>
            <w:tcBorders/>
            <w:shd w:fill="auto" w:val="clear"/>
            <w:vAlign w:val="center"/>
          </w:tcPr>
          <w:p>
            <w:pPr>
              <w:pStyle w:val="TableContents"/>
              <w:spacing w:before="0" w:after="0"/>
              <w:ind w:left="0" w:right="0" w:hanging="0"/>
              <w:rPr/>
            </w:pPr>
            <w:r>
              <w:rPr/>
              <w:t> </w:t>
            </w:r>
          </w:p>
        </w:tc>
        <w:tc>
          <w:tcPr>
            <w:tcW w:w="200" w:type="dxa"/>
            <w:tcBorders/>
            <w:shd w:fill="auto" w:val="clear"/>
            <w:vAlign w:val="center"/>
          </w:tcPr>
          <w:p>
            <w:pPr>
              <w:pStyle w:val="TableContents"/>
              <w:spacing w:before="0" w:after="0"/>
              <w:ind w:left="0" w:right="0" w:hanging="0"/>
              <w:jc w:val="left"/>
              <w:rPr/>
            </w:pPr>
            <w:r>
              <w:rPr/>
              <w:t>●</w:t>
            </w:r>
          </w:p>
        </w:tc>
        <w:tc>
          <w:tcPr>
            <w:tcW w:w="5735"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All compensation plans previously approved by security holders; and</w:t>
            </w:r>
          </w:p>
        </w:tc>
      </w:tr>
      <w:tr>
        <w:trPr/>
        <w:tc>
          <w:tcPr>
            <w:tcW w:w="105" w:type="dxa"/>
            <w:tcBorders/>
            <w:shd w:fill="auto" w:val="clear"/>
            <w:vAlign w:val="center"/>
          </w:tcPr>
          <w:p>
            <w:pPr>
              <w:pStyle w:val="TableContents"/>
              <w:spacing w:before="0" w:after="0"/>
              <w:ind w:left="0" w:right="0" w:hanging="0"/>
              <w:rPr/>
            </w:pPr>
            <w:r>
              <w:rPr/>
              <w:t> </w:t>
            </w:r>
          </w:p>
        </w:tc>
        <w:tc>
          <w:tcPr>
            <w:tcW w:w="200" w:type="dxa"/>
            <w:tcBorders/>
            <w:shd w:fill="auto" w:val="clear"/>
            <w:vAlign w:val="center"/>
          </w:tcPr>
          <w:p>
            <w:pPr>
              <w:pStyle w:val="TableContents"/>
              <w:spacing w:before="0" w:after="0"/>
              <w:ind w:left="0" w:right="0" w:hanging="0"/>
              <w:jc w:val="center"/>
              <w:rPr/>
            </w:pPr>
            <w:r>
              <w:rPr/>
              <w:t> </w:t>
            </w:r>
          </w:p>
        </w:tc>
        <w:tc>
          <w:tcPr>
            <w:tcW w:w="573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200" w:type="dxa"/>
            <w:tcBorders/>
            <w:shd w:fill="auto" w:val="clear"/>
            <w:vAlign w:val="center"/>
          </w:tcPr>
          <w:p>
            <w:pPr>
              <w:pStyle w:val="TableContents"/>
              <w:spacing w:before="0" w:after="0"/>
              <w:ind w:left="0" w:right="0" w:hanging="0"/>
              <w:jc w:val="left"/>
              <w:rPr/>
            </w:pPr>
            <w:r>
              <w:rPr/>
              <w:t>●</w:t>
            </w:r>
          </w:p>
        </w:tc>
        <w:tc>
          <w:tcPr>
            <w:tcW w:w="5735"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All compensation plans not previously approved by security holders.</w:t>
            </w:r>
          </w:p>
        </w:tc>
      </w:tr>
    </w:tbl>
    <w:p>
      <w:pPr>
        <w:pStyle w:val="TextBody"/>
        <w:spacing w:before="0" w:after="0"/>
        <w:ind w:left="0" w:right="0" w:firstLine="720"/>
        <w:jc w:val="center"/>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73</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firstLine="720"/>
        <w:jc w:val="center"/>
        <w:rPr/>
      </w:pPr>
      <w:r>
        <w:rPr>
          <w:rStyle w:val="StrongEmphasis"/>
          <w:rFonts w:ascii="times new roman" w:hAnsi="times new roman"/>
          <w:sz w:val="20"/>
        </w:rPr>
        <w:t>EQUITY COMPENSATION PLAN INFORMATION</w:t>
      </w:r>
    </w:p>
    <w:p>
      <w:pPr>
        <w:pStyle w:val="TextBody"/>
        <w:spacing w:before="0" w:after="0"/>
        <w:ind w:left="0" w:right="0" w:hanging="0"/>
        <w:jc w:val="center"/>
        <w:rPr/>
      </w:pPr>
      <w:r>
        <w:rPr/>
        <w:t> </w:t>
      </w:r>
    </w:p>
    <w:tbl>
      <w:tblPr>
        <w:tblW w:w="10205" w:type="dxa"/>
        <w:jc w:val="left"/>
        <w:tblInd w:w="0" w:type="dxa"/>
        <w:tblCellMar>
          <w:top w:w="0" w:type="dxa"/>
          <w:left w:w="0" w:type="dxa"/>
          <w:bottom w:w="0" w:type="dxa"/>
          <w:right w:w="0" w:type="dxa"/>
        </w:tblCellMar>
      </w:tblPr>
      <w:tblGrid>
        <w:gridCol w:w="1916"/>
        <w:gridCol w:w="90"/>
        <w:gridCol w:w="221"/>
        <w:gridCol w:w="2059"/>
        <w:gridCol w:w="90"/>
        <w:gridCol w:w="90"/>
        <w:gridCol w:w="546"/>
        <w:gridCol w:w="1512"/>
        <w:gridCol w:w="90"/>
        <w:gridCol w:w="90"/>
        <w:gridCol w:w="311"/>
        <w:gridCol w:w="2883"/>
        <w:gridCol w:w="307"/>
      </w:tblGrid>
      <w:tr>
        <w:trPr/>
        <w:tc>
          <w:tcPr>
            <w:tcW w:w="1916"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2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Number of securities to be issued upon exercise of outstanding options, warrants and rights</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05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Weighted average exercise price of outstanding options, warrants and rights</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19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Number of securities remaining available for future issuance under equity compensation plans (excluding securities reflected in column (a))</w:t>
            </w:r>
          </w:p>
        </w:tc>
        <w:tc>
          <w:tcPr>
            <w:tcW w:w="307" w:type="dxa"/>
            <w:tcBorders/>
            <w:shd w:fill="auto" w:val="clear"/>
            <w:vAlign w:val="center"/>
          </w:tcPr>
          <w:p>
            <w:pPr>
              <w:pStyle w:val="TableContents"/>
              <w:spacing w:before="0" w:after="0"/>
              <w:ind w:left="0" w:right="0" w:hanging="0"/>
              <w:rPr/>
            </w:pPr>
            <w:r>
              <w:rPr/>
              <w:t> </w:t>
            </w:r>
          </w:p>
        </w:tc>
      </w:tr>
      <w:tr>
        <w:trPr/>
        <w:tc>
          <w:tcPr>
            <w:tcW w:w="1916"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28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(a)</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058"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(b)</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194"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(c)</w:t>
            </w:r>
          </w:p>
        </w:tc>
        <w:tc>
          <w:tcPr>
            <w:tcW w:w="307" w:type="dxa"/>
            <w:tcBorders/>
            <w:shd w:fill="auto" w:val="clear"/>
            <w:vAlign w:val="center"/>
          </w:tcPr>
          <w:p>
            <w:pPr>
              <w:pStyle w:val="TableContents"/>
              <w:spacing w:before="0" w:after="0"/>
              <w:ind w:left="0" w:right="0" w:hanging="0"/>
              <w:rPr/>
            </w:pPr>
            <w:r>
              <w:rPr/>
              <w:t> </w:t>
            </w:r>
          </w:p>
        </w:tc>
      </w:tr>
      <w:tr>
        <w:trPr/>
        <w:tc>
          <w:tcPr>
            <w:tcW w:w="191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Equity compensation plans approved by security holders</w:t>
            </w:r>
          </w:p>
        </w:tc>
        <w:tc>
          <w:tcPr>
            <w:tcW w:w="90" w:type="dxa"/>
            <w:tcBorders/>
            <w:shd w:fill="CCEEFF" w:val="clear"/>
            <w:vAlign w:val="center"/>
          </w:tcPr>
          <w:p>
            <w:pPr>
              <w:pStyle w:val="TableContents"/>
              <w:spacing w:before="0" w:after="0"/>
              <w:ind w:left="0" w:right="0" w:hanging="0"/>
              <w:rPr/>
            </w:pPr>
            <w:r>
              <w:rPr/>
              <w:t> </w:t>
            </w:r>
          </w:p>
        </w:tc>
        <w:tc>
          <w:tcPr>
            <w:tcW w:w="221" w:type="dxa"/>
            <w:tcBorders/>
            <w:shd w:fill="CCEEFF" w:val="clear"/>
            <w:vAlign w:val="center"/>
          </w:tcPr>
          <w:p>
            <w:pPr>
              <w:pStyle w:val="TableContents"/>
              <w:spacing w:before="0" w:after="0"/>
              <w:ind w:left="0" w:right="0" w:hanging="0"/>
              <w:rPr/>
            </w:pPr>
            <w:r>
              <w:rPr/>
              <w:t> </w:t>
            </w:r>
          </w:p>
        </w:tc>
        <w:tc>
          <w:tcPr>
            <w:tcW w:w="2059" w:type="dxa"/>
            <w:tcBorders/>
            <w:shd w:fill="CCEEFF" w:val="clear"/>
            <w:vAlign w:val="center"/>
          </w:tcPr>
          <w:p>
            <w:pPr>
              <w:pStyle w:val="TableContents"/>
              <w:spacing w:before="0" w:after="283"/>
              <w:jc w:val="right"/>
              <w:rPr/>
            </w:pPr>
            <w:r>
              <w:rPr/>
              <w:t>107,201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546" w:type="dxa"/>
            <w:tcBorders/>
            <w:shd w:fill="CCEEFF" w:val="clear"/>
            <w:vAlign w:val="center"/>
          </w:tcPr>
          <w:p>
            <w:pPr>
              <w:pStyle w:val="TableContents"/>
              <w:spacing w:before="0" w:after="283"/>
              <w:rPr/>
            </w:pPr>
            <w:r>
              <w:rPr/>
              <w:t>$</w:t>
            </w:r>
          </w:p>
        </w:tc>
        <w:tc>
          <w:tcPr>
            <w:tcW w:w="1512" w:type="dxa"/>
            <w:tcBorders/>
            <w:shd w:fill="CCEEFF" w:val="clear"/>
            <w:vAlign w:val="center"/>
          </w:tcPr>
          <w:p>
            <w:pPr>
              <w:pStyle w:val="TableContents"/>
              <w:spacing w:before="0" w:after="283"/>
              <w:jc w:val="right"/>
              <w:rPr/>
            </w:pPr>
            <w:r>
              <w:rPr/>
              <w:t>8.31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311" w:type="dxa"/>
            <w:tcBorders/>
            <w:shd w:fill="CCEEFF" w:val="clear"/>
            <w:vAlign w:val="center"/>
          </w:tcPr>
          <w:p>
            <w:pPr>
              <w:pStyle w:val="TableContents"/>
              <w:spacing w:before="0" w:after="0"/>
              <w:ind w:left="0" w:right="0" w:hanging="0"/>
              <w:rPr/>
            </w:pPr>
            <w:r>
              <w:rPr/>
              <w:t> </w:t>
            </w:r>
          </w:p>
        </w:tc>
        <w:tc>
          <w:tcPr>
            <w:tcW w:w="2883" w:type="dxa"/>
            <w:tcBorders/>
            <w:shd w:fill="CCEEFF" w:val="clear"/>
            <w:vAlign w:val="center"/>
          </w:tcPr>
          <w:p>
            <w:pPr>
              <w:pStyle w:val="TableContents"/>
              <w:spacing w:before="0" w:after="283"/>
              <w:jc w:val="right"/>
              <w:rPr/>
            </w:pPr>
            <w:r>
              <w:rPr/>
              <w:t>979,976</w:t>
            </w:r>
          </w:p>
        </w:tc>
        <w:tc>
          <w:tcPr>
            <w:tcW w:w="307" w:type="dxa"/>
            <w:tcBorders/>
            <w:shd w:fill="CCEEFF" w:val="clear"/>
            <w:vAlign w:val="center"/>
          </w:tcPr>
          <w:p>
            <w:pPr>
              <w:pStyle w:val="TableContents"/>
              <w:spacing w:before="0" w:after="283"/>
              <w:rPr/>
            </w:pPr>
            <w:r>
              <w:rPr/>
              <w:t>(1)</w:t>
            </w:r>
          </w:p>
        </w:tc>
      </w:tr>
      <w:tr>
        <w:trPr/>
        <w:tc>
          <w:tcPr>
            <w:tcW w:w="1916"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21" w:type="dxa"/>
            <w:tcBorders/>
            <w:shd w:fill="FFFFFF" w:val="clear"/>
            <w:vAlign w:val="center"/>
          </w:tcPr>
          <w:p>
            <w:pPr>
              <w:pStyle w:val="TableContents"/>
              <w:spacing w:before="0" w:after="0"/>
              <w:ind w:left="0" w:right="0" w:hanging="0"/>
              <w:rPr/>
            </w:pPr>
            <w:r>
              <w:rPr/>
              <w:t> </w:t>
            </w:r>
          </w:p>
        </w:tc>
        <w:tc>
          <w:tcPr>
            <w:tcW w:w="2059"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546" w:type="dxa"/>
            <w:tcBorders/>
            <w:shd w:fill="FFFFFF" w:val="clear"/>
            <w:vAlign w:val="center"/>
          </w:tcPr>
          <w:p>
            <w:pPr>
              <w:pStyle w:val="TableContents"/>
              <w:spacing w:before="0" w:after="0"/>
              <w:ind w:left="0" w:right="0" w:hanging="0"/>
              <w:rPr/>
            </w:pPr>
            <w:r>
              <w:rPr/>
              <w:t> </w:t>
            </w:r>
          </w:p>
        </w:tc>
        <w:tc>
          <w:tcPr>
            <w:tcW w:w="1512"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311" w:type="dxa"/>
            <w:tcBorders/>
            <w:shd w:fill="FFFFFF" w:val="clear"/>
            <w:vAlign w:val="center"/>
          </w:tcPr>
          <w:p>
            <w:pPr>
              <w:pStyle w:val="TableContents"/>
              <w:spacing w:before="0" w:after="0"/>
              <w:ind w:left="0" w:right="0" w:hanging="0"/>
              <w:rPr/>
            </w:pPr>
            <w:r>
              <w:rPr/>
              <w:t> </w:t>
            </w:r>
          </w:p>
        </w:tc>
        <w:tc>
          <w:tcPr>
            <w:tcW w:w="2883" w:type="dxa"/>
            <w:tcBorders/>
            <w:shd w:fill="FFFFFF" w:val="clear"/>
            <w:vAlign w:val="center"/>
          </w:tcPr>
          <w:p>
            <w:pPr>
              <w:pStyle w:val="TableContents"/>
              <w:spacing w:before="0" w:after="0"/>
              <w:ind w:left="0" w:right="0" w:hanging="0"/>
              <w:rPr/>
            </w:pPr>
            <w:r>
              <w:rPr/>
              <w:t> </w:t>
            </w:r>
          </w:p>
        </w:tc>
        <w:tc>
          <w:tcPr>
            <w:tcW w:w="307" w:type="dxa"/>
            <w:tcBorders/>
            <w:shd w:fill="FFFFFF" w:val="clear"/>
            <w:vAlign w:val="center"/>
          </w:tcPr>
          <w:p>
            <w:pPr>
              <w:pStyle w:val="TableContents"/>
              <w:spacing w:before="0" w:after="0"/>
              <w:ind w:left="0" w:right="0" w:hanging="0"/>
              <w:rPr/>
            </w:pPr>
            <w:r>
              <w:rPr/>
              <w:t> </w:t>
            </w:r>
          </w:p>
        </w:tc>
      </w:tr>
      <w:tr>
        <w:trPr/>
        <w:tc>
          <w:tcPr>
            <w:tcW w:w="191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Equity compensation plans not approved by security holders</w:t>
            </w:r>
          </w:p>
        </w:tc>
        <w:tc>
          <w:tcPr>
            <w:tcW w:w="90" w:type="dxa"/>
            <w:tcBorders/>
            <w:shd w:fill="CCEEFF" w:val="clear"/>
            <w:vAlign w:val="center"/>
          </w:tcPr>
          <w:p>
            <w:pPr>
              <w:pStyle w:val="TableContents"/>
              <w:spacing w:before="0" w:after="0"/>
              <w:ind w:left="0" w:right="0" w:hanging="0"/>
              <w:rPr/>
            </w:pPr>
            <w:r>
              <w:rPr/>
              <w:t> </w:t>
            </w:r>
          </w:p>
        </w:tc>
        <w:tc>
          <w:tcPr>
            <w:tcW w:w="221" w:type="dxa"/>
            <w:tcBorders/>
            <w:shd w:fill="CCEEFF" w:val="clear"/>
            <w:vAlign w:val="center"/>
          </w:tcPr>
          <w:p>
            <w:pPr>
              <w:pStyle w:val="TableContents"/>
              <w:spacing w:before="0" w:after="0"/>
              <w:ind w:left="0" w:right="0" w:hanging="0"/>
              <w:rPr/>
            </w:pPr>
            <w:r>
              <w:rPr/>
              <w:t> </w:t>
            </w:r>
          </w:p>
        </w:tc>
        <w:tc>
          <w:tcPr>
            <w:tcW w:w="2059"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546" w:type="dxa"/>
            <w:tcBorders/>
            <w:shd w:fill="CCEEFF" w:val="clear"/>
            <w:vAlign w:val="center"/>
          </w:tcPr>
          <w:p>
            <w:pPr>
              <w:pStyle w:val="TableContents"/>
              <w:spacing w:before="0" w:after="0"/>
              <w:ind w:left="0" w:right="0" w:hanging="0"/>
              <w:rPr/>
            </w:pPr>
            <w:r>
              <w:rPr/>
              <w:t> </w:t>
            </w:r>
          </w:p>
        </w:tc>
        <w:tc>
          <w:tcPr>
            <w:tcW w:w="1512"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311" w:type="dxa"/>
            <w:tcBorders/>
            <w:shd w:fill="CCEEFF" w:val="clear"/>
            <w:vAlign w:val="center"/>
          </w:tcPr>
          <w:p>
            <w:pPr>
              <w:pStyle w:val="TableContents"/>
              <w:spacing w:before="0" w:after="0"/>
              <w:ind w:left="0" w:right="0" w:hanging="0"/>
              <w:rPr/>
            </w:pPr>
            <w:r>
              <w:rPr/>
              <w:t> </w:t>
            </w:r>
          </w:p>
        </w:tc>
        <w:tc>
          <w:tcPr>
            <w:tcW w:w="2883" w:type="dxa"/>
            <w:tcBorders/>
            <w:shd w:fill="CCEEFF" w:val="clear"/>
            <w:vAlign w:val="center"/>
          </w:tcPr>
          <w:p>
            <w:pPr>
              <w:pStyle w:val="TableContents"/>
              <w:spacing w:before="0" w:after="283"/>
              <w:jc w:val="right"/>
              <w:rPr/>
            </w:pPr>
            <w:r>
              <w:rPr/>
              <w:t>-</w:t>
            </w:r>
          </w:p>
        </w:tc>
        <w:tc>
          <w:tcPr>
            <w:tcW w:w="307" w:type="dxa"/>
            <w:tcBorders/>
            <w:shd w:fill="CCEEFF" w:val="clear"/>
            <w:vAlign w:val="center"/>
          </w:tcPr>
          <w:p>
            <w:pPr>
              <w:pStyle w:val="TableContents"/>
              <w:spacing w:before="0" w:after="0"/>
              <w:ind w:left="0" w:right="0" w:hanging="0"/>
              <w:rPr/>
            </w:pPr>
            <w:r>
              <w:rPr/>
              <w:t> </w:t>
            </w:r>
          </w:p>
        </w:tc>
      </w:tr>
      <w:tr>
        <w:trPr/>
        <w:tc>
          <w:tcPr>
            <w:tcW w:w="1916"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21" w:type="dxa"/>
            <w:tcBorders/>
            <w:shd w:fill="FFFFFF" w:val="clear"/>
            <w:vAlign w:val="center"/>
          </w:tcPr>
          <w:p>
            <w:pPr>
              <w:pStyle w:val="TableContents"/>
              <w:spacing w:before="0" w:after="0"/>
              <w:ind w:left="0" w:right="0" w:hanging="0"/>
              <w:rPr/>
            </w:pPr>
            <w:r>
              <w:rPr/>
              <w:t> </w:t>
            </w:r>
          </w:p>
        </w:tc>
        <w:tc>
          <w:tcPr>
            <w:tcW w:w="2059"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546" w:type="dxa"/>
            <w:tcBorders/>
            <w:shd w:fill="FFFFFF" w:val="clear"/>
            <w:vAlign w:val="center"/>
          </w:tcPr>
          <w:p>
            <w:pPr>
              <w:pStyle w:val="TableContents"/>
              <w:spacing w:before="0" w:after="0"/>
              <w:ind w:left="0" w:right="0" w:hanging="0"/>
              <w:rPr/>
            </w:pPr>
            <w:r>
              <w:rPr/>
              <w:t> </w:t>
            </w:r>
          </w:p>
        </w:tc>
        <w:tc>
          <w:tcPr>
            <w:tcW w:w="1512"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311" w:type="dxa"/>
            <w:tcBorders/>
            <w:shd w:fill="FFFFFF" w:val="clear"/>
            <w:vAlign w:val="center"/>
          </w:tcPr>
          <w:p>
            <w:pPr>
              <w:pStyle w:val="TableContents"/>
              <w:spacing w:before="0" w:after="0"/>
              <w:ind w:left="0" w:right="0" w:hanging="0"/>
              <w:rPr/>
            </w:pPr>
            <w:r>
              <w:rPr/>
              <w:t> </w:t>
            </w:r>
          </w:p>
        </w:tc>
        <w:tc>
          <w:tcPr>
            <w:tcW w:w="2883" w:type="dxa"/>
            <w:tcBorders/>
            <w:shd w:fill="FFFFFF" w:val="clear"/>
            <w:vAlign w:val="center"/>
          </w:tcPr>
          <w:p>
            <w:pPr>
              <w:pStyle w:val="TableContents"/>
              <w:spacing w:before="0" w:after="0"/>
              <w:ind w:left="0" w:right="0" w:hanging="0"/>
              <w:rPr/>
            </w:pPr>
            <w:r>
              <w:rPr/>
              <w:t> </w:t>
            </w:r>
          </w:p>
        </w:tc>
        <w:tc>
          <w:tcPr>
            <w:tcW w:w="307" w:type="dxa"/>
            <w:tcBorders/>
            <w:shd w:fill="FFFFFF" w:val="clear"/>
            <w:vAlign w:val="center"/>
          </w:tcPr>
          <w:p>
            <w:pPr>
              <w:pStyle w:val="TableContents"/>
              <w:spacing w:before="0" w:after="0"/>
              <w:ind w:left="0" w:right="0" w:hanging="0"/>
              <w:rPr/>
            </w:pPr>
            <w:r>
              <w:rPr/>
              <w:t> </w:t>
            </w:r>
          </w:p>
        </w:tc>
      </w:tr>
      <w:tr>
        <w:trPr/>
        <w:tc>
          <w:tcPr>
            <w:tcW w:w="1916"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Total</w:t>
            </w:r>
          </w:p>
        </w:tc>
        <w:tc>
          <w:tcPr>
            <w:tcW w:w="90" w:type="dxa"/>
            <w:tcBorders/>
            <w:shd w:fill="CCEEFF" w:val="clear"/>
            <w:vAlign w:val="center"/>
          </w:tcPr>
          <w:p>
            <w:pPr>
              <w:pStyle w:val="TableContents"/>
              <w:spacing w:before="0" w:after="0"/>
              <w:ind w:left="0" w:right="0" w:hanging="0"/>
              <w:rPr/>
            </w:pPr>
            <w:r>
              <w:rPr/>
              <w:t> </w:t>
            </w:r>
          </w:p>
        </w:tc>
        <w:tc>
          <w:tcPr>
            <w:tcW w:w="221" w:type="dxa"/>
            <w:tcBorders/>
            <w:shd w:fill="CCEEFF" w:val="clear"/>
            <w:vAlign w:val="center"/>
          </w:tcPr>
          <w:p>
            <w:pPr>
              <w:pStyle w:val="TableContents"/>
              <w:spacing w:before="0" w:after="0"/>
              <w:ind w:left="0" w:right="0" w:hanging="0"/>
              <w:rPr/>
            </w:pPr>
            <w:r>
              <w:rPr/>
              <w:t> </w:t>
            </w:r>
          </w:p>
        </w:tc>
        <w:tc>
          <w:tcPr>
            <w:tcW w:w="2059" w:type="dxa"/>
            <w:tcBorders/>
            <w:shd w:fill="CCEEFF" w:val="clear"/>
            <w:vAlign w:val="center"/>
          </w:tcPr>
          <w:p>
            <w:pPr>
              <w:pStyle w:val="TableContents"/>
              <w:spacing w:before="0" w:after="283"/>
              <w:jc w:val="right"/>
              <w:rPr/>
            </w:pPr>
            <w:r>
              <w:rPr/>
              <w:t>107,201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546" w:type="dxa"/>
            <w:tcBorders/>
            <w:shd w:fill="CCEEFF" w:val="clear"/>
            <w:vAlign w:val="center"/>
          </w:tcPr>
          <w:p>
            <w:pPr>
              <w:pStyle w:val="TableContents"/>
              <w:spacing w:before="0" w:after="283"/>
              <w:rPr/>
            </w:pPr>
            <w:r>
              <w:rPr/>
              <w:t>$</w:t>
            </w:r>
          </w:p>
        </w:tc>
        <w:tc>
          <w:tcPr>
            <w:tcW w:w="1512" w:type="dxa"/>
            <w:tcBorders/>
            <w:shd w:fill="CCEEFF" w:val="clear"/>
            <w:vAlign w:val="center"/>
          </w:tcPr>
          <w:p>
            <w:pPr>
              <w:pStyle w:val="TableContents"/>
              <w:spacing w:before="0" w:after="283"/>
              <w:jc w:val="right"/>
              <w:rPr/>
            </w:pPr>
            <w:r>
              <w:rPr/>
              <w:t>8.31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311" w:type="dxa"/>
            <w:tcBorders/>
            <w:shd w:fill="CCEEFF" w:val="clear"/>
            <w:vAlign w:val="center"/>
          </w:tcPr>
          <w:p>
            <w:pPr>
              <w:pStyle w:val="TableContents"/>
              <w:spacing w:before="0" w:after="0"/>
              <w:ind w:left="0" w:right="0" w:hanging="0"/>
              <w:rPr/>
            </w:pPr>
            <w:r>
              <w:rPr/>
              <w:t> </w:t>
            </w:r>
          </w:p>
        </w:tc>
        <w:tc>
          <w:tcPr>
            <w:tcW w:w="2883" w:type="dxa"/>
            <w:tcBorders/>
            <w:shd w:fill="CCEEFF" w:val="clear"/>
            <w:vAlign w:val="center"/>
          </w:tcPr>
          <w:p>
            <w:pPr>
              <w:pStyle w:val="TableContents"/>
              <w:spacing w:before="0" w:after="283"/>
              <w:jc w:val="right"/>
              <w:rPr/>
            </w:pPr>
            <w:r>
              <w:rPr/>
              <w:t>979,976</w:t>
            </w:r>
          </w:p>
        </w:tc>
        <w:tc>
          <w:tcPr>
            <w:tcW w:w="307" w:type="dxa"/>
            <w:tcBorders/>
            <w:shd w:fill="CCEEFF" w:val="clear"/>
            <w:vAlign w:val="center"/>
          </w:tcPr>
          <w:p>
            <w:pPr>
              <w:pStyle w:val="TableContents"/>
              <w:spacing w:before="0" w:after="283"/>
              <w:rPr/>
            </w:pPr>
            <w:r>
              <w:rPr/>
              <w:t>(1)</w:t>
            </w:r>
          </w:p>
        </w:tc>
      </w:tr>
    </w:tbl>
    <w:p>
      <w:pPr>
        <w:pStyle w:val="TextBody"/>
        <w:spacing w:before="0" w:after="0"/>
        <w:ind w:left="0" w:right="0" w:hanging="0"/>
        <w:jc w:val="both"/>
        <w:rPr/>
      </w:pPr>
      <w:r>
        <w:rPr/>
        <w:t> </w:t>
      </w:r>
    </w:p>
    <w:tbl>
      <w:tblPr>
        <w:tblW w:w="7750" w:type="dxa"/>
        <w:jc w:val="left"/>
        <w:tblInd w:w="0" w:type="dxa"/>
        <w:tblCellMar>
          <w:top w:w="0" w:type="dxa"/>
          <w:left w:w="0" w:type="dxa"/>
          <w:bottom w:w="0" w:type="dxa"/>
          <w:right w:w="0" w:type="dxa"/>
        </w:tblCellMar>
      </w:tblPr>
      <w:tblGrid>
        <w:gridCol w:w="105"/>
        <w:gridCol w:w="275"/>
        <w:gridCol w:w="7370"/>
      </w:tblGrid>
      <w:tr>
        <w:trPr/>
        <w:tc>
          <w:tcPr>
            <w:tcW w:w="105" w:type="dxa"/>
            <w:tcBorders/>
            <w:shd w:fill="auto" w:val="clear"/>
            <w:vAlign w:val="center"/>
          </w:tcPr>
          <w:p>
            <w:pPr>
              <w:pStyle w:val="TableContents"/>
              <w:spacing w:before="0" w:after="0"/>
              <w:ind w:left="0" w:right="0" w:hanging="0"/>
              <w:rPr/>
            </w:pPr>
            <w:r>
              <w:rPr/>
              <w:t> </w:t>
            </w:r>
          </w:p>
        </w:tc>
        <w:tc>
          <w:tcPr>
            <w:tcW w:w="275"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(1)</w:t>
            </w:r>
          </w:p>
        </w:tc>
        <w:tc>
          <w:tcPr>
            <w:tcW w:w="7370"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Includes 366,597 shares reserved for issuance pursuant to unvested restricted stock grants.</w:t>
            </w:r>
          </w:p>
        </w:tc>
      </w:tr>
    </w:tbl>
    <w:p>
      <w:pPr>
        <w:pStyle w:val="TextBody"/>
        <w:spacing w:before="0" w:after="0"/>
        <w:ind w:left="0" w:right="0" w:hanging="0"/>
        <w:jc w:val="both"/>
        <w:rPr/>
      </w:pPr>
      <w:r>
        <w:rPr/>
        <w:t> </w:t>
      </w:r>
    </w:p>
    <w:p>
      <w:pPr>
        <w:pStyle w:val="TextBody"/>
        <w:spacing w:before="0" w:after="0"/>
        <w:ind w:left="0" w:right="0" w:hanging="0"/>
        <w:jc w:val="both"/>
        <w:rPr/>
      </w:pPr>
      <w:bookmarkStart w:id="22" w:name="i13"/>
      <w:bookmarkEnd w:id="22"/>
      <w:r>
        <w:rPr>
          <w:rStyle w:val="StrongEmphasis"/>
          <w:rFonts w:ascii="times new roman" w:hAnsi="times new roman"/>
          <w:sz w:val="20"/>
          <w:u w:val="single"/>
        </w:rPr>
        <w:t>ITEM 13.</w:t>
      </w:r>
      <w:r>
        <w:rPr>
          <w:rFonts w:ascii="times new roman" w:hAnsi="times new roman"/>
          <w:sz w:val="20"/>
        </w:rPr>
        <w:t> </w:t>
      </w:r>
      <w:r>
        <w:rPr>
          <w:rStyle w:val="StrongEmphasis"/>
          <w:rFonts w:ascii="times new roman" w:hAnsi="times new roman"/>
          <w:sz w:val="20"/>
          <w:u w:val="single"/>
        </w:rPr>
        <w:t>CERTAIN RELATIONSHIPS AND RELATED TRANSACTIONS, AND DIRECTOR INDEPENDENCE.</w:t>
      </w:r>
    </w:p>
    <w:p>
      <w:pPr>
        <w:pStyle w:val="TextBody"/>
        <w:spacing w:before="0" w:after="0"/>
        <w:ind w:left="0" w:right="0" w:hanging="0"/>
        <w:jc w:val="both"/>
        <w:rPr/>
      </w:pPr>
      <w:r>
        <w:rPr/>
        <w:t> </w:t>
      </w:r>
    </w:p>
    <w:p>
      <w:pPr>
        <w:pStyle w:val="TextBody"/>
        <w:spacing w:before="0" w:after="0"/>
        <w:ind w:left="0" w:right="0" w:hanging="0"/>
        <w:jc w:val="both"/>
        <w:rPr/>
      </w:pPr>
      <w:r>
        <w:rPr>
          <w:rStyle w:val="Emphasis"/>
          <w:rFonts w:ascii="times new roman" w:hAnsi="times new roman"/>
          <w:sz w:val="20"/>
        </w:rPr>
        <w:t>Director Independence</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Board of Directors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Board of Directors is currently comprised of Barry B. Goldstein, Floyd R. Tupper, William L. Yankus, Carla A. D’Andre, Timothy P. McFadden and Meryl S. Golden. Our board of directors has determined that each of Messrs. Tupper, Yankus and McFadden and Ms. D’Andre is independent under applicable Nasdaq listing standards and federal securities rules and regulations.</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Audit Committee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members of our Board’s Audit Committee currently are Messrs. Tupper (Chair), Yankus and McFadden, each of whom is independent under applicable Nasdaq listing standards and federal securities rules and regulations on independence of Audit Committee members.</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Nominating and Corporate Governance Committee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members of our Board’s Nominating and Corporate Governance Committee currently are Ms. D’Andre (Chair) and Messrs. McFadden and Tupper, each of whom is independent under applicable Nasdaq listing standards and federal securities rules and regulations on independence.</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Compensation and Finance Committee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members of our Board’s Compensation and Finance Committee currently are Messrs. Yankus (Chair) and Tupper and Ms. D’Andre, each of whom is independent under applicable Nasdaq listing standards and federal securities rules and regulations on independence.</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74</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firstLine="720"/>
        <w:jc w:val="both"/>
        <w:rPr/>
      </w:pPr>
      <w:r>
        <w:rPr>
          <w:rStyle w:val="Emphasis"/>
          <w:rFonts w:ascii="times new roman" w:hAnsi="times new roman"/>
          <w:sz w:val="20"/>
        </w:rPr>
        <w:t>Other</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daughter of Barry Goldstein, Amanda Rofsky, is employed as our Investor Relations Director and serves as Vice President of Cosi Agency, Inc., one of our subsidiaries. For the fiscal year ended December 31, 2022, she earned $163,927 in compensation.</w:t>
      </w:r>
    </w:p>
    <w:p>
      <w:pPr>
        <w:pStyle w:val="TextBody"/>
        <w:spacing w:before="0" w:after="0"/>
        <w:ind w:left="0" w:right="0" w:hanging="0"/>
        <w:jc w:val="both"/>
        <w:rPr/>
      </w:pPr>
      <w:r>
        <w:rPr/>
        <w:t> </w:t>
      </w:r>
    </w:p>
    <w:p>
      <w:pPr>
        <w:pStyle w:val="TextBody"/>
        <w:spacing w:before="0" w:after="0"/>
        <w:ind w:left="0" w:right="0" w:firstLine="720"/>
        <w:jc w:val="both"/>
        <w:rPr/>
      </w:pPr>
      <w:r>
        <w:rPr>
          <w:rStyle w:val="Emphasis"/>
          <w:rFonts w:ascii="times new roman" w:hAnsi="times new roman"/>
          <w:sz w:val="20"/>
        </w:rPr>
        <w:t>Related Party Transactions</w:t>
      </w:r>
    </w:p>
    <w:p>
      <w:pPr>
        <w:pStyle w:val="TextBody"/>
        <w:spacing w:before="0" w:after="0"/>
        <w:ind w:left="0" w:right="0" w:hanging="0"/>
        <w:jc w:val="both"/>
        <w:rPr/>
      </w:pPr>
      <w:r>
        <w:rPr/>
        <w:t> </w:t>
      </w:r>
    </w:p>
    <w:p>
      <w:pPr>
        <w:pStyle w:val="TextBody"/>
        <w:spacing w:before="0" w:after="0"/>
        <w:ind w:left="0" w:right="0" w:hanging="0"/>
        <w:jc w:val="both"/>
        <w:rPr/>
      </w:pPr>
      <w:r>
        <w:rPr/>
        <w:t xml:space="preserve">                </w:t>
      </w:r>
      <w:r>
        <w:rPr>
          <w:rFonts w:ascii="times new roman" w:hAnsi="times new roman"/>
          <w:sz w:val="20"/>
        </w:rPr>
        <w:t xml:space="preserve">Due to the infrequency of related party transactions, we have not formally adopted procedures for the review of, or standards for approval of, such transactions; however, our Board of Directors (or a designated committee thereof) will review related party transactions on a case-by-case basis. </w:t>
      </w:r>
    </w:p>
    <w:p>
      <w:pPr>
        <w:pStyle w:val="TextBody"/>
        <w:spacing w:before="0" w:after="0"/>
        <w:ind w:left="0" w:right="0" w:hanging="0"/>
        <w:jc w:val="both"/>
        <w:rPr/>
      </w:pPr>
      <w:r>
        <w:rPr/>
        <w:t> </w:t>
      </w:r>
    </w:p>
    <w:p>
      <w:pPr>
        <w:pStyle w:val="TextBody"/>
        <w:spacing w:before="0" w:after="0"/>
        <w:ind w:left="0" w:right="0" w:hanging="0"/>
        <w:jc w:val="both"/>
        <w:rPr/>
      </w:pPr>
      <w:bookmarkStart w:id="23" w:name="i14"/>
      <w:bookmarkEnd w:id="23"/>
      <w:r>
        <w:rPr>
          <w:rStyle w:val="StrongEmphasis"/>
          <w:rFonts w:ascii="times new roman" w:hAnsi="times new roman"/>
          <w:sz w:val="20"/>
          <w:u w:val="single"/>
        </w:rPr>
        <w:t>ITEM 14.</w:t>
      </w:r>
      <w:r>
        <w:rPr>
          <w:rFonts w:ascii="times new roman" w:hAnsi="times new roman"/>
          <w:sz w:val="20"/>
        </w:rPr>
        <w:t> </w:t>
      </w:r>
      <w:r>
        <w:rPr>
          <w:rStyle w:val="StrongEmphasis"/>
          <w:rFonts w:ascii="times new roman" w:hAnsi="times new roman"/>
          <w:sz w:val="20"/>
          <w:u w:val="single"/>
        </w:rPr>
        <w:t>PRINCIPAL ACCOUNTANT FEES AND SERVICES.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is a summary of the fees billed to us by Marcum LLP, our independent auditors, for professional services rendered for the fiscal years ended December 31, 2022 and 2021.</w:t>
      </w:r>
    </w:p>
    <w:p>
      <w:pPr>
        <w:pStyle w:val="TextBody"/>
        <w:spacing w:before="0" w:after="0"/>
        <w:ind w:left="0" w:right="0" w:hanging="0"/>
        <w:jc w:val="both"/>
        <w:rPr/>
      </w:pPr>
      <w:r>
        <w:rPr/>
        <w:t> </w:t>
      </w:r>
    </w:p>
    <w:tbl>
      <w:tblPr>
        <w:tblW w:w="5143" w:type="dxa"/>
        <w:jc w:val="left"/>
        <w:tblInd w:w="0" w:type="dxa"/>
        <w:tblCellMar>
          <w:top w:w="0" w:type="dxa"/>
          <w:left w:w="0" w:type="dxa"/>
          <w:bottom w:w="28" w:type="dxa"/>
          <w:right w:w="0" w:type="dxa"/>
        </w:tblCellMar>
      </w:tblPr>
      <w:tblGrid>
        <w:gridCol w:w="1850"/>
        <w:gridCol w:w="90"/>
        <w:gridCol w:w="245"/>
        <w:gridCol w:w="1199"/>
        <w:gridCol w:w="90"/>
        <w:gridCol w:w="90"/>
        <w:gridCol w:w="245"/>
        <w:gridCol w:w="1199"/>
        <w:gridCol w:w="135"/>
      </w:tblGrid>
      <w:tr>
        <w:trPr/>
        <w:tc>
          <w:tcPr>
            <w:tcW w:w="1850" w:type="dxa"/>
            <w:tcBorders>
              <w:bottom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Fee Category</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444"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Fiscal 2022 Fees</w:t>
            </w:r>
          </w:p>
        </w:tc>
        <w:tc>
          <w:tcPr>
            <w:tcW w:w="90"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444"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Fiscal 2021 Fees</w:t>
            </w:r>
          </w:p>
        </w:tc>
        <w:tc>
          <w:tcPr>
            <w:tcW w:w="135" w:type="dxa"/>
            <w:tcBorders/>
            <w:shd w:fill="auto" w:val="clear"/>
            <w:tcMar>
              <w:bottom w:w="0" w:type="dxa"/>
            </w:tcMar>
            <w:vAlign w:val="center"/>
          </w:tcPr>
          <w:p>
            <w:pPr>
              <w:pStyle w:val="TableContents"/>
              <w:spacing w:before="0" w:after="0"/>
              <w:ind w:left="0" w:right="0" w:hanging="0"/>
              <w:rPr/>
            </w:pPr>
            <w:r>
              <w:rPr/>
              <w:t> </w:t>
            </w:r>
          </w:p>
        </w:tc>
      </w:tr>
      <w:tr>
        <w:trPr/>
        <w:tc>
          <w:tcPr>
            <w:tcW w:w="1850"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Audit Fees(1)</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245" w:type="dxa"/>
            <w:tcBorders/>
            <w:shd w:fill="CCEEFF" w:val="clear"/>
            <w:tcMar>
              <w:bottom w:w="0" w:type="dxa"/>
            </w:tcMar>
            <w:vAlign w:val="center"/>
          </w:tcPr>
          <w:p>
            <w:pPr>
              <w:pStyle w:val="TableContents"/>
              <w:spacing w:before="0" w:after="283"/>
              <w:rPr/>
            </w:pPr>
            <w:r>
              <w:rPr/>
              <w:t>$</w:t>
            </w:r>
          </w:p>
        </w:tc>
        <w:tc>
          <w:tcPr>
            <w:tcW w:w="1199" w:type="dxa"/>
            <w:tcBorders/>
            <w:shd w:fill="CCEEFF" w:val="clear"/>
            <w:tcMar>
              <w:bottom w:w="0" w:type="dxa"/>
            </w:tcMar>
            <w:vAlign w:val="center"/>
          </w:tcPr>
          <w:p>
            <w:pPr>
              <w:pStyle w:val="TableContents"/>
              <w:spacing w:before="0" w:after="283"/>
              <w:jc w:val="right"/>
              <w:rPr/>
            </w:pPr>
            <w:r>
              <w:rPr/>
              <w:t>275,010</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245" w:type="dxa"/>
            <w:tcBorders/>
            <w:shd w:fill="CCEEFF" w:val="clear"/>
            <w:tcMar>
              <w:bottom w:w="0" w:type="dxa"/>
            </w:tcMar>
            <w:vAlign w:val="center"/>
          </w:tcPr>
          <w:p>
            <w:pPr>
              <w:pStyle w:val="TableContents"/>
              <w:spacing w:before="0" w:after="283"/>
              <w:rPr/>
            </w:pPr>
            <w:r>
              <w:rPr/>
              <w:t>$</w:t>
            </w:r>
          </w:p>
        </w:tc>
        <w:tc>
          <w:tcPr>
            <w:tcW w:w="1199" w:type="dxa"/>
            <w:tcBorders/>
            <w:shd w:fill="CCEEFF" w:val="clear"/>
            <w:tcMar>
              <w:bottom w:w="0" w:type="dxa"/>
            </w:tcMar>
            <w:vAlign w:val="center"/>
          </w:tcPr>
          <w:p>
            <w:pPr>
              <w:pStyle w:val="TableContents"/>
              <w:spacing w:before="0" w:after="283"/>
              <w:jc w:val="right"/>
              <w:rPr/>
            </w:pPr>
            <w:r>
              <w:rPr/>
              <w:t>308,350</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1850" w:type="dxa"/>
            <w:tcBorders/>
            <w:shd w:fill="FFFF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Tax Fees(2)</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245" w:type="dxa"/>
            <w:tcBorders/>
            <w:shd w:fill="FFFFFF" w:val="clear"/>
            <w:tcMar>
              <w:bottom w:w="0" w:type="dxa"/>
            </w:tcMar>
            <w:vAlign w:val="center"/>
          </w:tcPr>
          <w:p>
            <w:pPr>
              <w:pStyle w:val="TableContents"/>
              <w:spacing w:before="0" w:after="283"/>
              <w:rPr/>
            </w:pPr>
            <w:r>
              <w:rPr/>
              <w:t>$</w:t>
            </w:r>
          </w:p>
        </w:tc>
        <w:tc>
          <w:tcPr>
            <w:tcW w:w="1199" w:type="dxa"/>
            <w:tcBorders/>
            <w:shd w:fill="FFFFFF" w:val="clear"/>
            <w:tcMar>
              <w:bottom w:w="0" w:type="dxa"/>
            </w:tcMar>
            <w:vAlign w:val="center"/>
          </w:tcPr>
          <w:p>
            <w:pPr>
              <w:pStyle w:val="TableContents"/>
              <w:spacing w:before="0" w:after="283"/>
              <w:jc w:val="right"/>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245" w:type="dxa"/>
            <w:tcBorders/>
            <w:shd w:fill="FFFFFF" w:val="clear"/>
            <w:tcMar>
              <w:bottom w:w="0" w:type="dxa"/>
            </w:tcMar>
            <w:vAlign w:val="center"/>
          </w:tcPr>
          <w:p>
            <w:pPr>
              <w:pStyle w:val="TableContents"/>
              <w:spacing w:before="0" w:after="283"/>
              <w:rPr/>
            </w:pPr>
            <w:r>
              <w:rPr/>
              <w:t>$</w:t>
            </w:r>
          </w:p>
        </w:tc>
        <w:tc>
          <w:tcPr>
            <w:tcW w:w="1199" w:type="dxa"/>
            <w:tcBorders/>
            <w:shd w:fill="FFFFFF" w:val="clear"/>
            <w:tcMar>
              <w:bottom w:w="0" w:type="dxa"/>
            </w:tcMar>
            <w:vAlign w:val="center"/>
          </w:tcPr>
          <w:p>
            <w:pPr>
              <w:pStyle w:val="TableContents"/>
              <w:spacing w:before="0" w:after="283"/>
              <w:jc w:val="right"/>
              <w:rPr/>
            </w:pPr>
            <w:r>
              <w:rPr/>
              <w:t>-</w:t>
            </w:r>
          </w:p>
        </w:tc>
        <w:tc>
          <w:tcPr>
            <w:tcW w:w="135" w:type="dxa"/>
            <w:tcBorders/>
            <w:shd w:fill="FFFFFF" w:val="clear"/>
            <w:tcMar>
              <w:bottom w:w="0" w:type="dxa"/>
            </w:tcMar>
            <w:vAlign w:val="center"/>
          </w:tcPr>
          <w:p>
            <w:pPr>
              <w:pStyle w:val="TableContents"/>
              <w:spacing w:before="0" w:after="0"/>
              <w:ind w:left="0" w:right="0" w:hanging="0"/>
              <w:rPr/>
            </w:pPr>
            <w:r>
              <w:rPr/>
              <w:t> </w:t>
            </w:r>
          </w:p>
        </w:tc>
      </w:tr>
      <w:tr>
        <w:trPr/>
        <w:tc>
          <w:tcPr>
            <w:tcW w:w="1850" w:type="dxa"/>
            <w:tcBorders/>
            <w:shd w:fill="CCEE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Audit-Related Fees(3)</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245" w:type="dxa"/>
            <w:tcBorders/>
            <w:shd w:fill="CCEEFF" w:val="clear"/>
            <w:tcMar>
              <w:bottom w:w="0" w:type="dxa"/>
            </w:tcMar>
            <w:vAlign w:val="center"/>
          </w:tcPr>
          <w:p>
            <w:pPr>
              <w:pStyle w:val="TableContents"/>
              <w:spacing w:before="0" w:after="283"/>
              <w:rPr/>
            </w:pPr>
            <w:r>
              <w:rPr/>
              <w:t>$</w:t>
            </w:r>
          </w:p>
        </w:tc>
        <w:tc>
          <w:tcPr>
            <w:tcW w:w="1199" w:type="dxa"/>
            <w:tcBorders/>
            <w:shd w:fill="CCEEFF" w:val="clear"/>
            <w:tcMar>
              <w:bottom w:w="0" w:type="dxa"/>
            </w:tcMar>
            <w:vAlign w:val="center"/>
          </w:tcPr>
          <w:p>
            <w:pPr>
              <w:pStyle w:val="TableContents"/>
              <w:spacing w:before="0" w:after="283"/>
              <w:jc w:val="right"/>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245" w:type="dxa"/>
            <w:tcBorders/>
            <w:shd w:fill="CCEEFF" w:val="clear"/>
            <w:tcMar>
              <w:bottom w:w="0" w:type="dxa"/>
            </w:tcMar>
            <w:vAlign w:val="center"/>
          </w:tcPr>
          <w:p>
            <w:pPr>
              <w:pStyle w:val="TableContents"/>
              <w:spacing w:before="0" w:after="283"/>
              <w:rPr/>
            </w:pPr>
            <w:r>
              <w:rPr/>
              <w:t>$</w:t>
            </w:r>
          </w:p>
        </w:tc>
        <w:tc>
          <w:tcPr>
            <w:tcW w:w="1199" w:type="dxa"/>
            <w:tcBorders/>
            <w:shd w:fill="CCEEFF" w:val="clear"/>
            <w:tcMar>
              <w:bottom w:w="0" w:type="dxa"/>
            </w:tcMar>
            <w:vAlign w:val="center"/>
          </w:tcPr>
          <w:p>
            <w:pPr>
              <w:pStyle w:val="TableContents"/>
              <w:spacing w:before="0" w:after="283"/>
              <w:jc w:val="right"/>
              <w:rPr/>
            </w:pPr>
            <w:r>
              <w:rPr/>
              <w:t>-</w:t>
            </w:r>
          </w:p>
        </w:tc>
        <w:tc>
          <w:tcPr>
            <w:tcW w:w="135" w:type="dxa"/>
            <w:tcBorders/>
            <w:shd w:fill="CCEEFF" w:val="clear"/>
            <w:tcMar>
              <w:bottom w:w="0" w:type="dxa"/>
            </w:tcMar>
            <w:vAlign w:val="center"/>
          </w:tcPr>
          <w:p>
            <w:pPr>
              <w:pStyle w:val="TableContents"/>
              <w:spacing w:before="0" w:after="0"/>
              <w:ind w:left="0" w:right="0" w:hanging="0"/>
              <w:rPr/>
            </w:pPr>
            <w:r>
              <w:rPr/>
              <w:t> </w:t>
            </w:r>
          </w:p>
        </w:tc>
      </w:tr>
      <w:tr>
        <w:trPr/>
        <w:tc>
          <w:tcPr>
            <w:tcW w:w="1850" w:type="dxa"/>
            <w:tcBorders/>
            <w:shd w:fill="FFFFFF"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All Other Fees(4)</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245" w:type="dxa"/>
            <w:tcBorders>
              <w:bottom w:val="single" w:sz="2" w:space="0" w:color="000000"/>
            </w:tcBorders>
            <w:shd w:fill="FFFFFF" w:val="clear"/>
            <w:vAlign w:val="center"/>
          </w:tcPr>
          <w:p>
            <w:pPr>
              <w:pStyle w:val="TableContents"/>
              <w:spacing w:before="0" w:after="283"/>
              <w:rPr/>
            </w:pPr>
            <w:r>
              <w:rPr/>
              <w:t>$</w:t>
            </w:r>
          </w:p>
        </w:tc>
        <w:tc>
          <w:tcPr>
            <w:tcW w:w="1199" w:type="dxa"/>
            <w:tcBorders>
              <w:bottom w:val="single" w:sz="2" w:space="0" w:color="000000"/>
            </w:tcBorders>
            <w:shd w:fill="FFFFFF" w:val="clear"/>
            <w:vAlign w:val="center"/>
          </w:tcPr>
          <w:p>
            <w:pPr>
              <w:pStyle w:val="TableContents"/>
              <w:spacing w:before="0" w:after="283"/>
              <w:jc w:val="right"/>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245" w:type="dxa"/>
            <w:tcBorders>
              <w:bottom w:val="single" w:sz="2" w:space="0" w:color="000000"/>
            </w:tcBorders>
            <w:shd w:fill="FFFFFF" w:val="clear"/>
            <w:vAlign w:val="center"/>
          </w:tcPr>
          <w:p>
            <w:pPr>
              <w:pStyle w:val="TableContents"/>
              <w:spacing w:before="0" w:after="283"/>
              <w:rPr/>
            </w:pPr>
            <w:r>
              <w:rPr/>
              <w:t>$</w:t>
            </w:r>
          </w:p>
        </w:tc>
        <w:tc>
          <w:tcPr>
            <w:tcW w:w="1199" w:type="dxa"/>
            <w:tcBorders>
              <w:bottom w:val="single" w:sz="2" w:space="0" w:color="000000"/>
            </w:tcBorders>
            <w:shd w:fill="FFFFFF" w:val="clear"/>
            <w:vAlign w:val="center"/>
          </w:tcPr>
          <w:p>
            <w:pPr>
              <w:pStyle w:val="TableContents"/>
              <w:spacing w:before="0" w:after="283"/>
              <w:jc w:val="right"/>
              <w:rPr/>
            </w:pPr>
            <w:r>
              <w:rPr/>
              <w:t>-</w:t>
            </w:r>
          </w:p>
        </w:tc>
        <w:tc>
          <w:tcPr>
            <w:tcW w:w="135" w:type="dxa"/>
            <w:tcBorders/>
            <w:shd w:fill="FFFFFF" w:val="clear"/>
            <w:tcMar>
              <w:bottom w:w="0" w:type="dxa"/>
            </w:tcMar>
            <w:vAlign w:val="center"/>
          </w:tcPr>
          <w:p>
            <w:pPr>
              <w:pStyle w:val="TableContents"/>
              <w:spacing w:before="0" w:after="0"/>
              <w:ind w:left="0" w:right="0" w:hanging="0"/>
              <w:rPr/>
            </w:pPr>
            <w:r>
              <w:rPr/>
              <w:t> </w:t>
            </w:r>
          </w:p>
        </w:tc>
      </w:tr>
      <w:tr>
        <w:trPr/>
        <w:tc>
          <w:tcPr>
            <w:tcW w:w="185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245" w:type="dxa"/>
            <w:tcBorders/>
            <w:shd w:fill="CCEEFF" w:val="clear"/>
            <w:tcMar>
              <w:bottom w:w="0" w:type="dxa"/>
            </w:tcMar>
            <w:vAlign w:val="center"/>
          </w:tcPr>
          <w:p>
            <w:pPr>
              <w:pStyle w:val="TableContents"/>
              <w:spacing w:before="0" w:after="283"/>
              <w:rPr/>
            </w:pPr>
            <w:r>
              <w:rPr/>
              <w:t>$</w:t>
            </w:r>
          </w:p>
        </w:tc>
        <w:tc>
          <w:tcPr>
            <w:tcW w:w="1199" w:type="dxa"/>
            <w:tcBorders/>
            <w:shd w:fill="CCEEFF" w:val="clear"/>
            <w:tcMar>
              <w:bottom w:w="0" w:type="dxa"/>
            </w:tcMar>
            <w:vAlign w:val="center"/>
          </w:tcPr>
          <w:p>
            <w:pPr>
              <w:pStyle w:val="TableContents"/>
              <w:spacing w:before="0" w:after="283"/>
              <w:jc w:val="right"/>
              <w:rPr/>
            </w:pPr>
            <w:r>
              <w:rPr/>
              <w:t>275,010</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245" w:type="dxa"/>
            <w:tcBorders/>
            <w:shd w:fill="CCEEFF" w:val="clear"/>
            <w:tcMar>
              <w:bottom w:w="0" w:type="dxa"/>
            </w:tcMar>
            <w:vAlign w:val="center"/>
          </w:tcPr>
          <w:p>
            <w:pPr>
              <w:pStyle w:val="TableContents"/>
              <w:spacing w:before="0" w:after="283"/>
              <w:rPr/>
            </w:pPr>
            <w:r>
              <w:rPr/>
              <w:t>$</w:t>
            </w:r>
          </w:p>
        </w:tc>
        <w:tc>
          <w:tcPr>
            <w:tcW w:w="1199" w:type="dxa"/>
            <w:tcBorders/>
            <w:shd w:fill="CCEEFF" w:val="clear"/>
            <w:tcMar>
              <w:bottom w:w="0" w:type="dxa"/>
            </w:tcMar>
            <w:vAlign w:val="center"/>
          </w:tcPr>
          <w:p>
            <w:pPr>
              <w:pStyle w:val="TableContents"/>
              <w:spacing w:before="0" w:after="283"/>
              <w:jc w:val="right"/>
              <w:rPr/>
            </w:pPr>
            <w:r>
              <w:rPr/>
              <w:t>308,350</w:t>
            </w:r>
          </w:p>
        </w:tc>
        <w:tc>
          <w:tcPr>
            <w:tcW w:w="135" w:type="dxa"/>
            <w:tcBorders/>
            <w:shd w:fill="CCEEFF" w:val="clear"/>
            <w:tcMar>
              <w:bottom w:w="0" w:type="dxa"/>
            </w:tcM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105"/>
        <w:gridCol w:w="230"/>
        <w:gridCol w:w="9870"/>
      </w:tblGrid>
      <w:tr>
        <w:trPr/>
        <w:tc>
          <w:tcPr>
            <w:tcW w:w="105" w:type="dxa"/>
            <w:tcBorders/>
            <w:shd w:fill="auto" w:val="clear"/>
            <w:vAlign w:val="center"/>
          </w:tcPr>
          <w:p>
            <w:pPr>
              <w:pStyle w:val="TableContents"/>
              <w:spacing w:before="0" w:after="0"/>
              <w:ind w:left="0" w:right="0" w:hanging="0"/>
              <w:rPr/>
            </w:pPr>
            <w:r>
              <w:rPr/>
              <w:t> </w:t>
            </w:r>
          </w:p>
        </w:tc>
        <w:tc>
          <w:tcPr>
            <w:tcW w:w="23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(1)</w:t>
            </w:r>
          </w:p>
        </w:tc>
        <w:tc>
          <w:tcPr>
            <w:tcW w:w="9870"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Audit Fees consist of fees billed for services rendered for the audit of our consolidated financial statements and review of our condensed consolidated financial statements included in our Quarterly Reports on Form 10-Q, services rendered in response to due diligence requests, services rendered in connection with the filing of Form S-8, and services provided in connection with other statutory or regulatory filings.</w:t>
            </w:r>
          </w:p>
        </w:tc>
      </w:tr>
      <w:tr>
        <w:trPr/>
        <w:tc>
          <w:tcPr>
            <w:tcW w:w="105" w:type="dxa"/>
            <w:tcBorders/>
            <w:shd w:fill="auto" w:val="clear"/>
            <w:vAlign w:val="center"/>
          </w:tcPr>
          <w:p>
            <w:pPr>
              <w:pStyle w:val="TableContents"/>
              <w:spacing w:before="0" w:after="0"/>
              <w:ind w:left="0" w:right="0" w:hanging="0"/>
              <w:rPr/>
            </w:pPr>
            <w:r>
              <w:rPr/>
              <w:t> </w:t>
            </w:r>
          </w:p>
        </w:tc>
        <w:tc>
          <w:tcPr>
            <w:tcW w:w="230" w:type="dxa"/>
            <w:tcBorders/>
            <w:shd w:fill="auto" w:val="clear"/>
            <w:vAlign w:val="center"/>
          </w:tcPr>
          <w:p>
            <w:pPr>
              <w:pStyle w:val="TableContents"/>
              <w:spacing w:before="0" w:after="0"/>
              <w:ind w:left="0" w:right="0" w:hanging="0"/>
              <w:jc w:val="center"/>
              <w:rPr/>
            </w:pPr>
            <w:r>
              <w:rPr/>
              <w:t> </w:t>
            </w:r>
          </w:p>
        </w:tc>
        <w:tc>
          <w:tcPr>
            <w:tcW w:w="9870"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23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(2)</w:t>
            </w:r>
          </w:p>
        </w:tc>
        <w:tc>
          <w:tcPr>
            <w:tcW w:w="9870"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Marcum did not provide any tax services during the fiscal year.</w:t>
            </w:r>
          </w:p>
        </w:tc>
      </w:tr>
      <w:tr>
        <w:trPr/>
        <w:tc>
          <w:tcPr>
            <w:tcW w:w="105" w:type="dxa"/>
            <w:tcBorders/>
            <w:shd w:fill="auto" w:val="clear"/>
            <w:vAlign w:val="center"/>
          </w:tcPr>
          <w:p>
            <w:pPr>
              <w:pStyle w:val="TableContents"/>
              <w:spacing w:before="0" w:after="0"/>
              <w:ind w:left="0" w:right="0" w:hanging="0"/>
              <w:rPr/>
            </w:pPr>
            <w:r>
              <w:rPr/>
              <w:t> </w:t>
            </w:r>
          </w:p>
        </w:tc>
        <w:tc>
          <w:tcPr>
            <w:tcW w:w="230" w:type="dxa"/>
            <w:tcBorders/>
            <w:shd w:fill="auto" w:val="clear"/>
            <w:vAlign w:val="center"/>
          </w:tcPr>
          <w:p>
            <w:pPr>
              <w:pStyle w:val="TableContents"/>
              <w:spacing w:before="0" w:after="0"/>
              <w:ind w:left="0" w:right="0" w:hanging="0"/>
              <w:jc w:val="center"/>
              <w:rPr/>
            </w:pPr>
            <w:r>
              <w:rPr/>
              <w:t> </w:t>
            </w:r>
          </w:p>
        </w:tc>
        <w:tc>
          <w:tcPr>
            <w:tcW w:w="9870"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23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(3)</w:t>
            </w:r>
          </w:p>
        </w:tc>
        <w:tc>
          <w:tcPr>
            <w:tcW w:w="9870"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Marcum did not provide any “Audit-Related” services during the fiscal year.</w:t>
            </w:r>
          </w:p>
        </w:tc>
      </w:tr>
      <w:tr>
        <w:trPr/>
        <w:tc>
          <w:tcPr>
            <w:tcW w:w="105" w:type="dxa"/>
            <w:tcBorders/>
            <w:shd w:fill="auto" w:val="clear"/>
            <w:vAlign w:val="center"/>
          </w:tcPr>
          <w:p>
            <w:pPr>
              <w:pStyle w:val="TableContents"/>
              <w:spacing w:before="0" w:after="0"/>
              <w:ind w:left="0" w:right="0" w:hanging="0"/>
              <w:rPr/>
            </w:pPr>
            <w:r>
              <w:rPr/>
              <w:t> </w:t>
            </w:r>
          </w:p>
        </w:tc>
        <w:tc>
          <w:tcPr>
            <w:tcW w:w="230" w:type="dxa"/>
            <w:tcBorders/>
            <w:shd w:fill="auto" w:val="clear"/>
            <w:vAlign w:val="center"/>
          </w:tcPr>
          <w:p>
            <w:pPr>
              <w:pStyle w:val="TableContents"/>
              <w:spacing w:before="0" w:after="0"/>
              <w:ind w:left="0" w:right="0" w:hanging="0"/>
              <w:jc w:val="center"/>
              <w:rPr/>
            </w:pPr>
            <w:r>
              <w:rPr/>
              <w:t> </w:t>
            </w:r>
          </w:p>
        </w:tc>
        <w:tc>
          <w:tcPr>
            <w:tcW w:w="9870"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23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(4)</w:t>
            </w:r>
          </w:p>
        </w:tc>
        <w:tc>
          <w:tcPr>
            <w:tcW w:w="9870"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Marcum did not provide any other services during the fiscal year.</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Audit Committee is responsible for the appointment, compensation and oversight of the work of the independent auditors and approves in advance any services to be performed by the independent auditors, whether audit-related or not. The Audit Committee reviews each proposed engagement to determine whether the provision of services is compatible with maintaining the independence of the independent auditors. Substantially all of the fees shown above were pre-approved by the Audit Committee.</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75</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center"/>
        <w:rPr/>
      </w:pPr>
      <w:bookmarkStart w:id="24" w:name="p4"/>
      <w:bookmarkEnd w:id="24"/>
      <w:r>
        <w:rPr>
          <w:rStyle w:val="StrongEmphasis"/>
          <w:rFonts w:ascii="times new roman" w:hAnsi="times new roman"/>
          <w:sz w:val="20"/>
          <w:u w:val="single"/>
        </w:rPr>
        <w:t>PART IV</w:t>
      </w:r>
    </w:p>
    <w:p>
      <w:pPr>
        <w:pStyle w:val="TextBody"/>
        <w:spacing w:before="0" w:after="0"/>
        <w:ind w:left="0" w:right="0" w:hanging="0"/>
        <w:jc w:val="both"/>
        <w:rPr/>
      </w:pPr>
      <w:r>
        <w:rPr/>
        <w:t> </w:t>
      </w:r>
    </w:p>
    <w:p>
      <w:pPr>
        <w:pStyle w:val="TextBody"/>
        <w:spacing w:before="0" w:after="0"/>
        <w:ind w:left="0" w:right="0" w:hanging="0"/>
        <w:jc w:val="both"/>
        <w:rPr/>
      </w:pPr>
      <w:bookmarkStart w:id="25" w:name="i15"/>
      <w:bookmarkEnd w:id="25"/>
      <w:r>
        <w:rPr>
          <w:rStyle w:val="StrongEmphasis"/>
          <w:rFonts w:ascii="times new roman" w:hAnsi="times new roman"/>
          <w:sz w:val="20"/>
          <w:u w:val="single"/>
        </w:rPr>
        <w:t>ITEM 15.</w:t>
      </w:r>
      <w:r>
        <w:rPr>
          <w:rStyle w:val="StrongEmphasis"/>
          <w:rFonts w:ascii="times new roman" w:hAnsi="times new roman"/>
          <w:sz w:val="20"/>
        </w:rPr>
        <w:t> </w:t>
      </w:r>
      <w:r>
        <w:rPr>
          <w:rStyle w:val="StrongEmphasis"/>
          <w:rFonts w:ascii="times new roman" w:hAnsi="times new roman"/>
          <w:sz w:val="20"/>
          <w:u w:val="single"/>
        </w:rPr>
        <w:t>EXHIBITS AND FINANCIAL STATEMENT SCHEDULES.</w:t>
      </w:r>
    </w:p>
    <w:p>
      <w:pPr>
        <w:pStyle w:val="TextBody"/>
        <w:spacing w:before="0" w:after="0"/>
        <w:ind w:left="0" w:right="0" w:hanging="0"/>
        <w:jc w:val="both"/>
        <w:rPr/>
      </w:pPr>
      <w:r>
        <w:rPr/>
        <w:t> </w:t>
      </w:r>
    </w:p>
    <w:tbl>
      <w:tblPr>
        <w:tblW w:w="10205" w:type="dxa"/>
        <w:jc w:val="left"/>
        <w:tblInd w:w="0" w:type="dxa"/>
        <w:tblCellMar>
          <w:top w:w="0" w:type="dxa"/>
          <w:left w:w="0" w:type="dxa"/>
          <w:bottom w:w="28" w:type="dxa"/>
          <w:right w:w="0" w:type="dxa"/>
        </w:tblCellMar>
      </w:tblPr>
      <w:tblGrid>
        <w:gridCol w:w="755"/>
        <w:gridCol w:w="90"/>
        <w:gridCol w:w="9360"/>
      </w:tblGrid>
      <w:tr>
        <w:trPr/>
        <w:tc>
          <w:tcPr>
            <w:tcW w:w="755" w:type="dxa"/>
            <w:tcBorders>
              <w:bottom w:val="single" w:sz="2" w:space="0" w:color="000000"/>
            </w:tcBorders>
            <w:shd w:fill="auto" w:val="clear"/>
            <w:vAlign w:val="center"/>
          </w:tcPr>
          <w:p>
            <w:pPr>
              <w:pStyle w:val="TableContents"/>
              <w:spacing w:before="0" w:after="0"/>
              <w:ind w:left="0" w:right="0" w:hanging="0"/>
              <w:jc w:val="both"/>
              <w:rPr/>
            </w:pPr>
            <w:r>
              <w:rPr>
                <w:rStyle w:val="StrongEmphasis"/>
                <w:rFonts w:ascii="times new roman" w:hAnsi="times new roman"/>
                <w:sz w:val="20"/>
              </w:rPr>
              <w:t>Exhibit</w:t>
            </w:r>
          </w:p>
          <w:p>
            <w:pPr>
              <w:pStyle w:val="TableContents"/>
              <w:spacing w:before="0" w:after="0"/>
              <w:ind w:left="0" w:right="0" w:hanging="0"/>
              <w:jc w:val="both"/>
              <w:rPr/>
            </w:pPr>
            <w:r>
              <w:rPr>
                <w:rStyle w:val="StrongEmphasis"/>
                <w:rFonts w:ascii="times new roman" w:hAnsi="times new roman"/>
                <w:sz w:val="20"/>
              </w:rPr>
              <w:t>Number</w:t>
            </w:r>
          </w:p>
        </w:tc>
        <w:tc>
          <w:tcPr>
            <w:tcW w:w="90" w:type="dxa"/>
            <w:tcBorders/>
            <w:shd w:fill="auto" w:val="clear"/>
            <w:tcMar>
              <w:bottom w:w="0" w:type="dxa"/>
            </w:tcMar>
            <w:vAlign w:val="center"/>
          </w:tcPr>
          <w:p>
            <w:pPr>
              <w:pStyle w:val="TableContents"/>
              <w:spacing w:before="0" w:after="0"/>
              <w:ind w:left="0" w:right="0" w:hanging="0"/>
              <w:rPr/>
            </w:pPr>
            <w:r>
              <w:rPr/>
              <w:t> </w:t>
            </w:r>
          </w:p>
        </w:tc>
        <w:tc>
          <w:tcPr>
            <w:tcW w:w="9360" w:type="dxa"/>
            <w:tcBorders>
              <w:bottom w:val="single" w:sz="2" w:space="0" w:color="000000"/>
            </w:tcBorders>
            <w:shd w:fill="auto" w:val="clear"/>
            <w:vAlign w:val="center"/>
          </w:tcPr>
          <w:p>
            <w:pPr>
              <w:pStyle w:val="TableContents"/>
              <w:spacing w:before="0" w:after="0"/>
              <w:ind w:left="0" w:right="0" w:hanging="0"/>
              <w:jc w:val="both"/>
              <w:rPr/>
            </w:pPr>
            <w:r>
              <w:rPr/>
              <w:t> </w:t>
            </w:r>
          </w:p>
          <w:p>
            <w:pPr>
              <w:pStyle w:val="TableContents"/>
              <w:spacing w:before="0" w:after="0"/>
              <w:ind w:left="0" w:right="0" w:hanging="0"/>
              <w:jc w:val="both"/>
              <w:rPr/>
            </w:pPr>
            <w:r>
              <w:rPr>
                <w:rStyle w:val="StrongEmphasis"/>
                <w:rFonts w:ascii="times new roman" w:hAnsi="times new roman"/>
                <w:sz w:val="20"/>
              </w:rPr>
              <w:t>Description of Exhibit</w:t>
            </w:r>
          </w:p>
        </w:tc>
      </w:tr>
      <w:tr>
        <w:trPr/>
        <w:tc>
          <w:tcPr>
            <w:tcW w:w="755" w:type="dxa"/>
            <w:tcBorders/>
            <w:shd w:fill="auto" w:val="clear"/>
            <w:tcMar>
              <w:bottom w:w="0" w:type="dxa"/>
            </w:tcMar>
            <w:vAlign w:val="center"/>
          </w:tcPr>
          <w:p>
            <w:pPr>
              <w:pStyle w:val="TableContents"/>
              <w:spacing w:before="0" w:after="0"/>
              <w:ind w:left="0" w:right="0" w:hanging="0"/>
              <w:jc w:val="both"/>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9360" w:type="dxa"/>
            <w:tcBorders/>
            <w:shd w:fill="auto" w:val="clear"/>
            <w:tcMar>
              <w:bottom w:w="0" w:type="dxa"/>
            </w:tcMar>
            <w:vAlign w:val="center"/>
          </w:tcPr>
          <w:p>
            <w:pPr>
              <w:pStyle w:val="TableContents"/>
              <w:spacing w:before="0" w:after="0"/>
              <w:ind w:left="0" w:right="0" w:hanging="0"/>
              <w:jc w:val="both"/>
              <w:rPr/>
            </w:pPr>
            <w:r>
              <w:rPr/>
              <w:t> </w:t>
            </w:r>
          </w:p>
        </w:tc>
      </w:tr>
      <w:tr>
        <w:trPr/>
        <w:tc>
          <w:tcPr>
            <w:tcW w:w="755" w:type="dxa"/>
            <w:tcBorders/>
            <w:shd w:fill="CCEEFF" w:val="clear"/>
            <w:tcMar>
              <w:bottom w:w="0" w:type="dxa"/>
            </w:tcMar>
            <w:vAlign w:val="center"/>
          </w:tcPr>
          <w:p>
            <w:pPr>
              <w:pStyle w:val="TableContents"/>
              <w:spacing w:before="0" w:after="0"/>
              <w:ind w:left="0" w:right="0" w:hanging="0"/>
              <w:jc w:val="both"/>
              <w:rPr/>
            </w:pPr>
            <w:hyperlink r:id="rId3">
              <w:r>
                <w:rPr>
                  <w:rStyle w:val="InternetLink"/>
                  <w:rFonts w:ascii="times new roman" w:hAnsi="times new roman"/>
                  <w:sz w:val="20"/>
                </w:rPr>
                <w:t>3(a)</w:t>
              </w:r>
            </w:hyperlink>
          </w:p>
        </w:tc>
        <w:tc>
          <w:tcPr>
            <w:tcW w:w="90" w:type="dxa"/>
            <w:tcBorders/>
            <w:shd w:fill="CCEEFF" w:val="clear"/>
            <w:tcMar>
              <w:bottom w:w="0" w:type="dxa"/>
            </w:tcMar>
            <w:vAlign w:val="center"/>
          </w:tcPr>
          <w:p>
            <w:pPr>
              <w:pStyle w:val="TableContents"/>
              <w:spacing w:before="0" w:after="0"/>
              <w:ind w:left="0" w:right="0" w:hanging="0"/>
              <w:rPr/>
            </w:pPr>
            <w:r>
              <w:rPr/>
              <w:t> </w:t>
            </w:r>
          </w:p>
        </w:tc>
        <w:tc>
          <w:tcPr>
            <w:tcW w:w="9360" w:type="dxa"/>
            <w:tcBorders/>
            <w:shd w:fill="CCEEFF" w:val="clear"/>
            <w:tcMar>
              <w:bottom w:w="0" w:type="dxa"/>
            </w:tcMar>
            <w:vAlign w:val="center"/>
          </w:tcPr>
          <w:p>
            <w:pPr>
              <w:pStyle w:val="TableContents"/>
              <w:spacing w:before="0" w:after="0"/>
              <w:ind w:left="0" w:right="0" w:hanging="0"/>
              <w:jc w:val="both"/>
              <w:rPr/>
            </w:pPr>
            <w:hyperlink r:id="rId4">
              <w:r>
                <w:rPr>
                  <w:rStyle w:val="InternetLink"/>
                  <w:rFonts w:ascii="times new roman" w:hAnsi="times new roman"/>
                  <w:sz w:val="20"/>
                </w:rPr>
                <w:t>Restated Certificate of Incorporation, as amended (incorporated by reference to Exhibit 3(a) to the Company’s Quarterly Report on Form 10-Q for the period ended March 31, 2014, filed on May 15, 2014).</w:t>
              </w:r>
            </w:hyperlink>
          </w:p>
        </w:tc>
      </w:tr>
      <w:tr>
        <w:trPr/>
        <w:tc>
          <w:tcPr>
            <w:tcW w:w="755" w:type="dxa"/>
            <w:tcBorders/>
            <w:shd w:fill="FFFFFF" w:val="clear"/>
            <w:tcMar>
              <w:bottom w:w="0" w:type="dxa"/>
            </w:tcMar>
            <w:vAlign w:val="center"/>
          </w:tcPr>
          <w:p>
            <w:pPr>
              <w:pStyle w:val="TableContents"/>
              <w:spacing w:before="0" w:after="0"/>
              <w:ind w:left="0" w:right="0" w:hanging="0"/>
              <w:jc w:val="both"/>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360" w:type="dxa"/>
            <w:tcBorders/>
            <w:shd w:fill="FFFFFF" w:val="clear"/>
            <w:tcMar>
              <w:bottom w:w="0" w:type="dxa"/>
            </w:tcMar>
            <w:vAlign w:val="center"/>
          </w:tcPr>
          <w:p>
            <w:pPr>
              <w:pStyle w:val="TableContents"/>
              <w:spacing w:before="0" w:after="0"/>
              <w:ind w:left="0" w:right="0" w:hanging="0"/>
              <w:jc w:val="both"/>
              <w:rPr/>
            </w:pPr>
            <w:r>
              <w:rPr/>
              <w:t> </w:t>
            </w:r>
          </w:p>
        </w:tc>
      </w:tr>
      <w:tr>
        <w:trPr/>
        <w:tc>
          <w:tcPr>
            <w:tcW w:w="755" w:type="dxa"/>
            <w:tcBorders/>
            <w:shd w:fill="CCEEFF" w:val="clear"/>
            <w:tcMar>
              <w:bottom w:w="0" w:type="dxa"/>
            </w:tcMar>
            <w:vAlign w:val="center"/>
          </w:tcPr>
          <w:p>
            <w:pPr>
              <w:pStyle w:val="TableContents"/>
              <w:spacing w:before="0" w:after="0"/>
              <w:ind w:left="0" w:right="0" w:hanging="0"/>
              <w:jc w:val="both"/>
              <w:rPr/>
            </w:pPr>
            <w:hyperlink r:id="rId5">
              <w:r>
                <w:rPr>
                  <w:rStyle w:val="InternetLink"/>
                  <w:rFonts w:ascii="times new roman" w:hAnsi="times new roman"/>
                  <w:sz w:val="20"/>
                </w:rPr>
                <w:t>3(b)</w:t>
              </w:r>
            </w:hyperlink>
          </w:p>
        </w:tc>
        <w:tc>
          <w:tcPr>
            <w:tcW w:w="90" w:type="dxa"/>
            <w:tcBorders/>
            <w:shd w:fill="CCEEFF" w:val="clear"/>
            <w:tcMar>
              <w:bottom w:w="0" w:type="dxa"/>
            </w:tcMar>
            <w:vAlign w:val="center"/>
          </w:tcPr>
          <w:p>
            <w:pPr>
              <w:pStyle w:val="TableContents"/>
              <w:spacing w:before="0" w:after="0"/>
              <w:ind w:left="0" w:right="0" w:hanging="0"/>
              <w:rPr/>
            </w:pPr>
            <w:r>
              <w:rPr/>
              <w:t> </w:t>
            </w:r>
          </w:p>
        </w:tc>
        <w:tc>
          <w:tcPr>
            <w:tcW w:w="9360" w:type="dxa"/>
            <w:tcBorders/>
            <w:shd w:fill="CCEEFF" w:val="clear"/>
            <w:tcMar>
              <w:bottom w:w="0" w:type="dxa"/>
            </w:tcMar>
            <w:vAlign w:val="center"/>
          </w:tcPr>
          <w:p>
            <w:pPr>
              <w:pStyle w:val="TableContents"/>
              <w:spacing w:before="0" w:after="0"/>
              <w:ind w:left="0" w:right="0" w:hanging="0"/>
              <w:jc w:val="both"/>
              <w:rPr/>
            </w:pPr>
            <w:hyperlink r:id="rId6">
              <w:r>
                <w:rPr>
                  <w:rStyle w:val="InternetLink"/>
                  <w:rFonts w:ascii="times new roman" w:hAnsi="times new roman"/>
                  <w:sz w:val="20"/>
                </w:rPr>
                <w:t>By-laws, as amended (incorporated by reference to Exhibit 3.1 to the Company’s Current Report on Form 8-K filed on November 9, 2009).</w:t>
              </w:r>
            </w:hyperlink>
          </w:p>
        </w:tc>
      </w:tr>
      <w:tr>
        <w:trPr/>
        <w:tc>
          <w:tcPr>
            <w:tcW w:w="755" w:type="dxa"/>
            <w:tcBorders/>
            <w:shd w:fill="FFFFFF" w:val="clear"/>
            <w:tcMar>
              <w:bottom w:w="0" w:type="dxa"/>
            </w:tcMar>
            <w:vAlign w:val="center"/>
          </w:tcPr>
          <w:p>
            <w:pPr>
              <w:pStyle w:val="TableContents"/>
              <w:spacing w:before="0" w:after="0"/>
              <w:ind w:left="0" w:right="0" w:hanging="0"/>
              <w:jc w:val="both"/>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360" w:type="dxa"/>
            <w:tcBorders/>
            <w:shd w:fill="FFFFFF" w:val="clear"/>
            <w:tcMar>
              <w:bottom w:w="0" w:type="dxa"/>
            </w:tcMar>
            <w:vAlign w:val="center"/>
          </w:tcPr>
          <w:p>
            <w:pPr>
              <w:pStyle w:val="TableContents"/>
              <w:spacing w:before="0" w:after="0"/>
              <w:ind w:left="0" w:right="0" w:hanging="0"/>
              <w:jc w:val="both"/>
              <w:rPr/>
            </w:pPr>
            <w:r>
              <w:rPr/>
              <w:t> </w:t>
            </w:r>
          </w:p>
        </w:tc>
      </w:tr>
      <w:tr>
        <w:trPr/>
        <w:tc>
          <w:tcPr>
            <w:tcW w:w="755" w:type="dxa"/>
            <w:tcBorders/>
            <w:shd w:fill="CCEEFF" w:val="clear"/>
            <w:tcMar>
              <w:bottom w:w="0" w:type="dxa"/>
            </w:tcMar>
            <w:vAlign w:val="center"/>
          </w:tcPr>
          <w:p>
            <w:pPr>
              <w:pStyle w:val="TableContents"/>
              <w:spacing w:before="0" w:after="0"/>
              <w:ind w:left="0" w:right="0" w:hanging="0"/>
              <w:jc w:val="both"/>
              <w:rPr/>
            </w:pPr>
            <w:hyperlink r:id="rId7">
              <w:r>
                <w:rPr>
                  <w:rStyle w:val="InternetLink"/>
                  <w:rFonts w:ascii="times new roman" w:hAnsi="times new roman"/>
                  <w:sz w:val="20"/>
                </w:rPr>
                <w:t>4(a)</w:t>
              </w:r>
            </w:hyperlink>
          </w:p>
        </w:tc>
        <w:tc>
          <w:tcPr>
            <w:tcW w:w="90" w:type="dxa"/>
            <w:tcBorders/>
            <w:shd w:fill="CCEEFF" w:val="clear"/>
            <w:tcMar>
              <w:bottom w:w="0" w:type="dxa"/>
            </w:tcMar>
            <w:vAlign w:val="center"/>
          </w:tcPr>
          <w:p>
            <w:pPr>
              <w:pStyle w:val="TableContents"/>
              <w:spacing w:before="0" w:after="0"/>
              <w:ind w:left="0" w:right="0" w:hanging="0"/>
              <w:rPr/>
            </w:pPr>
            <w:r>
              <w:rPr/>
              <w:t> </w:t>
            </w:r>
          </w:p>
        </w:tc>
        <w:tc>
          <w:tcPr>
            <w:tcW w:w="9360" w:type="dxa"/>
            <w:tcBorders/>
            <w:shd w:fill="CCEEFF" w:val="clear"/>
            <w:tcMar>
              <w:bottom w:w="0" w:type="dxa"/>
            </w:tcMar>
            <w:vAlign w:val="center"/>
          </w:tcPr>
          <w:p>
            <w:pPr>
              <w:pStyle w:val="TableContents"/>
              <w:spacing w:before="0" w:after="0"/>
              <w:ind w:left="0" w:right="0" w:hanging="0"/>
              <w:jc w:val="both"/>
              <w:rPr/>
            </w:pPr>
            <w:hyperlink r:id="rId8">
              <w:r>
                <w:rPr>
                  <w:rStyle w:val="InternetLink"/>
                  <w:rFonts w:ascii="times new roman" w:hAnsi="times new roman"/>
                  <w:sz w:val="20"/>
                </w:rPr>
                <w:t>Note and Warrant Exchange Agreement, dated as of December 9, 2022, between Kingstone Companies, Inc. and the several holders of Existing Notes party thereto (incorporated by reference to Exhibit 10.1 to the Company’s Current Report on Form 8-K filed on December 12, 2022).</w:t>
              </w:r>
            </w:hyperlink>
          </w:p>
        </w:tc>
      </w:tr>
      <w:tr>
        <w:trPr/>
        <w:tc>
          <w:tcPr>
            <w:tcW w:w="755" w:type="dxa"/>
            <w:tcBorders/>
            <w:shd w:fill="FFFFFF" w:val="clear"/>
            <w:tcMar>
              <w:bottom w:w="0" w:type="dxa"/>
            </w:tcMar>
            <w:vAlign w:val="center"/>
          </w:tcPr>
          <w:p>
            <w:pPr>
              <w:pStyle w:val="TableContents"/>
              <w:spacing w:before="0" w:after="0"/>
              <w:ind w:left="0" w:right="0" w:hanging="0"/>
              <w:jc w:val="both"/>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360" w:type="dxa"/>
            <w:tcBorders/>
            <w:shd w:fill="FFFFFF" w:val="clear"/>
            <w:tcMar>
              <w:bottom w:w="0" w:type="dxa"/>
            </w:tcMar>
            <w:vAlign w:val="center"/>
          </w:tcPr>
          <w:p>
            <w:pPr>
              <w:pStyle w:val="TableContents"/>
              <w:spacing w:before="0" w:after="0"/>
              <w:ind w:left="0" w:right="0" w:hanging="0"/>
              <w:jc w:val="both"/>
              <w:rPr/>
            </w:pPr>
            <w:r>
              <w:rPr/>
              <w:t> </w:t>
            </w:r>
          </w:p>
        </w:tc>
      </w:tr>
      <w:tr>
        <w:trPr/>
        <w:tc>
          <w:tcPr>
            <w:tcW w:w="755" w:type="dxa"/>
            <w:tcBorders/>
            <w:shd w:fill="CCEEFF" w:val="clear"/>
            <w:tcMar>
              <w:bottom w:w="0" w:type="dxa"/>
            </w:tcMar>
            <w:vAlign w:val="center"/>
          </w:tcPr>
          <w:p>
            <w:pPr>
              <w:pStyle w:val="TableContents"/>
              <w:spacing w:before="0" w:after="0"/>
              <w:ind w:left="0" w:right="0" w:hanging="0"/>
              <w:jc w:val="both"/>
              <w:rPr/>
            </w:pPr>
            <w:hyperlink r:id="rId9">
              <w:r>
                <w:rPr>
                  <w:rStyle w:val="InternetLink"/>
                  <w:rFonts w:ascii="times new roman" w:hAnsi="times new roman"/>
                  <w:sz w:val="20"/>
                </w:rPr>
                <w:t>4(b)</w:t>
              </w:r>
            </w:hyperlink>
          </w:p>
        </w:tc>
        <w:tc>
          <w:tcPr>
            <w:tcW w:w="90" w:type="dxa"/>
            <w:tcBorders/>
            <w:shd w:fill="CCEEFF" w:val="clear"/>
            <w:tcMar>
              <w:bottom w:w="0" w:type="dxa"/>
            </w:tcMar>
            <w:vAlign w:val="center"/>
          </w:tcPr>
          <w:p>
            <w:pPr>
              <w:pStyle w:val="TableContents"/>
              <w:spacing w:before="0" w:after="0"/>
              <w:ind w:left="0" w:right="0" w:hanging="0"/>
              <w:rPr/>
            </w:pPr>
            <w:r>
              <w:rPr/>
              <w:t> </w:t>
            </w:r>
          </w:p>
        </w:tc>
        <w:tc>
          <w:tcPr>
            <w:tcW w:w="9360" w:type="dxa"/>
            <w:tcBorders/>
            <w:shd w:fill="CCEEFF" w:val="clear"/>
            <w:tcMar>
              <w:bottom w:w="0" w:type="dxa"/>
            </w:tcMar>
            <w:vAlign w:val="center"/>
          </w:tcPr>
          <w:p>
            <w:pPr>
              <w:pStyle w:val="TableContents"/>
              <w:spacing w:before="0" w:after="0"/>
              <w:ind w:left="0" w:right="0" w:hanging="0"/>
              <w:jc w:val="both"/>
              <w:rPr/>
            </w:pPr>
            <w:hyperlink r:id="rId10">
              <w:r>
                <w:rPr>
                  <w:rStyle w:val="InternetLink"/>
                  <w:rFonts w:ascii="times new roman" w:hAnsi="times new roman"/>
                  <w:sz w:val="20"/>
                </w:rPr>
                <w:t>Form of 12.0% Note due 2024 issued by the Company representing $19,950,000 aggregate principal amount of notes (incorporated by reference to Exhibit 10.2 to the Company’s Current Report on Form 8-K filed on December 12, 2022 (included as Exhibit 1 to the Note and Warrant Exchange Agreement filed as Exhibit 10.1 thereto)).</w:t>
              </w:r>
            </w:hyperlink>
          </w:p>
        </w:tc>
      </w:tr>
      <w:tr>
        <w:trPr/>
        <w:tc>
          <w:tcPr>
            <w:tcW w:w="755" w:type="dxa"/>
            <w:tcBorders/>
            <w:shd w:fill="FFFFFF" w:val="clear"/>
            <w:tcMar>
              <w:bottom w:w="0" w:type="dxa"/>
            </w:tcMar>
            <w:vAlign w:val="center"/>
          </w:tcPr>
          <w:p>
            <w:pPr>
              <w:pStyle w:val="TableContents"/>
              <w:spacing w:before="0" w:after="0"/>
              <w:ind w:left="0" w:right="0" w:hanging="0"/>
              <w:jc w:val="both"/>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360" w:type="dxa"/>
            <w:tcBorders/>
            <w:shd w:fill="FFFFFF" w:val="clear"/>
            <w:tcMar>
              <w:bottom w:w="0" w:type="dxa"/>
            </w:tcMar>
            <w:vAlign w:val="center"/>
          </w:tcPr>
          <w:p>
            <w:pPr>
              <w:pStyle w:val="TableContents"/>
              <w:spacing w:before="0" w:after="0"/>
              <w:ind w:left="0" w:right="0" w:hanging="0"/>
              <w:jc w:val="both"/>
              <w:rPr/>
            </w:pPr>
            <w:r>
              <w:rPr/>
              <w:t> </w:t>
            </w:r>
          </w:p>
        </w:tc>
      </w:tr>
      <w:tr>
        <w:trPr/>
        <w:tc>
          <w:tcPr>
            <w:tcW w:w="755" w:type="dxa"/>
            <w:tcBorders/>
            <w:shd w:fill="CCEEFF" w:val="clear"/>
            <w:tcMar>
              <w:bottom w:w="0" w:type="dxa"/>
            </w:tcMar>
            <w:vAlign w:val="center"/>
          </w:tcPr>
          <w:p>
            <w:pPr>
              <w:pStyle w:val="TableContents"/>
              <w:spacing w:before="0" w:after="0"/>
              <w:ind w:left="0" w:right="0" w:hanging="0"/>
              <w:jc w:val="both"/>
              <w:rPr/>
            </w:pPr>
            <w:hyperlink r:id="rId11">
              <w:r>
                <w:rPr>
                  <w:rStyle w:val="InternetLink"/>
                  <w:rFonts w:ascii="times new roman" w:hAnsi="times new roman"/>
                  <w:sz w:val="20"/>
                </w:rPr>
                <w:t>4(c)</w:t>
              </w:r>
            </w:hyperlink>
          </w:p>
        </w:tc>
        <w:tc>
          <w:tcPr>
            <w:tcW w:w="90" w:type="dxa"/>
            <w:tcBorders/>
            <w:shd w:fill="CCEEFF" w:val="clear"/>
            <w:tcMar>
              <w:bottom w:w="0" w:type="dxa"/>
            </w:tcMar>
            <w:vAlign w:val="center"/>
          </w:tcPr>
          <w:p>
            <w:pPr>
              <w:pStyle w:val="TableContents"/>
              <w:spacing w:before="0" w:after="0"/>
              <w:ind w:left="0" w:right="0" w:hanging="0"/>
              <w:rPr/>
            </w:pPr>
            <w:r>
              <w:rPr/>
              <w:t> </w:t>
            </w:r>
          </w:p>
        </w:tc>
        <w:tc>
          <w:tcPr>
            <w:tcW w:w="9360" w:type="dxa"/>
            <w:tcBorders/>
            <w:shd w:fill="CCEEFF" w:val="clear"/>
            <w:tcMar>
              <w:bottom w:w="0" w:type="dxa"/>
            </w:tcMar>
            <w:vAlign w:val="center"/>
          </w:tcPr>
          <w:p>
            <w:pPr>
              <w:pStyle w:val="TableContents"/>
              <w:spacing w:before="0" w:after="0"/>
              <w:ind w:left="0" w:right="0" w:hanging="0"/>
              <w:jc w:val="both"/>
              <w:rPr/>
            </w:pPr>
            <w:hyperlink r:id="rId12">
              <w:r>
                <w:rPr>
                  <w:rStyle w:val="InternetLink"/>
                  <w:rFonts w:ascii="times new roman" w:hAnsi="times new roman"/>
                  <w:sz w:val="20"/>
                </w:rPr>
                <w:t>Form of Warrant Certificate issued by the Company for the purchase of an aggregate of 969,525 shares of common stock (incorporated by reference to Exhibit 10.3 to the Company’s Current Report on Form 8-K filed on December 12, 2022 (included as Exhibit 2 to the Note and Warrant Exchange Agreement filed as Exhibit 10.1 thereto)).</w:t>
              </w:r>
            </w:hyperlink>
          </w:p>
        </w:tc>
      </w:tr>
      <w:tr>
        <w:trPr/>
        <w:tc>
          <w:tcPr>
            <w:tcW w:w="755" w:type="dxa"/>
            <w:tcBorders/>
            <w:shd w:fill="FFFFFF" w:val="clear"/>
            <w:tcMar>
              <w:bottom w:w="0" w:type="dxa"/>
            </w:tcMar>
            <w:vAlign w:val="center"/>
          </w:tcPr>
          <w:p>
            <w:pPr>
              <w:pStyle w:val="TableContents"/>
              <w:spacing w:before="0" w:after="0"/>
              <w:ind w:left="0" w:right="0" w:hanging="0"/>
              <w:jc w:val="both"/>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360" w:type="dxa"/>
            <w:tcBorders/>
            <w:shd w:fill="FFFFFF" w:val="clear"/>
            <w:tcMar>
              <w:bottom w:w="0" w:type="dxa"/>
            </w:tcMar>
            <w:vAlign w:val="center"/>
          </w:tcPr>
          <w:p>
            <w:pPr>
              <w:pStyle w:val="TableContents"/>
              <w:spacing w:before="0" w:after="0"/>
              <w:ind w:left="0" w:right="0" w:hanging="0"/>
              <w:jc w:val="both"/>
              <w:rPr/>
            </w:pPr>
            <w:r>
              <w:rPr/>
              <w:t> </w:t>
            </w:r>
          </w:p>
        </w:tc>
      </w:tr>
      <w:tr>
        <w:trPr/>
        <w:tc>
          <w:tcPr>
            <w:tcW w:w="755" w:type="dxa"/>
            <w:tcBorders/>
            <w:shd w:fill="CCEEFF" w:val="clear"/>
            <w:tcMar>
              <w:bottom w:w="0" w:type="dxa"/>
            </w:tcMar>
            <w:vAlign w:val="center"/>
          </w:tcPr>
          <w:p>
            <w:pPr>
              <w:pStyle w:val="TableContents"/>
              <w:spacing w:before="0" w:after="0"/>
              <w:ind w:left="0" w:right="0" w:hanging="0"/>
              <w:jc w:val="both"/>
              <w:rPr/>
            </w:pPr>
            <w:hyperlink r:id="rId13">
              <w:r>
                <w:rPr>
                  <w:rStyle w:val="InternetLink"/>
                  <w:rFonts w:ascii="times new roman" w:hAnsi="times new roman"/>
                  <w:sz w:val="20"/>
                </w:rPr>
                <w:t>10(a)</w:t>
              </w:r>
            </w:hyperlink>
          </w:p>
        </w:tc>
        <w:tc>
          <w:tcPr>
            <w:tcW w:w="90" w:type="dxa"/>
            <w:tcBorders/>
            <w:shd w:fill="CCEEFF" w:val="clear"/>
            <w:tcMar>
              <w:bottom w:w="0" w:type="dxa"/>
            </w:tcMar>
            <w:vAlign w:val="center"/>
          </w:tcPr>
          <w:p>
            <w:pPr>
              <w:pStyle w:val="TableContents"/>
              <w:spacing w:before="0" w:after="0"/>
              <w:ind w:left="0" w:right="0" w:hanging="0"/>
              <w:rPr/>
            </w:pPr>
            <w:r>
              <w:rPr/>
              <w:t> </w:t>
            </w:r>
          </w:p>
        </w:tc>
        <w:tc>
          <w:tcPr>
            <w:tcW w:w="9360" w:type="dxa"/>
            <w:tcBorders/>
            <w:shd w:fill="CCEEFF" w:val="clear"/>
            <w:tcMar>
              <w:bottom w:w="0" w:type="dxa"/>
            </w:tcMar>
            <w:vAlign w:val="center"/>
          </w:tcPr>
          <w:p>
            <w:pPr>
              <w:pStyle w:val="TableContents"/>
              <w:spacing w:before="0" w:after="0"/>
              <w:ind w:left="0" w:right="0" w:hanging="0"/>
              <w:jc w:val="both"/>
              <w:rPr/>
            </w:pPr>
            <w:hyperlink r:id="rId14">
              <w:r>
                <w:rPr>
                  <w:rStyle w:val="InternetLink"/>
                  <w:rFonts w:ascii="times new roman" w:hAnsi="times new roman"/>
                  <w:sz w:val="20"/>
                </w:rPr>
                <w:t>Amended and Restated 2014 Equity Participation Plan (incorporated by reference to Exhibit 10.1 to the Company’s Current Report on Form 8-K filed on June 1, 2020).</w:t>
              </w:r>
            </w:hyperlink>
          </w:p>
        </w:tc>
      </w:tr>
      <w:tr>
        <w:trPr/>
        <w:tc>
          <w:tcPr>
            <w:tcW w:w="755" w:type="dxa"/>
            <w:tcBorders/>
            <w:shd w:fill="FFFFFF" w:val="clear"/>
            <w:tcMar>
              <w:bottom w:w="0" w:type="dxa"/>
            </w:tcMar>
            <w:vAlign w:val="center"/>
          </w:tcPr>
          <w:p>
            <w:pPr>
              <w:pStyle w:val="TableContents"/>
              <w:spacing w:before="0" w:after="0"/>
              <w:ind w:left="0" w:right="0" w:hanging="0"/>
              <w:jc w:val="both"/>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360" w:type="dxa"/>
            <w:tcBorders/>
            <w:shd w:fill="FFFFFF" w:val="clear"/>
            <w:tcMar>
              <w:bottom w:w="0" w:type="dxa"/>
            </w:tcMar>
            <w:vAlign w:val="center"/>
          </w:tcPr>
          <w:p>
            <w:pPr>
              <w:pStyle w:val="TableContents"/>
              <w:spacing w:before="0" w:after="0"/>
              <w:ind w:left="0" w:right="0" w:hanging="0"/>
              <w:jc w:val="both"/>
              <w:rPr/>
            </w:pPr>
            <w:r>
              <w:rPr/>
              <w:t> </w:t>
            </w:r>
          </w:p>
        </w:tc>
      </w:tr>
      <w:tr>
        <w:trPr/>
        <w:tc>
          <w:tcPr>
            <w:tcW w:w="755" w:type="dxa"/>
            <w:tcBorders/>
            <w:shd w:fill="CCEEFF" w:val="clear"/>
            <w:tcMar>
              <w:bottom w:w="0" w:type="dxa"/>
            </w:tcMar>
            <w:vAlign w:val="center"/>
          </w:tcPr>
          <w:p>
            <w:pPr>
              <w:pStyle w:val="TableContents"/>
              <w:spacing w:before="0" w:after="0"/>
              <w:ind w:left="0" w:right="0" w:hanging="0"/>
              <w:jc w:val="both"/>
              <w:rPr/>
            </w:pPr>
            <w:hyperlink r:id="rId15">
              <w:r>
                <w:rPr>
                  <w:rStyle w:val="InternetLink"/>
                  <w:rFonts w:ascii="times new roman" w:hAnsi="times new roman"/>
                  <w:sz w:val="20"/>
                </w:rPr>
                <w:t>10(b)</w:t>
              </w:r>
            </w:hyperlink>
          </w:p>
        </w:tc>
        <w:tc>
          <w:tcPr>
            <w:tcW w:w="90" w:type="dxa"/>
            <w:tcBorders/>
            <w:shd w:fill="CCEEFF" w:val="clear"/>
            <w:tcMar>
              <w:bottom w:w="0" w:type="dxa"/>
            </w:tcMar>
            <w:vAlign w:val="center"/>
          </w:tcPr>
          <w:p>
            <w:pPr>
              <w:pStyle w:val="TableContents"/>
              <w:spacing w:before="0" w:after="0"/>
              <w:ind w:left="0" w:right="0" w:hanging="0"/>
              <w:rPr/>
            </w:pPr>
            <w:r>
              <w:rPr/>
              <w:t> </w:t>
            </w:r>
          </w:p>
        </w:tc>
        <w:tc>
          <w:tcPr>
            <w:tcW w:w="9360" w:type="dxa"/>
            <w:tcBorders/>
            <w:shd w:fill="CCEEFF" w:val="clear"/>
            <w:tcMar>
              <w:bottom w:w="0" w:type="dxa"/>
            </w:tcMar>
            <w:vAlign w:val="center"/>
          </w:tcPr>
          <w:p>
            <w:pPr>
              <w:pStyle w:val="TableContents"/>
              <w:spacing w:before="0" w:after="0"/>
              <w:ind w:left="0" w:right="0" w:hanging="0"/>
              <w:jc w:val="both"/>
              <w:rPr/>
            </w:pPr>
            <w:hyperlink r:id="rId16">
              <w:r>
                <w:rPr>
                  <w:rStyle w:val="InternetLink"/>
                  <w:rFonts w:ascii="times new roman" w:hAnsi="times new roman"/>
                  <w:sz w:val="20"/>
                </w:rPr>
                <w:t>Third Amended and Restated Employment Agreement, dated as of June 27, 2022, by and between Kingstone Companies, Inc. and Barry B. Goldstein (incorporated by reference to Exhibit 10.1 to the Company’s Current Report on Form 8-K filed on June 28, 2022).</w:t>
              </w:r>
            </w:hyperlink>
          </w:p>
        </w:tc>
      </w:tr>
      <w:tr>
        <w:trPr/>
        <w:tc>
          <w:tcPr>
            <w:tcW w:w="755" w:type="dxa"/>
            <w:tcBorders/>
            <w:shd w:fill="FFFFFF" w:val="clear"/>
            <w:tcMar>
              <w:bottom w:w="0" w:type="dxa"/>
            </w:tcMar>
            <w:vAlign w:val="center"/>
          </w:tcPr>
          <w:p>
            <w:pPr>
              <w:pStyle w:val="TableContents"/>
              <w:spacing w:before="0" w:after="283"/>
              <w:rPr>
                <w:sz w:val="4"/>
                <w:szCs w:val="4"/>
              </w:rPr>
            </w:pPr>
            <w:r>
              <w:rPr>
                <w:sz w:val="4"/>
                <w:szCs w:val="4"/>
              </w:rPr>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360" w:type="dxa"/>
            <w:tcBorders/>
            <w:shd w:fill="FFFFFF" w:val="clear"/>
            <w:tcMar>
              <w:bottom w:w="0" w:type="dxa"/>
            </w:tcMar>
            <w:vAlign w:val="center"/>
          </w:tcPr>
          <w:p>
            <w:pPr>
              <w:pStyle w:val="TableContents"/>
              <w:spacing w:before="0" w:after="0"/>
              <w:ind w:left="0" w:right="0" w:hanging="0"/>
              <w:jc w:val="both"/>
              <w:rPr/>
            </w:pPr>
            <w:r>
              <w:rPr/>
              <w:t> </w:t>
            </w:r>
          </w:p>
        </w:tc>
      </w:tr>
      <w:tr>
        <w:trPr/>
        <w:tc>
          <w:tcPr>
            <w:tcW w:w="755" w:type="dxa"/>
            <w:tcBorders/>
            <w:shd w:fill="CCEEFF" w:val="clear"/>
            <w:tcMar>
              <w:bottom w:w="0" w:type="dxa"/>
            </w:tcMar>
            <w:vAlign w:val="center"/>
          </w:tcPr>
          <w:p>
            <w:pPr>
              <w:pStyle w:val="TableContents"/>
              <w:spacing w:before="0" w:after="0"/>
              <w:ind w:left="0" w:right="0" w:hanging="0"/>
              <w:jc w:val="both"/>
              <w:rPr/>
            </w:pPr>
            <w:hyperlink r:id="rId17">
              <w:r>
                <w:rPr>
                  <w:rStyle w:val="InternetLink"/>
                  <w:rFonts w:ascii="times new roman" w:hAnsi="times new roman"/>
                  <w:sz w:val="20"/>
                </w:rPr>
                <w:t>10(c)</w:t>
              </w:r>
            </w:hyperlink>
          </w:p>
        </w:tc>
        <w:tc>
          <w:tcPr>
            <w:tcW w:w="90" w:type="dxa"/>
            <w:tcBorders/>
            <w:shd w:fill="CCEEFF" w:val="clear"/>
            <w:tcMar>
              <w:bottom w:w="0" w:type="dxa"/>
            </w:tcMar>
            <w:vAlign w:val="center"/>
          </w:tcPr>
          <w:p>
            <w:pPr>
              <w:pStyle w:val="TableContents"/>
              <w:spacing w:before="0" w:after="0"/>
              <w:ind w:left="0" w:right="0" w:hanging="0"/>
              <w:rPr/>
            </w:pPr>
            <w:r>
              <w:rPr/>
              <w:t> </w:t>
            </w:r>
          </w:p>
        </w:tc>
        <w:tc>
          <w:tcPr>
            <w:tcW w:w="9360" w:type="dxa"/>
            <w:tcBorders/>
            <w:shd w:fill="CCEEFF" w:val="clear"/>
            <w:tcMar>
              <w:bottom w:w="0" w:type="dxa"/>
            </w:tcMar>
            <w:vAlign w:val="center"/>
          </w:tcPr>
          <w:p>
            <w:pPr>
              <w:pStyle w:val="TableContents"/>
              <w:spacing w:before="0" w:after="0"/>
              <w:ind w:left="0" w:right="0" w:hanging="0"/>
              <w:jc w:val="both"/>
              <w:rPr/>
            </w:pPr>
            <w:hyperlink r:id="rId18">
              <w:r>
                <w:rPr>
                  <w:rStyle w:val="InternetLink"/>
                  <w:rFonts w:ascii="times new roman" w:hAnsi="times new roman"/>
                  <w:sz w:val="20"/>
                </w:rPr>
                <w:t>Stock Grant Agreement, dated as of January 3, 2020, between Kingstone Companies, Inc. and Barry B. Goldstein (157,431 shares) (incorporated by reference to Exhibit 10(c) to the Company’s Annual Report on Form 10-K for the year ended December 31, 2019, filed on March 16, 2020).</w:t>
              </w:r>
            </w:hyperlink>
          </w:p>
        </w:tc>
      </w:tr>
      <w:tr>
        <w:trPr/>
        <w:tc>
          <w:tcPr>
            <w:tcW w:w="755" w:type="dxa"/>
            <w:tcBorders/>
            <w:shd w:fill="FFFFFF" w:val="clear"/>
            <w:tcMar>
              <w:bottom w:w="0" w:type="dxa"/>
            </w:tcMar>
            <w:vAlign w:val="center"/>
          </w:tcPr>
          <w:p>
            <w:pPr>
              <w:pStyle w:val="TableContents"/>
              <w:spacing w:before="0" w:after="0"/>
              <w:ind w:left="0" w:right="0" w:hanging="0"/>
              <w:jc w:val="both"/>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360" w:type="dxa"/>
            <w:tcBorders/>
            <w:shd w:fill="FFFFFF" w:val="clear"/>
            <w:tcMar>
              <w:bottom w:w="0" w:type="dxa"/>
            </w:tcMar>
            <w:vAlign w:val="center"/>
          </w:tcPr>
          <w:p>
            <w:pPr>
              <w:pStyle w:val="TableContents"/>
              <w:spacing w:before="0" w:after="0"/>
              <w:ind w:left="0" w:right="0" w:hanging="0"/>
              <w:jc w:val="both"/>
              <w:rPr/>
            </w:pPr>
            <w:r>
              <w:rPr/>
              <w:t> </w:t>
            </w:r>
          </w:p>
        </w:tc>
      </w:tr>
      <w:tr>
        <w:trPr/>
        <w:tc>
          <w:tcPr>
            <w:tcW w:w="755" w:type="dxa"/>
            <w:tcBorders/>
            <w:shd w:fill="CCEEFF" w:val="clear"/>
            <w:tcMar>
              <w:bottom w:w="0" w:type="dxa"/>
            </w:tcMar>
            <w:vAlign w:val="center"/>
          </w:tcPr>
          <w:p>
            <w:pPr>
              <w:pStyle w:val="TableContents"/>
              <w:spacing w:before="0" w:after="0"/>
              <w:ind w:left="0" w:right="0" w:hanging="0"/>
              <w:jc w:val="both"/>
              <w:rPr/>
            </w:pPr>
            <w:hyperlink r:id="rId19">
              <w:r>
                <w:rPr>
                  <w:rStyle w:val="InternetLink"/>
                  <w:rFonts w:ascii="times new roman" w:hAnsi="times new roman"/>
                  <w:sz w:val="20"/>
                </w:rPr>
                <w:t>10(d)</w:t>
              </w:r>
            </w:hyperlink>
          </w:p>
        </w:tc>
        <w:tc>
          <w:tcPr>
            <w:tcW w:w="90" w:type="dxa"/>
            <w:tcBorders/>
            <w:shd w:fill="CCEEFF" w:val="clear"/>
            <w:tcMar>
              <w:bottom w:w="0" w:type="dxa"/>
            </w:tcMar>
            <w:vAlign w:val="center"/>
          </w:tcPr>
          <w:p>
            <w:pPr>
              <w:pStyle w:val="TableContents"/>
              <w:spacing w:before="0" w:after="0"/>
              <w:ind w:left="0" w:right="0" w:hanging="0"/>
              <w:rPr/>
            </w:pPr>
            <w:r>
              <w:rPr/>
              <w:t> </w:t>
            </w:r>
          </w:p>
        </w:tc>
        <w:tc>
          <w:tcPr>
            <w:tcW w:w="9360" w:type="dxa"/>
            <w:tcBorders/>
            <w:shd w:fill="CCEEFF" w:val="clear"/>
            <w:tcMar>
              <w:bottom w:w="0" w:type="dxa"/>
            </w:tcMar>
            <w:vAlign w:val="center"/>
          </w:tcPr>
          <w:p>
            <w:pPr>
              <w:pStyle w:val="TableContents"/>
              <w:spacing w:before="0" w:after="0"/>
              <w:ind w:left="0" w:right="0" w:hanging="0"/>
              <w:jc w:val="both"/>
              <w:rPr/>
            </w:pPr>
            <w:hyperlink r:id="rId20">
              <w:r>
                <w:rPr>
                  <w:rStyle w:val="InternetLink"/>
                  <w:rFonts w:ascii="times new roman" w:hAnsi="times new roman"/>
                  <w:sz w:val="20"/>
                </w:rPr>
                <w:t>Stock Grant Agreement, dated as of January 3, 2020, between Kingstone Companies, Inc. and Barry B. Goldstein (17,191 shares) (incorporated by reference to Exhibit 10(d) to the Company’s Annual Report on Form 10-K for the year ended December 31, 2019, filed on March 16, 2020).</w:t>
              </w:r>
            </w:hyperlink>
          </w:p>
        </w:tc>
      </w:tr>
      <w:tr>
        <w:trPr/>
        <w:tc>
          <w:tcPr>
            <w:tcW w:w="755" w:type="dxa"/>
            <w:tcBorders/>
            <w:shd w:fill="FFFFFF" w:val="clear"/>
            <w:tcMar>
              <w:bottom w:w="0" w:type="dxa"/>
            </w:tcMar>
            <w:vAlign w:val="center"/>
          </w:tcPr>
          <w:p>
            <w:pPr>
              <w:pStyle w:val="TableContents"/>
              <w:spacing w:before="0" w:after="0"/>
              <w:ind w:left="0" w:right="0" w:hanging="0"/>
              <w:jc w:val="both"/>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360" w:type="dxa"/>
            <w:tcBorders/>
            <w:shd w:fill="FFFFFF" w:val="clear"/>
            <w:tcMar>
              <w:bottom w:w="0" w:type="dxa"/>
            </w:tcMar>
            <w:vAlign w:val="center"/>
          </w:tcPr>
          <w:p>
            <w:pPr>
              <w:pStyle w:val="TableContents"/>
              <w:spacing w:before="0" w:after="0"/>
              <w:ind w:left="0" w:right="0" w:hanging="0"/>
              <w:jc w:val="both"/>
              <w:rPr/>
            </w:pPr>
            <w:r>
              <w:rPr/>
              <w:t> </w:t>
            </w:r>
          </w:p>
        </w:tc>
      </w:tr>
      <w:tr>
        <w:trPr/>
        <w:tc>
          <w:tcPr>
            <w:tcW w:w="755" w:type="dxa"/>
            <w:tcBorders/>
            <w:shd w:fill="CCEEFF" w:val="clear"/>
            <w:tcMar>
              <w:bottom w:w="0" w:type="dxa"/>
            </w:tcMar>
            <w:vAlign w:val="center"/>
          </w:tcPr>
          <w:p>
            <w:pPr>
              <w:pStyle w:val="TableContents"/>
              <w:spacing w:before="0" w:after="0"/>
              <w:ind w:left="0" w:right="0" w:hanging="0"/>
              <w:jc w:val="both"/>
              <w:rPr/>
            </w:pPr>
            <w:hyperlink r:id="rId21">
              <w:r>
                <w:rPr>
                  <w:rStyle w:val="InternetLink"/>
                  <w:rFonts w:ascii="times new roman" w:hAnsi="times new roman"/>
                  <w:sz w:val="20"/>
                </w:rPr>
                <w:t>10(e)</w:t>
              </w:r>
            </w:hyperlink>
          </w:p>
        </w:tc>
        <w:tc>
          <w:tcPr>
            <w:tcW w:w="90" w:type="dxa"/>
            <w:tcBorders/>
            <w:shd w:fill="CCEEFF" w:val="clear"/>
            <w:tcMar>
              <w:bottom w:w="0" w:type="dxa"/>
            </w:tcMar>
            <w:vAlign w:val="center"/>
          </w:tcPr>
          <w:p>
            <w:pPr>
              <w:pStyle w:val="TableContents"/>
              <w:spacing w:before="0" w:after="0"/>
              <w:ind w:left="0" w:right="0" w:hanging="0"/>
              <w:rPr/>
            </w:pPr>
            <w:r>
              <w:rPr/>
              <w:t> </w:t>
            </w:r>
          </w:p>
        </w:tc>
        <w:tc>
          <w:tcPr>
            <w:tcW w:w="9360" w:type="dxa"/>
            <w:tcBorders/>
            <w:shd w:fill="CCEEFF" w:val="clear"/>
            <w:tcMar>
              <w:bottom w:w="0" w:type="dxa"/>
            </w:tcMar>
            <w:vAlign w:val="center"/>
          </w:tcPr>
          <w:p>
            <w:pPr>
              <w:pStyle w:val="TableContents"/>
              <w:spacing w:before="0" w:after="0"/>
              <w:ind w:left="0" w:right="0" w:hanging="0"/>
              <w:jc w:val="both"/>
              <w:rPr/>
            </w:pPr>
            <w:hyperlink r:id="rId22">
              <w:r>
                <w:rPr>
                  <w:rStyle w:val="InternetLink"/>
                  <w:rFonts w:ascii="times new roman" w:hAnsi="times new roman"/>
                  <w:sz w:val="20"/>
                </w:rPr>
                <w:t>Stock Grant Agreement, dated as of January 4, 2021, between Kingstone Companies, Inc. and Barry B. Goldstein (230,769 shares) (incorporated by reference to Exhibit 10(e) to the Company’s Annual Report on Form 10-K for the year ended December 31, 2021, filed on April 4, 2022).</w:t>
              </w:r>
            </w:hyperlink>
          </w:p>
        </w:tc>
      </w:tr>
      <w:tr>
        <w:trPr/>
        <w:tc>
          <w:tcPr>
            <w:tcW w:w="755" w:type="dxa"/>
            <w:tcBorders/>
            <w:shd w:fill="FFFFFF" w:val="clear"/>
            <w:tcMar>
              <w:bottom w:w="0" w:type="dxa"/>
            </w:tcMar>
            <w:vAlign w:val="center"/>
          </w:tcPr>
          <w:p>
            <w:pPr>
              <w:pStyle w:val="TableContents"/>
              <w:spacing w:before="0" w:after="0"/>
              <w:ind w:left="0" w:right="0" w:hanging="0"/>
              <w:jc w:val="both"/>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360" w:type="dxa"/>
            <w:tcBorders/>
            <w:shd w:fill="FFFFFF" w:val="clear"/>
            <w:tcMar>
              <w:bottom w:w="0" w:type="dxa"/>
            </w:tcMar>
            <w:vAlign w:val="center"/>
          </w:tcPr>
          <w:p>
            <w:pPr>
              <w:pStyle w:val="TableContents"/>
              <w:spacing w:before="0" w:after="0"/>
              <w:ind w:left="0" w:right="0" w:hanging="0"/>
              <w:jc w:val="both"/>
              <w:rPr/>
            </w:pPr>
            <w:r>
              <w:rPr/>
              <w:t> </w:t>
            </w:r>
          </w:p>
        </w:tc>
      </w:tr>
      <w:tr>
        <w:trPr/>
        <w:tc>
          <w:tcPr>
            <w:tcW w:w="755" w:type="dxa"/>
            <w:tcBorders/>
            <w:shd w:fill="CCEEFF" w:val="clear"/>
            <w:tcMar>
              <w:bottom w:w="0" w:type="dxa"/>
            </w:tcMar>
            <w:vAlign w:val="center"/>
          </w:tcPr>
          <w:p>
            <w:pPr>
              <w:pStyle w:val="TableContents"/>
              <w:spacing w:before="0" w:after="0"/>
              <w:ind w:left="0" w:right="0" w:hanging="0"/>
              <w:jc w:val="both"/>
              <w:rPr/>
            </w:pPr>
            <w:hyperlink r:id="rId23">
              <w:r>
                <w:rPr>
                  <w:rStyle w:val="InternetLink"/>
                  <w:rFonts w:ascii="times new roman" w:hAnsi="times new roman"/>
                  <w:sz w:val="20"/>
                </w:rPr>
                <w:t>10(f)</w:t>
              </w:r>
            </w:hyperlink>
          </w:p>
        </w:tc>
        <w:tc>
          <w:tcPr>
            <w:tcW w:w="90" w:type="dxa"/>
            <w:tcBorders/>
            <w:shd w:fill="CCEEFF" w:val="clear"/>
            <w:tcMar>
              <w:bottom w:w="0" w:type="dxa"/>
            </w:tcMar>
            <w:vAlign w:val="center"/>
          </w:tcPr>
          <w:p>
            <w:pPr>
              <w:pStyle w:val="TableContents"/>
              <w:spacing w:before="0" w:after="0"/>
              <w:ind w:left="0" w:right="0" w:hanging="0"/>
              <w:rPr/>
            </w:pPr>
            <w:r>
              <w:rPr/>
              <w:t> </w:t>
            </w:r>
          </w:p>
        </w:tc>
        <w:tc>
          <w:tcPr>
            <w:tcW w:w="9360" w:type="dxa"/>
            <w:tcBorders/>
            <w:shd w:fill="CCEEFF" w:val="clear"/>
            <w:tcMar>
              <w:bottom w:w="0" w:type="dxa"/>
            </w:tcMar>
            <w:vAlign w:val="center"/>
          </w:tcPr>
          <w:p>
            <w:pPr>
              <w:pStyle w:val="TableContents"/>
              <w:spacing w:before="0" w:after="0"/>
              <w:ind w:left="0" w:right="0" w:hanging="0"/>
              <w:jc w:val="both"/>
              <w:rPr/>
            </w:pPr>
            <w:hyperlink r:id="rId24">
              <w:r>
                <w:rPr>
                  <w:rStyle w:val="InternetLink"/>
                  <w:rFonts w:ascii="times new roman" w:hAnsi="times new roman"/>
                  <w:sz w:val="20"/>
                </w:rPr>
                <w:t>Stock Grant Agreement, dated as of January 4, 2021, between Kingstone Companies, Inc. and Barry B. Goldstein (21,000 shares) (incorporated by reference to Exhibit 10(f) to the Company’s Annual Report on Form 10-K for the year ended December 31, 2021, filed on April 4, 2022).</w:t>
              </w:r>
            </w:hyperlink>
          </w:p>
        </w:tc>
      </w:tr>
      <w:tr>
        <w:trPr/>
        <w:tc>
          <w:tcPr>
            <w:tcW w:w="755" w:type="dxa"/>
            <w:tcBorders/>
            <w:shd w:fill="FFFFFF" w:val="clear"/>
            <w:tcMar>
              <w:bottom w:w="0" w:type="dxa"/>
            </w:tcMar>
            <w:vAlign w:val="center"/>
          </w:tcPr>
          <w:p>
            <w:pPr>
              <w:pStyle w:val="TableContents"/>
              <w:spacing w:before="0" w:after="0"/>
              <w:ind w:left="0" w:right="0" w:hanging="0"/>
              <w:jc w:val="both"/>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360" w:type="dxa"/>
            <w:tcBorders/>
            <w:shd w:fill="FFFFFF" w:val="clear"/>
            <w:tcMar>
              <w:bottom w:w="0" w:type="dxa"/>
            </w:tcMar>
            <w:vAlign w:val="center"/>
          </w:tcPr>
          <w:p>
            <w:pPr>
              <w:pStyle w:val="TableContents"/>
              <w:spacing w:before="0" w:after="0"/>
              <w:ind w:left="0" w:right="0" w:hanging="0"/>
              <w:jc w:val="both"/>
              <w:rPr/>
            </w:pPr>
            <w:r>
              <w:rPr/>
              <w:t> </w:t>
            </w:r>
          </w:p>
        </w:tc>
      </w:tr>
      <w:tr>
        <w:trPr/>
        <w:tc>
          <w:tcPr>
            <w:tcW w:w="755" w:type="dxa"/>
            <w:tcBorders/>
            <w:shd w:fill="CCEEFF" w:val="clear"/>
            <w:tcMar>
              <w:bottom w:w="0" w:type="dxa"/>
            </w:tcMar>
            <w:vAlign w:val="center"/>
          </w:tcPr>
          <w:p>
            <w:pPr>
              <w:pStyle w:val="TableContents"/>
              <w:spacing w:before="0" w:after="0"/>
              <w:ind w:left="0" w:right="0" w:hanging="0"/>
              <w:jc w:val="both"/>
              <w:rPr/>
            </w:pPr>
            <w:hyperlink r:id="rId25">
              <w:r>
                <w:rPr>
                  <w:rStyle w:val="InternetLink"/>
                  <w:rFonts w:ascii="times new roman" w:hAnsi="times new roman"/>
                  <w:sz w:val="20"/>
                </w:rPr>
                <w:t>10(g)</w:t>
              </w:r>
            </w:hyperlink>
          </w:p>
        </w:tc>
        <w:tc>
          <w:tcPr>
            <w:tcW w:w="90" w:type="dxa"/>
            <w:tcBorders/>
            <w:shd w:fill="CCEEFF" w:val="clear"/>
            <w:tcMar>
              <w:bottom w:w="0" w:type="dxa"/>
            </w:tcMar>
            <w:vAlign w:val="center"/>
          </w:tcPr>
          <w:p>
            <w:pPr>
              <w:pStyle w:val="TableContents"/>
              <w:spacing w:before="0" w:after="0"/>
              <w:ind w:left="0" w:right="0" w:hanging="0"/>
              <w:rPr/>
            </w:pPr>
            <w:r>
              <w:rPr/>
              <w:t> </w:t>
            </w:r>
          </w:p>
        </w:tc>
        <w:tc>
          <w:tcPr>
            <w:tcW w:w="9360" w:type="dxa"/>
            <w:tcBorders/>
            <w:shd w:fill="CCEEFF" w:val="clear"/>
            <w:tcMar>
              <w:bottom w:w="0" w:type="dxa"/>
            </w:tcMar>
            <w:vAlign w:val="center"/>
          </w:tcPr>
          <w:p>
            <w:pPr>
              <w:pStyle w:val="TableContents"/>
              <w:spacing w:before="0" w:after="0"/>
              <w:ind w:left="0" w:right="0" w:hanging="0"/>
              <w:jc w:val="both"/>
              <w:rPr/>
            </w:pPr>
            <w:hyperlink r:id="rId26">
              <w:r>
                <w:rPr>
                  <w:rStyle w:val="InternetLink"/>
                  <w:rFonts w:ascii="times new roman" w:hAnsi="times new roman"/>
                  <w:sz w:val="20"/>
                </w:rPr>
                <w:t>Stock Grant Agreement, dated as of January 3, 2022, between Kingstone Companies, Inc. and Barry B. Goldstein (incorporated by reference to Exhibit 10(g) to the Company’s Annual Report on Form 10-K for the year ended December 31, 2021, filed on April 4, 2022).</w:t>
              </w:r>
            </w:hyperlink>
          </w:p>
        </w:tc>
      </w:tr>
    </w:tbl>
    <w:p>
      <w:pPr>
        <w:pStyle w:val="TextBody"/>
        <w:spacing w:before="0" w:after="0"/>
        <w:ind w:left="0" w:right="0" w:hanging="0"/>
        <w:rPr/>
      </w:pPr>
      <w:r>
        <w:rPr/>
        <w:t xml:space="preserve">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76</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0"/>
        <w:gridCol w:w="90"/>
        <w:gridCol w:w="9515"/>
      </w:tblGrid>
      <w:tr>
        <w:trPr/>
        <w:tc>
          <w:tcPr>
            <w:tcW w:w="600" w:type="dxa"/>
            <w:tcBorders/>
            <w:shd w:fill="CCEEFF"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10(h)</w:t>
            </w:r>
          </w:p>
        </w:tc>
        <w:tc>
          <w:tcPr>
            <w:tcW w:w="90" w:type="dxa"/>
            <w:tcBorders/>
            <w:shd w:fill="CCEEFF" w:val="clear"/>
            <w:vAlign w:val="center"/>
          </w:tcPr>
          <w:p>
            <w:pPr>
              <w:pStyle w:val="TableContents"/>
              <w:spacing w:before="0" w:after="0"/>
              <w:ind w:left="0" w:right="0" w:hanging="0"/>
              <w:rPr/>
            </w:pPr>
            <w:r>
              <w:rPr/>
              <w:t> </w:t>
            </w:r>
          </w:p>
        </w:tc>
        <w:tc>
          <w:tcPr>
            <w:tcW w:w="9515" w:type="dxa"/>
            <w:tcBorders/>
            <w:shd w:fill="CCEEFF"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Letter agreement, dated as of June 27, 2022, between Kingstone Companies, Inc. and Barry B. Goldstein with respect to outstanding restricted stock grants.*</w:t>
            </w:r>
          </w:p>
        </w:tc>
      </w:tr>
      <w:tr>
        <w:trPr/>
        <w:tc>
          <w:tcPr>
            <w:tcW w:w="600" w:type="dxa"/>
            <w:tcBorders/>
            <w:shd w:fill="FFFFFF" w:val="clear"/>
            <w:vAlign w:val="center"/>
          </w:tcPr>
          <w:p>
            <w:pPr>
              <w:pStyle w:val="TableContents"/>
              <w:spacing w:before="0" w:after="0"/>
              <w:ind w:left="0" w:right="0" w:hanging="0"/>
              <w:jc w:val="both"/>
              <w:rPr/>
            </w:pPr>
            <w:r>
              <w:rPr/>
              <w:t> </w:t>
            </w:r>
          </w:p>
        </w:tc>
        <w:tc>
          <w:tcPr>
            <w:tcW w:w="90" w:type="dxa"/>
            <w:tcBorders/>
            <w:shd w:fill="FFFFFF" w:val="clear"/>
            <w:vAlign w:val="center"/>
          </w:tcPr>
          <w:p>
            <w:pPr>
              <w:pStyle w:val="TableContents"/>
              <w:spacing w:before="0" w:after="0"/>
              <w:ind w:left="0" w:right="0" w:hanging="0"/>
              <w:rPr/>
            </w:pPr>
            <w:r>
              <w:rPr/>
              <w:t> </w:t>
            </w:r>
          </w:p>
        </w:tc>
        <w:tc>
          <w:tcPr>
            <w:tcW w:w="9515" w:type="dxa"/>
            <w:tcBorders/>
            <w:shd w:fill="FFFFFF" w:val="clear"/>
            <w:vAlign w:val="center"/>
          </w:tcPr>
          <w:p>
            <w:pPr>
              <w:pStyle w:val="TableContents"/>
              <w:spacing w:before="0" w:after="0"/>
              <w:ind w:left="0" w:right="0" w:hanging="0"/>
              <w:jc w:val="both"/>
              <w:rPr/>
            </w:pPr>
            <w:r>
              <w:rPr/>
              <w:t> </w:t>
            </w:r>
          </w:p>
        </w:tc>
      </w:tr>
      <w:tr>
        <w:trPr/>
        <w:tc>
          <w:tcPr>
            <w:tcW w:w="600" w:type="dxa"/>
            <w:tcBorders/>
            <w:shd w:fill="CCEEFF" w:val="clear"/>
            <w:vAlign w:val="center"/>
          </w:tcPr>
          <w:p>
            <w:pPr>
              <w:pStyle w:val="TableContents"/>
              <w:spacing w:before="0" w:after="0"/>
              <w:ind w:left="0" w:right="0" w:hanging="0"/>
              <w:jc w:val="both"/>
              <w:rPr/>
            </w:pPr>
            <w:hyperlink r:id="rId27">
              <w:r>
                <w:rPr>
                  <w:rStyle w:val="InternetLink"/>
                  <w:rFonts w:ascii="times new roman" w:hAnsi="times new roman"/>
                  <w:sz w:val="20"/>
                </w:rPr>
                <w:t>10(I)</w:t>
              </w:r>
            </w:hyperlink>
          </w:p>
        </w:tc>
        <w:tc>
          <w:tcPr>
            <w:tcW w:w="90" w:type="dxa"/>
            <w:tcBorders/>
            <w:shd w:fill="CCEEFF" w:val="clear"/>
            <w:vAlign w:val="center"/>
          </w:tcPr>
          <w:p>
            <w:pPr>
              <w:pStyle w:val="TableContents"/>
              <w:spacing w:before="0" w:after="0"/>
              <w:ind w:left="0" w:right="0" w:hanging="0"/>
              <w:rPr/>
            </w:pPr>
            <w:r>
              <w:rPr/>
              <w:t> </w:t>
            </w:r>
          </w:p>
        </w:tc>
        <w:tc>
          <w:tcPr>
            <w:tcW w:w="9515" w:type="dxa"/>
            <w:tcBorders/>
            <w:shd w:fill="CCEEFF" w:val="clear"/>
            <w:vAlign w:val="center"/>
          </w:tcPr>
          <w:p>
            <w:pPr>
              <w:pStyle w:val="TableContents"/>
              <w:spacing w:before="0" w:after="0"/>
              <w:ind w:left="0" w:right="0" w:hanging="0"/>
              <w:jc w:val="both"/>
              <w:rPr/>
            </w:pPr>
            <w:hyperlink r:id="rId28">
              <w:r>
                <w:rPr>
                  <w:rStyle w:val="InternetLink"/>
                  <w:rFonts w:ascii="times new roman" w:hAnsi="times new roman"/>
                  <w:sz w:val="20"/>
                </w:rPr>
                <w:t>Second Amended and Restated Employment Agreement, dated as of June 27, 2022, by and between Kingstone Companies, Inc. and Meryl S. Golden (incorporated by reference to Exhibit 10.2 to the Company’s Current Report on Form 8-K filed on June 28, 2022).</w:t>
              </w:r>
            </w:hyperlink>
          </w:p>
        </w:tc>
      </w:tr>
      <w:tr>
        <w:trPr/>
        <w:tc>
          <w:tcPr>
            <w:tcW w:w="600" w:type="dxa"/>
            <w:tcBorders/>
            <w:shd w:fill="FFFFFF" w:val="clear"/>
            <w:vAlign w:val="center"/>
          </w:tcPr>
          <w:p>
            <w:pPr>
              <w:pStyle w:val="TableContents"/>
              <w:spacing w:before="0" w:after="0"/>
              <w:ind w:left="0" w:right="0" w:hanging="0"/>
              <w:jc w:val="both"/>
              <w:rPr/>
            </w:pPr>
            <w:r>
              <w:rPr/>
              <w:t> </w:t>
            </w:r>
          </w:p>
        </w:tc>
        <w:tc>
          <w:tcPr>
            <w:tcW w:w="90" w:type="dxa"/>
            <w:tcBorders/>
            <w:shd w:fill="FFFFFF" w:val="clear"/>
            <w:vAlign w:val="center"/>
          </w:tcPr>
          <w:p>
            <w:pPr>
              <w:pStyle w:val="TableContents"/>
              <w:spacing w:before="0" w:after="0"/>
              <w:ind w:left="0" w:right="0" w:hanging="0"/>
              <w:rPr/>
            </w:pPr>
            <w:r>
              <w:rPr/>
              <w:t> </w:t>
            </w:r>
          </w:p>
        </w:tc>
        <w:tc>
          <w:tcPr>
            <w:tcW w:w="9515" w:type="dxa"/>
            <w:tcBorders/>
            <w:shd w:fill="FFFFFF" w:val="clear"/>
            <w:vAlign w:val="center"/>
          </w:tcPr>
          <w:p>
            <w:pPr>
              <w:pStyle w:val="TableContents"/>
              <w:spacing w:before="0" w:after="0"/>
              <w:ind w:left="0" w:right="0" w:hanging="0"/>
              <w:jc w:val="both"/>
              <w:rPr/>
            </w:pPr>
            <w:r>
              <w:rPr/>
              <w:t> </w:t>
            </w:r>
          </w:p>
        </w:tc>
      </w:tr>
      <w:tr>
        <w:trPr/>
        <w:tc>
          <w:tcPr>
            <w:tcW w:w="600" w:type="dxa"/>
            <w:tcBorders/>
            <w:shd w:fill="CCEEFF" w:val="clear"/>
            <w:vAlign w:val="center"/>
          </w:tcPr>
          <w:p>
            <w:pPr>
              <w:pStyle w:val="TableContents"/>
              <w:spacing w:before="0" w:after="0"/>
              <w:ind w:left="0" w:right="0" w:hanging="0"/>
              <w:jc w:val="both"/>
              <w:rPr/>
            </w:pPr>
            <w:hyperlink r:id="rId29">
              <w:r>
                <w:rPr>
                  <w:rStyle w:val="InternetLink"/>
                  <w:rFonts w:ascii="times new roman" w:hAnsi="times new roman"/>
                  <w:sz w:val="20"/>
                </w:rPr>
                <w:t>10(j)</w:t>
              </w:r>
            </w:hyperlink>
          </w:p>
        </w:tc>
        <w:tc>
          <w:tcPr>
            <w:tcW w:w="90" w:type="dxa"/>
            <w:tcBorders/>
            <w:shd w:fill="CCEEFF" w:val="clear"/>
            <w:vAlign w:val="center"/>
          </w:tcPr>
          <w:p>
            <w:pPr>
              <w:pStyle w:val="TableContents"/>
              <w:spacing w:before="0" w:after="0"/>
              <w:ind w:left="0" w:right="0" w:hanging="0"/>
              <w:rPr/>
            </w:pPr>
            <w:r>
              <w:rPr/>
              <w:t> </w:t>
            </w:r>
          </w:p>
        </w:tc>
        <w:tc>
          <w:tcPr>
            <w:tcW w:w="9515" w:type="dxa"/>
            <w:tcBorders/>
            <w:shd w:fill="CCEEFF" w:val="clear"/>
            <w:vAlign w:val="center"/>
          </w:tcPr>
          <w:p>
            <w:pPr>
              <w:pStyle w:val="TableContents"/>
              <w:spacing w:before="0" w:after="0"/>
              <w:ind w:left="0" w:right="0" w:hanging="0"/>
              <w:jc w:val="both"/>
              <w:rPr/>
            </w:pPr>
            <w:hyperlink r:id="rId30">
              <w:r>
                <w:rPr>
                  <w:rStyle w:val="InternetLink"/>
                  <w:rFonts w:ascii="times new roman" w:hAnsi="times new roman"/>
                  <w:sz w:val="20"/>
                </w:rPr>
                <w:t>Stock Grant Agreement, dated as of January 4, 2021, between Kingstone Companies, Inc. and Meryl S. Golden (incorporated by reference to Exhibit 10(i) to the Company’s Annual Report on Form 10-K for the year ended December 31, 2021, filed on April 4, 2022).</w:t>
              </w:r>
            </w:hyperlink>
          </w:p>
        </w:tc>
      </w:tr>
      <w:tr>
        <w:trPr/>
        <w:tc>
          <w:tcPr>
            <w:tcW w:w="600" w:type="dxa"/>
            <w:tcBorders/>
            <w:shd w:fill="FFFFFF" w:val="clear"/>
            <w:vAlign w:val="center"/>
          </w:tcPr>
          <w:p>
            <w:pPr>
              <w:pStyle w:val="TableContents"/>
              <w:spacing w:before="0" w:after="0"/>
              <w:ind w:left="0" w:right="0" w:hanging="0"/>
              <w:jc w:val="both"/>
              <w:rPr/>
            </w:pPr>
            <w:r>
              <w:rPr/>
              <w:t> </w:t>
            </w:r>
          </w:p>
        </w:tc>
        <w:tc>
          <w:tcPr>
            <w:tcW w:w="90" w:type="dxa"/>
            <w:tcBorders/>
            <w:shd w:fill="FFFFFF" w:val="clear"/>
            <w:vAlign w:val="center"/>
          </w:tcPr>
          <w:p>
            <w:pPr>
              <w:pStyle w:val="TableContents"/>
              <w:spacing w:before="0" w:after="0"/>
              <w:ind w:left="0" w:right="0" w:hanging="0"/>
              <w:rPr/>
            </w:pPr>
            <w:r>
              <w:rPr/>
              <w:t> </w:t>
            </w:r>
          </w:p>
        </w:tc>
        <w:tc>
          <w:tcPr>
            <w:tcW w:w="9515" w:type="dxa"/>
            <w:tcBorders/>
            <w:shd w:fill="FFFFFF" w:val="clear"/>
            <w:vAlign w:val="center"/>
          </w:tcPr>
          <w:p>
            <w:pPr>
              <w:pStyle w:val="TableContents"/>
              <w:spacing w:before="0" w:after="0"/>
              <w:ind w:left="0" w:right="0" w:hanging="0"/>
              <w:jc w:val="both"/>
              <w:rPr/>
            </w:pPr>
            <w:r>
              <w:rPr/>
              <w:t> </w:t>
            </w:r>
          </w:p>
        </w:tc>
      </w:tr>
      <w:tr>
        <w:trPr/>
        <w:tc>
          <w:tcPr>
            <w:tcW w:w="600" w:type="dxa"/>
            <w:tcBorders/>
            <w:shd w:fill="CCEEFF" w:val="clear"/>
            <w:vAlign w:val="center"/>
          </w:tcPr>
          <w:p>
            <w:pPr>
              <w:pStyle w:val="TableContents"/>
              <w:spacing w:before="0" w:after="0"/>
              <w:ind w:left="0" w:right="0" w:hanging="0"/>
              <w:jc w:val="both"/>
              <w:rPr/>
            </w:pPr>
            <w:hyperlink r:id="rId31">
              <w:r>
                <w:rPr>
                  <w:rStyle w:val="InternetLink"/>
                  <w:rFonts w:ascii="times new roman" w:hAnsi="times new roman"/>
                  <w:sz w:val="20"/>
                </w:rPr>
                <w:t>10(k)</w:t>
              </w:r>
            </w:hyperlink>
          </w:p>
        </w:tc>
        <w:tc>
          <w:tcPr>
            <w:tcW w:w="90" w:type="dxa"/>
            <w:tcBorders/>
            <w:shd w:fill="CCEEFF" w:val="clear"/>
            <w:vAlign w:val="center"/>
          </w:tcPr>
          <w:p>
            <w:pPr>
              <w:pStyle w:val="TableContents"/>
              <w:spacing w:before="0" w:after="0"/>
              <w:ind w:left="0" w:right="0" w:hanging="0"/>
              <w:rPr/>
            </w:pPr>
            <w:r>
              <w:rPr/>
              <w:t> </w:t>
            </w:r>
          </w:p>
        </w:tc>
        <w:tc>
          <w:tcPr>
            <w:tcW w:w="9515" w:type="dxa"/>
            <w:tcBorders/>
            <w:shd w:fill="CCEEFF" w:val="clear"/>
            <w:vAlign w:val="center"/>
          </w:tcPr>
          <w:p>
            <w:pPr>
              <w:pStyle w:val="TableContents"/>
              <w:spacing w:before="0" w:after="0"/>
              <w:ind w:left="0" w:right="0" w:hanging="0"/>
              <w:jc w:val="both"/>
              <w:rPr/>
            </w:pPr>
            <w:hyperlink r:id="rId32">
              <w:r>
                <w:rPr>
                  <w:rStyle w:val="InternetLink"/>
                  <w:rFonts w:ascii="times new roman" w:hAnsi="times new roman"/>
                  <w:sz w:val="20"/>
                </w:rPr>
                <w:t>Stock Grant Agreement, dated as of January 3, 2022, between Kingstone Companies, Inc. and Meryl S. Golden (incorporated by reference to Exhibit 10(j) to the Company’s Annual Report on Form 10-K for the year ended December 31, 2021, filed on April 4, 2022).</w:t>
              </w:r>
            </w:hyperlink>
          </w:p>
        </w:tc>
      </w:tr>
      <w:tr>
        <w:trPr/>
        <w:tc>
          <w:tcPr>
            <w:tcW w:w="600" w:type="dxa"/>
            <w:tcBorders/>
            <w:shd w:fill="FFFFFF" w:val="clear"/>
            <w:vAlign w:val="center"/>
          </w:tcPr>
          <w:p>
            <w:pPr>
              <w:pStyle w:val="TableContents"/>
              <w:spacing w:before="0" w:after="0"/>
              <w:ind w:left="0" w:right="0" w:hanging="0"/>
              <w:jc w:val="both"/>
              <w:rPr/>
            </w:pPr>
            <w:r>
              <w:rPr/>
              <w:t> </w:t>
            </w:r>
          </w:p>
        </w:tc>
        <w:tc>
          <w:tcPr>
            <w:tcW w:w="90" w:type="dxa"/>
            <w:tcBorders/>
            <w:shd w:fill="FFFFFF" w:val="clear"/>
            <w:vAlign w:val="center"/>
          </w:tcPr>
          <w:p>
            <w:pPr>
              <w:pStyle w:val="TableContents"/>
              <w:spacing w:before="0" w:after="0"/>
              <w:ind w:left="0" w:right="0" w:hanging="0"/>
              <w:rPr/>
            </w:pPr>
            <w:r>
              <w:rPr/>
              <w:t> </w:t>
            </w:r>
          </w:p>
        </w:tc>
        <w:tc>
          <w:tcPr>
            <w:tcW w:w="9515" w:type="dxa"/>
            <w:tcBorders/>
            <w:shd w:fill="FFFFFF" w:val="clear"/>
            <w:vAlign w:val="center"/>
          </w:tcPr>
          <w:p>
            <w:pPr>
              <w:pStyle w:val="TableContents"/>
              <w:spacing w:before="0" w:after="0"/>
              <w:ind w:left="0" w:right="0" w:hanging="0"/>
              <w:jc w:val="both"/>
              <w:rPr/>
            </w:pPr>
            <w:r>
              <w:rPr/>
              <w:t> </w:t>
            </w:r>
          </w:p>
        </w:tc>
      </w:tr>
      <w:tr>
        <w:trPr/>
        <w:tc>
          <w:tcPr>
            <w:tcW w:w="600" w:type="dxa"/>
            <w:tcBorders/>
            <w:shd w:fill="CCEEFF" w:val="clear"/>
            <w:vAlign w:val="center"/>
          </w:tcPr>
          <w:p>
            <w:pPr>
              <w:pStyle w:val="TableContents"/>
              <w:spacing w:before="0" w:after="0"/>
              <w:ind w:left="0" w:right="0" w:hanging="0"/>
              <w:jc w:val="both"/>
              <w:rPr/>
            </w:pPr>
            <w:hyperlink r:id="rId33">
              <w:r>
                <w:rPr>
                  <w:rStyle w:val="InternetLink"/>
                  <w:rFonts w:ascii="times new roman" w:hAnsi="times new roman"/>
                  <w:sz w:val="20"/>
                </w:rPr>
                <w:t>10(l)</w:t>
              </w:r>
            </w:hyperlink>
          </w:p>
        </w:tc>
        <w:tc>
          <w:tcPr>
            <w:tcW w:w="90" w:type="dxa"/>
            <w:tcBorders/>
            <w:shd w:fill="CCEEFF" w:val="clear"/>
            <w:vAlign w:val="center"/>
          </w:tcPr>
          <w:p>
            <w:pPr>
              <w:pStyle w:val="TableContents"/>
              <w:spacing w:before="0" w:after="0"/>
              <w:ind w:left="0" w:right="0" w:hanging="0"/>
              <w:rPr/>
            </w:pPr>
            <w:r>
              <w:rPr/>
              <w:t> </w:t>
            </w:r>
          </w:p>
        </w:tc>
        <w:tc>
          <w:tcPr>
            <w:tcW w:w="9515" w:type="dxa"/>
            <w:tcBorders/>
            <w:shd w:fill="CCEEFF" w:val="clear"/>
            <w:vAlign w:val="center"/>
          </w:tcPr>
          <w:p>
            <w:pPr>
              <w:pStyle w:val="TableContents"/>
              <w:spacing w:before="0" w:after="0"/>
              <w:ind w:left="0" w:right="0" w:hanging="0"/>
              <w:jc w:val="both"/>
              <w:rPr/>
            </w:pPr>
            <w:hyperlink r:id="rId34">
              <w:r>
                <w:rPr>
                  <w:rStyle w:val="InternetLink"/>
                  <w:rFonts w:ascii="times new roman" w:hAnsi="times new roman"/>
                  <w:sz w:val="20"/>
                </w:rPr>
                <w:t>Deferred Compensation Plan, dated as of June 18, 2018 (incorporated by reference to Exhibit 10.1 to the Company’s Current Report on Form 8-K filed on June 20, 2018).</w:t>
              </w:r>
            </w:hyperlink>
          </w:p>
        </w:tc>
      </w:tr>
      <w:tr>
        <w:trPr/>
        <w:tc>
          <w:tcPr>
            <w:tcW w:w="600" w:type="dxa"/>
            <w:tcBorders/>
            <w:shd w:fill="FFFFFF" w:val="clear"/>
            <w:vAlign w:val="center"/>
          </w:tcPr>
          <w:p>
            <w:pPr>
              <w:pStyle w:val="TableContents"/>
              <w:spacing w:before="0" w:after="0"/>
              <w:ind w:left="0" w:right="0" w:hanging="0"/>
              <w:jc w:val="both"/>
              <w:rPr/>
            </w:pPr>
            <w:r>
              <w:rPr/>
              <w:t> </w:t>
            </w:r>
          </w:p>
        </w:tc>
        <w:tc>
          <w:tcPr>
            <w:tcW w:w="90" w:type="dxa"/>
            <w:tcBorders/>
            <w:shd w:fill="FFFFFF" w:val="clear"/>
            <w:vAlign w:val="center"/>
          </w:tcPr>
          <w:p>
            <w:pPr>
              <w:pStyle w:val="TableContents"/>
              <w:spacing w:before="0" w:after="0"/>
              <w:ind w:left="0" w:right="0" w:hanging="0"/>
              <w:rPr/>
            </w:pPr>
            <w:r>
              <w:rPr/>
              <w:t> </w:t>
            </w:r>
          </w:p>
        </w:tc>
        <w:tc>
          <w:tcPr>
            <w:tcW w:w="9515" w:type="dxa"/>
            <w:tcBorders/>
            <w:shd w:fill="FFFFFF" w:val="clear"/>
            <w:vAlign w:val="center"/>
          </w:tcPr>
          <w:p>
            <w:pPr>
              <w:pStyle w:val="TableContents"/>
              <w:spacing w:before="0" w:after="0"/>
              <w:ind w:left="0" w:right="0" w:hanging="0"/>
              <w:jc w:val="both"/>
              <w:rPr/>
            </w:pPr>
            <w:r>
              <w:rPr/>
              <w:t> </w:t>
            </w:r>
          </w:p>
        </w:tc>
      </w:tr>
      <w:tr>
        <w:trPr/>
        <w:tc>
          <w:tcPr>
            <w:tcW w:w="600" w:type="dxa"/>
            <w:tcBorders/>
            <w:shd w:fill="CCEEFF" w:val="clear"/>
            <w:vAlign w:val="center"/>
          </w:tcPr>
          <w:p>
            <w:pPr>
              <w:pStyle w:val="TableContents"/>
              <w:spacing w:before="0" w:after="0"/>
              <w:ind w:left="0" w:right="0" w:hanging="0"/>
              <w:jc w:val="both"/>
              <w:rPr/>
            </w:pPr>
            <w:hyperlink w:anchor="king_ex10m.htm">
              <w:r>
                <w:rPr>
                  <w:rStyle w:val="InternetLink"/>
                  <w:rFonts w:ascii="times new roman" w:hAnsi="times new roman"/>
                  <w:sz w:val="20"/>
                </w:rPr>
                <w:t>10(m)</w:t>
              </w:r>
            </w:hyperlink>
          </w:p>
        </w:tc>
        <w:tc>
          <w:tcPr>
            <w:tcW w:w="90" w:type="dxa"/>
            <w:tcBorders/>
            <w:shd w:fill="CCEEFF" w:val="clear"/>
            <w:vAlign w:val="center"/>
          </w:tcPr>
          <w:p>
            <w:pPr>
              <w:pStyle w:val="TableContents"/>
              <w:spacing w:before="0" w:after="0"/>
              <w:ind w:left="0" w:right="0" w:hanging="0"/>
              <w:rPr/>
            </w:pPr>
            <w:r>
              <w:rPr/>
              <w:t> </w:t>
            </w:r>
          </w:p>
        </w:tc>
        <w:tc>
          <w:tcPr>
            <w:tcW w:w="9515" w:type="dxa"/>
            <w:tcBorders/>
            <w:shd w:fill="CCEEFF" w:val="clear"/>
            <w:vAlign w:val="center"/>
          </w:tcPr>
          <w:p>
            <w:pPr>
              <w:pStyle w:val="TableContents"/>
              <w:spacing w:before="0" w:after="0"/>
              <w:ind w:left="0" w:right="0" w:hanging="0"/>
              <w:jc w:val="both"/>
              <w:rPr/>
            </w:pPr>
            <w:hyperlink w:anchor="king_ex10m.htm">
              <w:r>
                <w:rPr>
                  <w:rStyle w:val="InternetLink"/>
                  <w:rFonts w:ascii="times new roman" w:hAnsi="times new roman"/>
                  <w:sz w:val="20"/>
                </w:rPr>
                <w:t>Stock Grant Agreement, dated as of January 3, 2023, between Kingstone Companies, Inc. and Floyd R. Tupper.*</w:t>
              </w:r>
            </w:hyperlink>
          </w:p>
        </w:tc>
      </w:tr>
      <w:tr>
        <w:trPr/>
        <w:tc>
          <w:tcPr>
            <w:tcW w:w="600" w:type="dxa"/>
            <w:tcBorders/>
            <w:shd w:fill="FFFFFF" w:val="clear"/>
            <w:vAlign w:val="center"/>
          </w:tcPr>
          <w:p>
            <w:pPr>
              <w:pStyle w:val="TableContents"/>
              <w:spacing w:before="0" w:after="0"/>
              <w:ind w:left="0" w:right="0" w:hanging="0"/>
              <w:jc w:val="both"/>
              <w:rPr/>
            </w:pPr>
            <w:r>
              <w:rPr/>
              <w:t> </w:t>
            </w:r>
          </w:p>
        </w:tc>
        <w:tc>
          <w:tcPr>
            <w:tcW w:w="90" w:type="dxa"/>
            <w:tcBorders/>
            <w:shd w:fill="FFFFFF" w:val="clear"/>
            <w:vAlign w:val="center"/>
          </w:tcPr>
          <w:p>
            <w:pPr>
              <w:pStyle w:val="TableContents"/>
              <w:spacing w:before="0" w:after="0"/>
              <w:ind w:left="0" w:right="0" w:hanging="0"/>
              <w:rPr/>
            </w:pPr>
            <w:r>
              <w:rPr/>
              <w:t> </w:t>
            </w:r>
          </w:p>
        </w:tc>
        <w:tc>
          <w:tcPr>
            <w:tcW w:w="9515" w:type="dxa"/>
            <w:tcBorders/>
            <w:shd w:fill="FFFFFF" w:val="clear"/>
            <w:vAlign w:val="center"/>
          </w:tcPr>
          <w:p>
            <w:pPr>
              <w:pStyle w:val="TableContents"/>
              <w:spacing w:before="0" w:after="0"/>
              <w:ind w:left="0" w:right="0" w:hanging="0"/>
              <w:jc w:val="both"/>
              <w:rPr/>
            </w:pPr>
            <w:r>
              <w:rPr/>
              <w:t> </w:t>
            </w:r>
          </w:p>
        </w:tc>
      </w:tr>
      <w:tr>
        <w:trPr/>
        <w:tc>
          <w:tcPr>
            <w:tcW w:w="600" w:type="dxa"/>
            <w:tcBorders/>
            <w:shd w:fill="CCEEFF" w:val="clear"/>
            <w:vAlign w:val="center"/>
          </w:tcPr>
          <w:p>
            <w:pPr>
              <w:pStyle w:val="TableContents"/>
              <w:spacing w:before="0" w:after="0"/>
              <w:ind w:left="0" w:right="0" w:hanging="0"/>
              <w:jc w:val="both"/>
              <w:rPr/>
            </w:pPr>
            <w:hyperlink w:anchor="king_ex10n.htm">
              <w:r>
                <w:rPr>
                  <w:rStyle w:val="InternetLink"/>
                  <w:rFonts w:ascii="times new roman" w:hAnsi="times new roman"/>
                  <w:sz w:val="20"/>
                </w:rPr>
                <w:t>10(n)</w:t>
              </w:r>
            </w:hyperlink>
          </w:p>
        </w:tc>
        <w:tc>
          <w:tcPr>
            <w:tcW w:w="90" w:type="dxa"/>
            <w:tcBorders/>
            <w:shd w:fill="CCEEFF" w:val="clear"/>
            <w:vAlign w:val="center"/>
          </w:tcPr>
          <w:p>
            <w:pPr>
              <w:pStyle w:val="TableContents"/>
              <w:spacing w:before="0" w:after="0"/>
              <w:ind w:left="0" w:right="0" w:hanging="0"/>
              <w:rPr/>
            </w:pPr>
            <w:r>
              <w:rPr/>
              <w:t> </w:t>
            </w:r>
          </w:p>
        </w:tc>
        <w:tc>
          <w:tcPr>
            <w:tcW w:w="9515" w:type="dxa"/>
            <w:tcBorders/>
            <w:shd w:fill="CCEEFF" w:val="clear"/>
            <w:vAlign w:val="center"/>
          </w:tcPr>
          <w:p>
            <w:pPr>
              <w:pStyle w:val="TableContents"/>
              <w:spacing w:before="0" w:after="0"/>
              <w:ind w:left="0" w:right="0" w:hanging="0"/>
              <w:jc w:val="both"/>
              <w:rPr/>
            </w:pPr>
            <w:hyperlink w:anchor="king_ex10n.htm">
              <w:r>
                <w:rPr>
                  <w:rStyle w:val="InternetLink"/>
                  <w:rFonts w:ascii="times new roman" w:hAnsi="times new roman"/>
                  <w:sz w:val="20"/>
                </w:rPr>
                <w:t>Stock Grant Agreement, dated as of January 3, 2023, between Kingstone Companies, Inc. and Carla D’Andre.*</w:t>
              </w:r>
            </w:hyperlink>
          </w:p>
        </w:tc>
      </w:tr>
      <w:tr>
        <w:trPr/>
        <w:tc>
          <w:tcPr>
            <w:tcW w:w="600" w:type="dxa"/>
            <w:tcBorders/>
            <w:shd w:fill="FFFFFF" w:val="clear"/>
            <w:vAlign w:val="center"/>
          </w:tcPr>
          <w:p>
            <w:pPr>
              <w:pStyle w:val="TableContents"/>
              <w:spacing w:before="0" w:after="0"/>
              <w:ind w:left="0" w:right="0" w:hanging="0"/>
              <w:jc w:val="both"/>
              <w:rPr/>
            </w:pPr>
            <w:r>
              <w:rPr/>
              <w:t> </w:t>
            </w:r>
          </w:p>
        </w:tc>
        <w:tc>
          <w:tcPr>
            <w:tcW w:w="90" w:type="dxa"/>
            <w:tcBorders/>
            <w:shd w:fill="FFFFFF" w:val="clear"/>
            <w:vAlign w:val="center"/>
          </w:tcPr>
          <w:p>
            <w:pPr>
              <w:pStyle w:val="TableContents"/>
              <w:spacing w:before="0" w:after="0"/>
              <w:ind w:left="0" w:right="0" w:hanging="0"/>
              <w:rPr/>
            </w:pPr>
            <w:r>
              <w:rPr/>
              <w:t> </w:t>
            </w:r>
          </w:p>
        </w:tc>
        <w:tc>
          <w:tcPr>
            <w:tcW w:w="9515" w:type="dxa"/>
            <w:tcBorders/>
            <w:shd w:fill="FFFFFF" w:val="clear"/>
            <w:vAlign w:val="center"/>
          </w:tcPr>
          <w:p>
            <w:pPr>
              <w:pStyle w:val="TableContents"/>
              <w:spacing w:before="0" w:after="0"/>
              <w:ind w:left="0" w:right="0" w:hanging="0"/>
              <w:jc w:val="both"/>
              <w:rPr/>
            </w:pPr>
            <w:r>
              <w:rPr/>
              <w:t> </w:t>
            </w:r>
          </w:p>
        </w:tc>
      </w:tr>
      <w:tr>
        <w:trPr/>
        <w:tc>
          <w:tcPr>
            <w:tcW w:w="600" w:type="dxa"/>
            <w:tcBorders/>
            <w:shd w:fill="CCEEFF" w:val="clear"/>
            <w:vAlign w:val="center"/>
          </w:tcPr>
          <w:p>
            <w:pPr>
              <w:pStyle w:val="TableContents"/>
              <w:spacing w:before="0" w:after="0"/>
              <w:ind w:left="0" w:right="0" w:hanging="0"/>
              <w:jc w:val="both"/>
              <w:rPr/>
            </w:pPr>
            <w:hyperlink w:anchor="king_ex10o.htm">
              <w:r>
                <w:rPr>
                  <w:rStyle w:val="InternetLink"/>
                  <w:rFonts w:ascii="times new roman" w:hAnsi="times new roman"/>
                  <w:sz w:val="20"/>
                </w:rPr>
                <w:t>10(o)</w:t>
              </w:r>
            </w:hyperlink>
          </w:p>
        </w:tc>
        <w:tc>
          <w:tcPr>
            <w:tcW w:w="90" w:type="dxa"/>
            <w:tcBorders/>
            <w:shd w:fill="CCEEFF" w:val="clear"/>
            <w:vAlign w:val="center"/>
          </w:tcPr>
          <w:p>
            <w:pPr>
              <w:pStyle w:val="TableContents"/>
              <w:spacing w:before="0" w:after="0"/>
              <w:ind w:left="0" w:right="0" w:hanging="0"/>
              <w:rPr/>
            </w:pPr>
            <w:r>
              <w:rPr/>
              <w:t> </w:t>
            </w:r>
          </w:p>
        </w:tc>
        <w:tc>
          <w:tcPr>
            <w:tcW w:w="9515" w:type="dxa"/>
            <w:tcBorders/>
            <w:shd w:fill="CCEEFF" w:val="clear"/>
            <w:vAlign w:val="center"/>
          </w:tcPr>
          <w:p>
            <w:pPr>
              <w:pStyle w:val="TableContents"/>
              <w:spacing w:before="0" w:after="0"/>
              <w:ind w:left="0" w:right="0" w:hanging="0"/>
              <w:jc w:val="both"/>
              <w:rPr/>
            </w:pPr>
            <w:hyperlink w:anchor="king_ex10o.htm">
              <w:r>
                <w:rPr>
                  <w:rStyle w:val="InternetLink"/>
                  <w:rFonts w:ascii="times new roman" w:hAnsi="times new roman"/>
                  <w:sz w:val="20"/>
                </w:rPr>
                <w:t>Stock Grant Agreement, dated as of January 3, 2023, between Kingstone Companies, Inc. and William L. Yankus.*</w:t>
              </w:r>
            </w:hyperlink>
          </w:p>
        </w:tc>
      </w:tr>
      <w:tr>
        <w:trPr/>
        <w:tc>
          <w:tcPr>
            <w:tcW w:w="600" w:type="dxa"/>
            <w:tcBorders/>
            <w:shd w:fill="FFFFFF" w:val="clear"/>
            <w:vAlign w:val="center"/>
          </w:tcPr>
          <w:p>
            <w:pPr>
              <w:pStyle w:val="TableContents"/>
              <w:spacing w:before="0" w:after="0"/>
              <w:ind w:left="0" w:right="0" w:hanging="0"/>
              <w:jc w:val="both"/>
              <w:rPr/>
            </w:pPr>
            <w:r>
              <w:rPr/>
              <w:t> </w:t>
            </w:r>
          </w:p>
        </w:tc>
        <w:tc>
          <w:tcPr>
            <w:tcW w:w="90" w:type="dxa"/>
            <w:tcBorders/>
            <w:shd w:fill="FFFFFF" w:val="clear"/>
            <w:vAlign w:val="center"/>
          </w:tcPr>
          <w:p>
            <w:pPr>
              <w:pStyle w:val="TableContents"/>
              <w:spacing w:before="0" w:after="0"/>
              <w:ind w:left="0" w:right="0" w:hanging="0"/>
              <w:rPr/>
            </w:pPr>
            <w:r>
              <w:rPr/>
              <w:t> </w:t>
            </w:r>
          </w:p>
        </w:tc>
        <w:tc>
          <w:tcPr>
            <w:tcW w:w="9515" w:type="dxa"/>
            <w:tcBorders/>
            <w:shd w:fill="FFFFFF" w:val="clear"/>
            <w:vAlign w:val="center"/>
          </w:tcPr>
          <w:p>
            <w:pPr>
              <w:pStyle w:val="TableContents"/>
              <w:spacing w:before="0" w:after="0"/>
              <w:ind w:left="0" w:right="0" w:hanging="0"/>
              <w:jc w:val="both"/>
              <w:rPr/>
            </w:pPr>
            <w:r>
              <w:rPr/>
              <w:t> </w:t>
            </w:r>
          </w:p>
        </w:tc>
      </w:tr>
      <w:tr>
        <w:trPr/>
        <w:tc>
          <w:tcPr>
            <w:tcW w:w="600" w:type="dxa"/>
            <w:tcBorders/>
            <w:shd w:fill="CCEEFF" w:val="clear"/>
            <w:vAlign w:val="center"/>
          </w:tcPr>
          <w:p>
            <w:pPr>
              <w:pStyle w:val="TableContents"/>
              <w:spacing w:before="0" w:after="0"/>
              <w:ind w:left="0" w:right="0" w:hanging="0"/>
              <w:jc w:val="both"/>
              <w:rPr/>
            </w:pPr>
            <w:hyperlink w:anchor="king_ex10p.htm">
              <w:r>
                <w:rPr>
                  <w:rStyle w:val="InternetLink"/>
                  <w:rFonts w:ascii="times new roman" w:hAnsi="times new roman"/>
                  <w:sz w:val="20"/>
                </w:rPr>
                <w:t>10(p)</w:t>
              </w:r>
            </w:hyperlink>
          </w:p>
        </w:tc>
        <w:tc>
          <w:tcPr>
            <w:tcW w:w="90" w:type="dxa"/>
            <w:tcBorders/>
            <w:shd w:fill="CCEEFF" w:val="clear"/>
            <w:vAlign w:val="center"/>
          </w:tcPr>
          <w:p>
            <w:pPr>
              <w:pStyle w:val="TableContents"/>
              <w:spacing w:before="0" w:after="0"/>
              <w:ind w:left="0" w:right="0" w:hanging="0"/>
              <w:rPr/>
            </w:pPr>
            <w:r>
              <w:rPr/>
              <w:t> </w:t>
            </w:r>
          </w:p>
        </w:tc>
        <w:tc>
          <w:tcPr>
            <w:tcW w:w="9515" w:type="dxa"/>
            <w:tcBorders/>
            <w:shd w:fill="CCEEFF" w:val="clear"/>
            <w:vAlign w:val="center"/>
          </w:tcPr>
          <w:p>
            <w:pPr>
              <w:pStyle w:val="TableContents"/>
              <w:spacing w:before="0" w:after="0"/>
              <w:ind w:left="0" w:right="0" w:hanging="0"/>
              <w:jc w:val="both"/>
              <w:rPr/>
            </w:pPr>
            <w:hyperlink w:anchor="king_ex10p.htm">
              <w:r>
                <w:rPr>
                  <w:rStyle w:val="InternetLink"/>
                  <w:rFonts w:ascii="times new roman" w:hAnsi="times new roman"/>
                  <w:sz w:val="20"/>
                </w:rPr>
                <w:t>Stock Grant Agreement, dated as of January 3, 2023, between Kingstone Companies, Inc. and Timothy P. McFadden.*</w:t>
              </w:r>
            </w:hyperlink>
          </w:p>
        </w:tc>
      </w:tr>
      <w:tr>
        <w:trPr/>
        <w:tc>
          <w:tcPr>
            <w:tcW w:w="600" w:type="dxa"/>
            <w:tcBorders/>
            <w:shd w:fill="FFFFFF" w:val="clear"/>
            <w:vAlign w:val="center"/>
          </w:tcPr>
          <w:p>
            <w:pPr>
              <w:pStyle w:val="TableContents"/>
              <w:spacing w:before="0" w:after="0"/>
              <w:ind w:left="0" w:right="0" w:hanging="0"/>
              <w:jc w:val="both"/>
              <w:rPr/>
            </w:pPr>
            <w:r>
              <w:rPr/>
              <w:t> </w:t>
            </w:r>
          </w:p>
        </w:tc>
        <w:tc>
          <w:tcPr>
            <w:tcW w:w="90" w:type="dxa"/>
            <w:tcBorders/>
            <w:shd w:fill="FFFFFF" w:val="clear"/>
            <w:vAlign w:val="center"/>
          </w:tcPr>
          <w:p>
            <w:pPr>
              <w:pStyle w:val="TableContents"/>
              <w:spacing w:before="0" w:after="0"/>
              <w:ind w:left="0" w:right="0" w:hanging="0"/>
              <w:rPr/>
            </w:pPr>
            <w:r>
              <w:rPr/>
              <w:t> </w:t>
            </w:r>
          </w:p>
        </w:tc>
        <w:tc>
          <w:tcPr>
            <w:tcW w:w="9515" w:type="dxa"/>
            <w:tcBorders/>
            <w:shd w:fill="FFFFFF" w:val="clear"/>
            <w:vAlign w:val="center"/>
          </w:tcPr>
          <w:p>
            <w:pPr>
              <w:pStyle w:val="TableContents"/>
              <w:spacing w:before="0" w:after="0"/>
              <w:ind w:left="0" w:right="0" w:hanging="0"/>
              <w:jc w:val="both"/>
              <w:rPr/>
            </w:pPr>
            <w:r>
              <w:rPr/>
              <w:t> </w:t>
            </w:r>
          </w:p>
        </w:tc>
      </w:tr>
      <w:tr>
        <w:trPr/>
        <w:tc>
          <w:tcPr>
            <w:tcW w:w="600" w:type="dxa"/>
            <w:tcBorders/>
            <w:shd w:fill="CCEEFF" w:val="clear"/>
            <w:vAlign w:val="center"/>
          </w:tcPr>
          <w:p>
            <w:pPr>
              <w:pStyle w:val="TableContents"/>
              <w:spacing w:before="0" w:after="0"/>
              <w:ind w:left="0" w:right="0" w:hanging="0"/>
              <w:jc w:val="both"/>
              <w:rPr/>
            </w:pPr>
            <w:hyperlink w:anchor="king_ex10q.htm">
              <w:r>
                <w:rPr>
                  <w:rStyle w:val="InternetLink"/>
                  <w:rFonts w:ascii="times new roman" w:hAnsi="times new roman"/>
                  <w:sz w:val="20"/>
                </w:rPr>
                <w:t>10(q)</w:t>
              </w:r>
            </w:hyperlink>
          </w:p>
        </w:tc>
        <w:tc>
          <w:tcPr>
            <w:tcW w:w="90" w:type="dxa"/>
            <w:tcBorders/>
            <w:shd w:fill="CCEEFF" w:val="clear"/>
            <w:vAlign w:val="center"/>
          </w:tcPr>
          <w:p>
            <w:pPr>
              <w:pStyle w:val="TableContents"/>
              <w:spacing w:before="0" w:after="0"/>
              <w:ind w:left="0" w:right="0" w:hanging="0"/>
              <w:rPr/>
            </w:pPr>
            <w:r>
              <w:rPr/>
              <w:t> </w:t>
            </w:r>
          </w:p>
        </w:tc>
        <w:tc>
          <w:tcPr>
            <w:tcW w:w="9515" w:type="dxa"/>
            <w:tcBorders/>
            <w:shd w:fill="CCEEFF" w:val="clear"/>
            <w:vAlign w:val="center"/>
          </w:tcPr>
          <w:p>
            <w:pPr>
              <w:pStyle w:val="TableContents"/>
              <w:spacing w:before="0" w:after="0"/>
              <w:ind w:left="0" w:right="0" w:hanging="0"/>
              <w:jc w:val="both"/>
              <w:rPr/>
            </w:pPr>
            <w:hyperlink w:anchor="king_ex10q.htm">
              <w:r>
                <w:rPr>
                  <w:rStyle w:val="InternetLink"/>
                  <w:rFonts w:ascii="times new roman" w:hAnsi="times new roman"/>
                  <w:sz w:val="20"/>
                </w:rPr>
                <w:t>Stock Grant Agreement, dated as of January 3, 2023, between Kingstone Companies, Inc. and Meryl S. Golden.*</w:t>
              </w:r>
            </w:hyperlink>
          </w:p>
        </w:tc>
      </w:tr>
      <w:tr>
        <w:trPr/>
        <w:tc>
          <w:tcPr>
            <w:tcW w:w="600" w:type="dxa"/>
            <w:tcBorders/>
            <w:shd w:fill="FFFFFF" w:val="clear"/>
            <w:vAlign w:val="center"/>
          </w:tcPr>
          <w:p>
            <w:pPr>
              <w:pStyle w:val="TableContents"/>
              <w:spacing w:before="0" w:after="0"/>
              <w:ind w:left="0" w:right="0" w:hanging="0"/>
              <w:jc w:val="both"/>
              <w:rPr/>
            </w:pPr>
            <w:r>
              <w:rPr/>
              <w:t> </w:t>
            </w:r>
          </w:p>
        </w:tc>
        <w:tc>
          <w:tcPr>
            <w:tcW w:w="90" w:type="dxa"/>
            <w:tcBorders/>
            <w:shd w:fill="FFFFFF" w:val="clear"/>
            <w:vAlign w:val="center"/>
          </w:tcPr>
          <w:p>
            <w:pPr>
              <w:pStyle w:val="TableContents"/>
              <w:spacing w:before="0" w:after="0"/>
              <w:ind w:left="0" w:right="0" w:hanging="0"/>
              <w:rPr/>
            </w:pPr>
            <w:r>
              <w:rPr/>
              <w:t> </w:t>
            </w:r>
          </w:p>
        </w:tc>
        <w:tc>
          <w:tcPr>
            <w:tcW w:w="9515" w:type="dxa"/>
            <w:tcBorders/>
            <w:shd w:fill="FFFFFF" w:val="clear"/>
            <w:vAlign w:val="center"/>
          </w:tcPr>
          <w:p>
            <w:pPr>
              <w:pStyle w:val="TableContents"/>
              <w:spacing w:before="0" w:after="0"/>
              <w:ind w:left="0" w:right="0" w:hanging="0"/>
              <w:jc w:val="both"/>
              <w:rPr/>
            </w:pPr>
            <w:r>
              <w:rPr/>
              <w:t> </w:t>
            </w:r>
          </w:p>
        </w:tc>
      </w:tr>
      <w:tr>
        <w:trPr/>
        <w:tc>
          <w:tcPr>
            <w:tcW w:w="600" w:type="dxa"/>
            <w:tcBorders/>
            <w:shd w:fill="CCEEFF" w:val="clear"/>
            <w:vAlign w:val="center"/>
          </w:tcPr>
          <w:p>
            <w:pPr>
              <w:pStyle w:val="TableContents"/>
              <w:spacing w:before="0" w:after="0"/>
              <w:ind w:left="0" w:right="0" w:hanging="0"/>
              <w:jc w:val="both"/>
              <w:rPr/>
            </w:pPr>
            <w:hyperlink r:id="rId35">
              <w:r>
                <w:rPr>
                  <w:rStyle w:val="InternetLink"/>
                  <w:rFonts w:ascii="times new roman" w:hAnsi="times new roman"/>
                  <w:sz w:val="20"/>
                </w:rPr>
                <w:t>21</w:t>
              </w:r>
            </w:hyperlink>
          </w:p>
        </w:tc>
        <w:tc>
          <w:tcPr>
            <w:tcW w:w="90" w:type="dxa"/>
            <w:tcBorders/>
            <w:shd w:fill="CCEEFF" w:val="clear"/>
            <w:vAlign w:val="center"/>
          </w:tcPr>
          <w:p>
            <w:pPr>
              <w:pStyle w:val="TableContents"/>
              <w:spacing w:before="0" w:after="0"/>
              <w:ind w:left="0" w:right="0" w:hanging="0"/>
              <w:rPr/>
            </w:pPr>
            <w:r>
              <w:rPr/>
              <w:t> </w:t>
            </w:r>
          </w:p>
        </w:tc>
        <w:tc>
          <w:tcPr>
            <w:tcW w:w="9515" w:type="dxa"/>
            <w:tcBorders/>
            <w:shd w:fill="CCEEFF" w:val="clear"/>
            <w:vAlign w:val="center"/>
          </w:tcPr>
          <w:p>
            <w:pPr>
              <w:pStyle w:val="TableContents"/>
              <w:spacing w:before="0" w:after="0"/>
              <w:ind w:left="0" w:right="0" w:hanging="0"/>
              <w:jc w:val="both"/>
              <w:rPr/>
            </w:pPr>
            <w:hyperlink r:id="rId36">
              <w:r>
                <w:rPr>
                  <w:rStyle w:val="InternetLink"/>
                  <w:rFonts w:ascii="times new roman" w:hAnsi="times new roman"/>
                  <w:sz w:val="20"/>
                </w:rPr>
                <w:t>Subsidiaries (incorporated by reference to Exhibit 21 to the Company’s Annual Report on Form 10-K for the year ended December 31, 2016, filed on March 16, 2017).</w:t>
              </w:r>
            </w:hyperlink>
          </w:p>
        </w:tc>
      </w:tr>
      <w:tr>
        <w:trPr/>
        <w:tc>
          <w:tcPr>
            <w:tcW w:w="600" w:type="dxa"/>
            <w:tcBorders/>
            <w:shd w:fill="FFFFFF" w:val="clear"/>
            <w:vAlign w:val="center"/>
          </w:tcPr>
          <w:p>
            <w:pPr>
              <w:pStyle w:val="TableContents"/>
              <w:spacing w:before="0" w:after="0"/>
              <w:ind w:left="0" w:right="0" w:hanging="0"/>
              <w:jc w:val="both"/>
              <w:rPr/>
            </w:pPr>
            <w:r>
              <w:rPr/>
              <w:t> </w:t>
            </w:r>
          </w:p>
        </w:tc>
        <w:tc>
          <w:tcPr>
            <w:tcW w:w="90" w:type="dxa"/>
            <w:tcBorders/>
            <w:shd w:fill="FFFFFF" w:val="clear"/>
            <w:vAlign w:val="center"/>
          </w:tcPr>
          <w:p>
            <w:pPr>
              <w:pStyle w:val="TableContents"/>
              <w:spacing w:before="0" w:after="0"/>
              <w:ind w:left="0" w:right="0" w:hanging="0"/>
              <w:rPr/>
            </w:pPr>
            <w:r>
              <w:rPr/>
              <w:t> </w:t>
            </w:r>
          </w:p>
        </w:tc>
        <w:tc>
          <w:tcPr>
            <w:tcW w:w="9515" w:type="dxa"/>
            <w:tcBorders/>
            <w:shd w:fill="FFFFFF" w:val="clear"/>
            <w:vAlign w:val="center"/>
          </w:tcPr>
          <w:p>
            <w:pPr>
              <w:pStyle w:val="TableContents"/>
              <w:spacing w:before="0" w:after="0"/>
              <w:ind w:left="0" w:right="0" w:hanging="0"/>
              <w:jc w:val="both"/>
              <w:rPr/>
            </w:pPr>
            <w:r>
              <w:rPr/>
              <w:t> </w:t>
            </w:r>
          </w:p>
        </w:tc>
      </w:tr>
      <w:tr>
        <w:trPr/>
        <w:tc>
          <w:tcPr>
            <w:tcW w:w="600" w:type="dxa"/>
            <w:tcBorders/>
            <w:shd w:fill="CCEEFF" w:val="clear"/>
            <w:vAlign w:val="center"/>
          </w:tcPr>
          <w:p>
            <w:pPr>
              <w:pStyle w:val="TableContents"/>
              <w:spacing w:before="0" w:after="0"/>
              <w:ind w:left="0" w:right="0" w:hanging="0"/>
              <w:jc w:val="both"/>
              <w:rPr/>
            </w:pPr>
            <w:hyperlink w:anchor="king_ex23.htm">
              <w:r>
                <w:rPr>
                  <w:rStyle w:val="InternetLink"/>
                  <w:rFonts w:ascii="times new roman" w:hAnsi="times new roman"/>
                  <w:sz w:val="20"/>
                </w:rPr>
                <w:t>23</w:t>
              </w:r>
            </w:hyperlink>
          </w:p>
        </w:tc>
        <w:tc>
          <w:tcPr>
            <w:tcW w:w="90" w:type="dxa"/>
            <w:tcBorders/>
            <w:shd w:fill="CCEEFF" w:val="clear"/>
            <w:vAlign w:val="center"/>
          </w:tcPr>
          <w:p>
            <w:pPr>
              <w:pStyle w:val="TableContents"/>
              <w:spacing w:before="0" w:after="0"/>
              <w:ind w:left="0" w:right="0" w:hanging="0"/>
              <w:rPr/>
            </w:pPr>
            <w:r>
              <w:rPr/>
              <w:t> </w:t>
            </w:r>
          </w:p>
        </w:tc>
        <w:tc>
          <w:tcPr>
            <w:tcW w:w="9515" w:type="dxa"/>
            <w:tcBorders/>
            <w:shd w:fill="CCEEFF" w:val="clear"/>
            <w:vAlign w:val="center"/>
          </w:tcPr>
          <w:p>
            <w:pPr>
              <w:pStyle w:val="TableContents"/>
              <w:spacing w:before="0" w:after="0"/>
              <w:ind w:left="0" w:right="0" w:hanging="0"/>
              <w:jc w:val="both"/>
              <w:rPr/>
            </w:pPr>
            <w:hyperlink w:anchor="king_ex23.htm">
              <w:r>
                <w:rPr>
                  <w:rStyle w:val="InternetLink"/>
                  <w:rFonts w:ascii="times new roman" w:hAnsi="times new roman"/>
                  <w:sz w:val="20"/>
                </w:rPr>
                <w:t>Consent of Marcum LLP.*</w:t>
              </w:r>
            </w:hyperlink>
          </w:p>
        </w:tc>
      </w:tr>
      <w:tr>
        <w:trPr/>
        <w:tc>
          <w:tcPr>
            <w:tcW w:w="60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515" w:type="dxa"/>
            <w:tcBorders/>
            <w:shd w:fill="FFFFFF" w:val="clear"/>
            <w:vAlign w:val="center"/>
          </w:tcPr>
          <w:p>
            <w:pPr>
              <w:pStyle w:val="TableContents"/>
              <w:spacing w:before="0" w:after="0"/>
              <w:ind w:left="0" w:right="0" w:hanging="0"/>
              <w:rPr/>
            </w:pPr>
            <w:r>
              <w:rPr/>
              <w:t> </w:t>
            </w:r>
          </w:p>
        </w:tc>
      </w:tr>
      <w:tr>
        <w:trPr/>
        <w:tc>
          <w:tcPr>
            <w:tcW w:w="600" w:type="dxa"/>
            <w:tcBorders/>
            <w:shd w:fill="CCEEFF" w:val="clear"/>
            <w:vAlign w:val="center"/>
          </w:tcPr>
          <w:p>
            <w:pPr>
              <w:pStyle w:val="TableContents"/>
              <w:spacing w:before="0" w:after="0"/>
              <w:ind w:left="0" w:right="0" w:hanging="0"/>
              <w:jc w:val="both"/>
              <w:rPr/>
            </w:pPr>
            <w:hyperlink w:anchor="king_ex31a.htm">
              <w:r>
                <w:rPr>
                  <w:rStyle w:val="InternetLink"/>
                  <w:rFonts w:ascii="times new roman" w:hAnsi="times new roman"/>
                  <w:sz w:val="20"/>
                </w:rPr>
                <w:t>31(a)</w:t>
              </w:r>
            </w:hyperlink>
          </w:p>
        </w:tc>
        <w:tc>
          <w:tcPr>
            <w:tcW w:w="90" w:type="dxa"/>
            <w:tcBorders/>
            <w:shd w:fill="CCEEFF" w:val="clear"/>
            <w:vAlign w:val="center"/>
          </w:tcPr>
          <w:p>
            <w:pPr>
              <w:pStyle w:val="TableContents"/>
              <w:spacing w:before="0" w:after="0"/>
              <w:ind w:left="0" w:right="0" w:hanging="0"/>
              <w:rPr/>
            </w:pPr>
            <w:r>
              <w:rPr/>
              <w:t> </w:t>
            </w:r>
          </w:p>
        </w:tc>
        <w:tc>
          <w:tcPr>
            <w:tcW w:w="9515" w:type="dxa"/>
            <w:tcBorders/>
            <w:shd w:fill="CCEEFF" w:val="clear"/>
            <w:vAlign w:val="center"/>
          </w:tcPr>
          <w:p>
            <w:pPr>
              <w:pStyle w:val="TableContents"/>
              <w:spacing w:before="0" w:after="0"/>
              <w:ind w:left="0" w:right="0" w:hanging="0"/>
              <w:jc w:val="both"/>
              <w:rPr/>
            </w:pPr>
            <w:hyperlink w:anchor="king_ex31a.htm">
              <w:r>
                <w:rPr>
                  <w:rStyle w:val="InternetLink"/>
                  <w:rFonts w:ascii="times new roman" w:hAnsi="times new roman"/>
                  <w:sz w:val="20"/>
                </w:rPr>
                <w:t>Rule 13a-14(a)/15d-14(a) Certification of Chief Executive Officer as Adopted Pursuant to Section 302 of the Sarbanes-Oxley Act of 2002.*</w:t>
              </w:r>
            </w:hyperlink>
          </w:p>
        </w:tc>
      </w:tr>
      <w:tr>
        <w:trPr/>
        <w:tc>
          <w:tcPr>
            <w:tcW w:w="600" w:type="dxa"/>
            <w:tcBorders/>
            <w:shd w:fill="FFFFFF" w:val="clear"/>
            <w:vAlign w:val="center"/>
          </w:tcPr>
          <w:p>
            <w:pPr>
              <w:pStyle w:val="TableContents"/>
              <w:spacing w:before="0" w:after="0"/>
              <w:ind w:left="0" w:right="0" w:hanging="0"/>
              <w:jc w:val="both"/>
              <w:rPr/>
            </w:pPr>
            <w:r>
              <w:rPr/>
              <w:t> </w:t>
            </w:r>
          </w:p>
        </w:tc>
        <w:tc>
          <w:tcPr>
            <w:tcW w:w="90" w:type="dxa"/>
            <w:tcBorders/>
            <w:shd w:fill="FFFFFF" w:val="clear"/>
            <w:vAlign w:val="center"/>
          </w:tcPr>
          <w:p>
            <w:pPr>
              <w:pStyle w:val="TableContents"/>
              <w:spacing w:before="0" w:after="0"/>
              <w:ind w:left="0" w:right="0" w:hanging="0"/>
              <w:rPr/>
            </w:pPr>
            <w:r>
              <w:rPr/>
              <w:t> </w:t>
            </w:r>
          </w:p>
        </w:tc>
        <w:tc>
          <w:tcPr>
            <w:tcW w:w="9515" w:type="dxa"/>
            <w:tcBorders/>
            <w:shd w:fill="FFFFFF" w:val="clear"/>
            <w:vAlign w:val="center"/>
          </w:tcPr>
          <w:p>
            <w:pPr>
              <w:pStyle w:val="TableContents"/>
              <w:spacing w:before="0" w:after="0"/>
              <w:ind w:left="0" w:right="0" w:hanging="0"/>
              <w:jc w:val="both"/>
              <w:rPr/>
            </w:pPr>
            <w:r>
              <w:rPr/>
              <w:t> </w:t>
            </w:r>
          </w:p>
        </w:tc>
      </w:tr>
      <w:tr>
        <w:trPr/>
        <w:tc>
          <w:tcPr>
            <w:tcW w:w="600" w:type="dxa"/>
            <w:tcBorders/>
            <w:shd w:fill="CCEEFF" w:val="clear"/>
            <w:vAlign w:val="center"/>
          </w:tcPr>
          <w:p>
            <w:pPr>
              <w:pStyle w:val="TableContents"/>
              <w:spacing w:before="0" w:after="0"/>
              <w:ind w:left="0" w:right="0" w:hanging="0"/>
              <w:jc w:val="both"/>
              <w:rPr/>
            </w:pPr>
            <w:hyperlink w:anchor="king_ex31b.htm">
              <w:r>
                <w:rPr>
                  <w:rStyle w:val="InternetLink"/>
                  <w:rFonts w:ascii="times new roman" w:hAnsi="times new roman"/>
                  <w:sz w:val="20"/>
                </w:rPr>
                <w:t>31(b)</w:t>
              </w:r>
            </w:hyperlink>
          </w:p>
        </w:tc>
        <w:tc>
          <w:tcPr>
            <w:tcW w:w="90" w:type="dxa"/>
            <w:tcBorders/>
            <w:shd w:fill="CCEEFF" w:val="clear"/>
            <w:vAlign w:val="center"/>
          </w:tcPr>
          <w:p>
            <w:pPr>
              <w:pStyle w:val="TableContents"/>
              <w:spacing w:before="0" w:after="0"/>
              <w:ind w:left="0" w:right="0" w:hanging="0"/>
              <w:rPr/>
            </w:pPr>
            <w:r>
              <w:rPr/>
              <w:t> </w:t>
            </w:r>
          </w:p>
        </w:tc>
        <w:tc>
          <w:tcPr>
            <w:tcW w:w="9515" w:type="dxa"/>
            <w:tcBorders/>
            <w:shd w:fill="CCEEFF" w:val="clear"/>
            <w:vAlign w:val="center"/>
          </w:tcPr>
          <w:p>
            <w:pPr>
              <w:pStyle w:val="TableContents"/>
              <w:spacing w:before="0" w:after="0"/>
              <w:ind w:left="0" w:right="0" w:hanging="0"/>
              <w:jc w:val="both"/>
              <w:rPr/>
            </w:pPr>
            <w:hyperlink w:anchor="king_ex31b.htm">
              <w:r>
                <w:rPr>
                  <w:rStyle w:val="InternetLink"/>
                  <w:rFonts w:ascii="times new roman" w:hAnsi="times new roman"/>
                  <w:sz w:val="20"/>
                </w:rPr>
                <w:t>Rule 13a-14(a)/15d-14(a) Certification of Principal Financial Officer as Adopted Pursuant to Section 302 of the Sarbanes-Oxley Act of 2002.*</w:t>
              </w:r>
            </w:hyperlink>
          </w:p>
        </w:tc>
      </w:tr>
      <w:tr>
        <w:trPr/>
        <w:tc>
          <w:tcPr>
            <w:tcW w:w="600" w:type="dxa"/>
            <w:tcBorders/>
            <w:shd w:fill="FFFFFF" w:val="clear"/>
            <w:vAlign w:val="center"/>
          </w:tcPr>
          <w:p>
            <w:pPr>
              <w:pStyle w:val="TableContents"/>
              <w:spacing w:before="0" w:after="0"/>
              <w:ind w:left="0" w:right="0" w:hanging="0"/>
              <w:jc w:val="both"/>
              <w:rPr/>
            </w:pPr>
            <w:r>
              <w:rPr/>
              <w:t> </w:t>
            </w:r>
          </w:p>
        </w:tc>
        <w:tc>
          <w:tcPr>
            <w:tcW w:w="90" w:type="dxa"/>
            <w:tcBorders/>
            <w:shd w:fill="FFFFFF" w:val="clear"/>
            <w:vAlign w:val="center"/>
          </w:tcPr>
          <w:p>
            <w:pPr>
              <w:pStyle w:val="TableContents"/>
              <w:spacing w:before="0" w:after="0"/>
              <w:ind w:left="0" w:right="0" w:hanging="0"/>
              <w:rPr/>
            </w:pPr>
            <w:r>
              <w:rPr/>
              <w:t> </w:t>
            </w:r>
          </w:p>
        </w:tc>
        <w:tc>
          <w:tcPr>
            <w:tcW w:w="9515" w:type="dxa"/>
            <w:tcBorders/>
            <w:shd w:fill="FFFFFF" w:val="clear"/>
            <w:vAlign w:val="center"/>
          </w:tcPr>
          <w:p>
            <w:pPr>
              <w:pStyle w:val="TableContents"/>
              <w:spacing w:before="0" w:after="0"/>
              <w:ind w:left="0" w:right="0" w:hanging="0"/>
              <w:jc w:val="both"/>
              <w:rPr/>
            </w:pPr>
            <w:r>
              <w:rPr/>
              <w:t> </w:t>
            </w:r>
          </w:p>
        </w:tc>
      </w:tr>
      <w:tr>
        <w:trPr/>
        <w:tc>
          <w:tcPr>
            <w:tcW w:w="600" w:type="dxa"/>
            <w:tcBorders/>
            <w:shd w:fill="CCEEFF" w:val="clear"/>
            <w:vAlign w:val="center"/>
          </w:tcPr>
          <w:p>
            <w:pPr>
              <w:pStyle w:val="TableContents"/>
              <w:spacing w:before="0" w:after="0"/>
              <w:ind w:left="0" w:right="0" w:hanging="0"/>
              <w:jc w:val="both"/>
              <w:rPr/>
            </w:pPr>
            <w:hyperlink w:anchor="king_ex32.htm">
              <w:r>
                <w:rPr>
                  <w:rStyle w:val="InternetLink"/>
                  <w:rFonts w:ascii="times new roman" w:hAnsi="times new roman"/>
                  <w:sz w:val="20"/>
                </w:rPr>
                <w:t>32</w:t>
              </w:r>
            </w:hyperlink>
          </w:p>
        </w:tc>
        <w:tc>
          <w:tcPr>
            <w:tcW w:w="90" w:type="dxa"/>
            <w:tcBorders/>
            <w:shd w:fill="CCEEFF" w:val="clear"/>
            <w:vAlign w:val="center"/>
          </w:tcPr>
          <w:p>
            <w:pPr>
              <w:pStyle w:val="TableContents"/>
              <w:spacing w:before="0" w:after="0"/>
              <w:ind w:left="0" w:right="0" w:hanging="0"/>
              <w:rPr/>
            </w:pPr>
            <w:r>
              <w:rPr/>
              <w:t> </w:t>
            </w:r>
          </w:p>
        </w:tc>
        <w:tc>
          <w:tcPr>
            <w:tcW w:w="9515" w:type="dxa"/>
            <w:tcBorders/>
            <w:shd w:fill="CCEEFF" w:val="clear"/>
            <w:vAlign w:val="center"/>
          </w:tcPr>
          <w:p>
            <w:pPr>
              <w:pStyle w:val="TableContents"/>
              <w:spacing w:before="0" w:after="0"/>
              <w:ind w:left="0" w:right="0" w:hanging="0"/>
              <w:jc w:val="both"/>
              <w:rPr/>
            </w:pPr>
            <w:hyperlink w:anchor="king_ex32.htm">
              <w:r>
                <w:rPr>
                  <w:rStyle w:val="InternetLink"/>
                  <w:rFonts w:ascii="times new roman" w:hAnsi="times new roman"/>
                  <w:sz w:val="20"/>
                </w:rPr>
                <w:t>Certification of Chief Executive Officer and Principal Financial Officer Pursuant to 18 U.S.C. Section 1350, as Adopted Pursuant to Section 906 of the Sarbanes-Oxley Act of 2002.**</w:t>
              </w:r>
            </w:hyperlink>
          </w:p>
        </w:tc>
      </w:tr>
      <w:tr>
        <w:trPr/>
        <w:tc>
          <w:tcPr>
            <w:tcW w:w="600" w:type="dxa"/>
            <w:tcBorders/>
            <w:shd w:fill="FFFFFF" w:val="clear"/>
            <w:vAlign w:val="center"/>
          </w:tcPr>
          <w:p>
            <w:pPr>
              <w:pStyle w:val="TableContents"/>
              <w:spacing w:before="0" w:after="0"/>
              <w:ind w:left="0" w:right="0" w:hanging="0"/>
              <w:jc w:val="both"/>
              <w:rPr/>
            </w:pPr>
            <w:r>
              <w:rPr/>
              <w:t> </w:t>
            </w:r>
          </w:p>
        </w:tc>
        <w:tc>
          <w:tcPr>
            <w:tcW w:w="90" w:type="dxa"/>
            <w:tcBorders/>
            <w:shd w:fill="FFFFFF" w:val="clear"/>
            <w:vAlign w:val="center"/>
          </w:tcPr>
          <w:p>
            <w:pPr>
              <w:pStyle w:val="TableContents"/>
              <w:spacing w:before="0" w:after="0"/>
              <w:ind w:left="0" w:right="0" w:hanging="0"/>
              <w:rPr/>
            </w:pPr>
            <w:r>
              <w:rPr/>
              <w:t> </w:t>
            </w:r>
          </w:p>
        </w:tc>
        <w:tc>
          <w:tcPr>
            <w:tcW w:w="9515" w:type="dxa"/>
            <w:tcBorders/>
            <w:shd w:fill="FFFFFF" w:val="clear"/>
            <w:vAlign w:val="center"/>
          </w:tcPr>
          <w:p>
            <w:pPr>
              <w:pStyle w:val="TableContents"/>
              <w:spacing w:before="0" w:after="0"/>
              <w:ind w:left="0" w:right="0" w:hanging="0"/>
              <w:jc w:val="both"/>
              <w:rPr/>
            </w:pPr>
            <w:r>
              <w:rPr/>
              <w:t> </w:t>
            </w:r>
          </w:p>
        </w:tc>
      </w:tr>
      <w:tr>
        <w:trPr/>
        <w:tc>
          <w:tcPr>
            <w:tcW w:w="600" w:type="dxa"/>
            <w:tcBorders/>
            <w:shd w:fill="CCEEFF"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101.INS</w:t>
            </w:r>
          </w:p>
        </w:tc>
        <w:tc>
          <w:tcPr>
            <w:tcW w:w="90" w:type="dxa"/>
            <w:tcBorders/>
            <w:shd w:fill="CCEEFF" w:val="clear"/>
            <w:vAlign w:val="center"/>
          </w:tcPr>
          <w:p>
            <w:pPr>
              <w:pStyle w:val="TableContents"/>
              <w:spacing w:before="0" w:after="0"/>
              <w:ind w:left="0" w:right="0" w:hanging="0"/>
              <w:rPr/>
            </w:pPr>
            <w:r>
              <w:rPr/>
              <w:t> </w:t>
            </w:r>
          </w:p>
        </w:tc>
        <w:tc>
          <w:tcPr>
            <w:tcW w:w="9515" w:type="dxa"/>
            <w:tcBorders/>
            <w:shd w:fill="CCEEFF"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XBRL Instance Document.*</w:t>
            </w:r>
          </w:p>
        </w:tc>
      </w:tr>
      <w:tr>
        <w:trPr/>
        <w:tc>
          <w:tcPr>
            <w:tcW w:w="600" w:type="dxa"/>
            <w:tcBorders/>
            <w:shd w:fill="FFFFFF" w:val="clear"/>
            <w:vAlign w:val="center"/>
          </w:tcPr>
          <w:p>
            <w:pPr>
              <w:pStyle w:val="TableContents"/>
              <w:spacing w:before="0" w:after="0"/>
              <w:ind w:left="0" w:right="0" w:hanging="0"/>
              <w:jc w:val="both"/>
              <w:rPr/>
            </w:pPr>
            <w:r>
              <w:rPr/>
              <w:t> </w:t>
            </w:r>
          </w:p>
        </w:tc>
        <w:tc>
          <w:tcPr>
            <w:tcW w:w="90" w:type="dxa"/>
            <w:tcBorders/>
            <w:shd w:fill="FFFFFF" w:val="clear"/>
            <w:vAlign w:val="center"/>
          </w:tcPr>
          <w:p>
            <w:pPr>
              <w:pStyle w:val="TableContents"/>
              <w:spacing w:before="0" w:after="0"/>
              <w:ind w:left="0" w:right="0" w:hanging="0"/>
              <w:rPr/>
            </w:pPr>
            <w:r>
              <w:rPr/>
              <w:t> </w:t>
            </w:r>
          </w:p>
        </w:tc>
        <w:tc>
          <w:tcPr>
            <w:tcW w:w="9515" w:type="dxa"/>
            <w:tcBorders/>
            <w:shd w:fill="FFFFFF" w:val="clear"/>
            <w:vAlign w:val="center"/>
          </w:tcPr>
          <w:p>
            <w:pPr>
              <w:pStyle w:val="TableContents"/>
              <w:spacing w:before="0" w:after="0"/>
              <w:ind w:left="0" w:right="0" w:hanging="0"/>
              <w:jc w:val="both"/>
              <w:rPr/>
            </w:pPr>
            <w:r>
              <w:rPr/>
              <w:t> </w:t>
            </w:r>
          </w:p>
        </w:tc>
      </w:tr>
      <w:tr>
        <w:trPr/>
        <w:tc>
          <w:tcPr>
            <w:tcW w:w="600" w:type="dxa"/>
            <w:tcBorders/>
            <w:shd w:fill="CCEEFF"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101.SCH</w:t>
            </w:r>
          </w:p>
        </w:tc>
        <w:tc>
          <w:tcPr>
            <w:tcW w:w="90" w:type="dxa"/>
            <w:tcBorders/>
            <w:shd w:fill="CCEEFF" w:val="clear"/>
            <w:vAlign w:val="center"/>
          </w:tcPr>
          <w:p>
            <w:pPr>
              <w:pStyle w:val="TableContents"/>
              <w:spacing w:before="0" w:after="0"/>
              <w:ind w:left="0" w:right="0" w:hanging="0"/>
              <w:rPr/>
            </w:pPr>
            <w:r>
              <w:rPr/>
              <w:t> </w:t>
            </w:r>
          </w:p>
        </w:tc>
        <w:tc>
          <w:tcPr>
            <w:tcW w:w="9515" w:type="dxa"/>
            <w:tcBorders/>
            <w:shd w:fill="CCEEFF"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101.SCH XBRL Taxonomy Extension Schema.*</w:t>
            </w:r>
          </w:p>
        </w:tc>
      </w:tr>
      <w:tr>
        <w:trPr/>
        <w:tc>
          <w:tcPr>
            <w:tcW w:w="600" w:type="dxa"/>
            <w:tcBorders/>
            <w:shd w:fill="FFFFFF" w:val="clear"/>
            <w:vAlign w:val="center"/>
          </w:tcPr>
          <w:p>
            <w:pPr>
              <w:pStyle w:val="TableContents"/>
              <w:spacing w:before="0" w:after="0"/>
              <w:ind w:left="0" w:right="0" w:hanging="0"/>
              <w:jc w:val="both"/>
              <w:rPr/>
            </w:pPr>
            <w:r>
              <w:rPr/>
              <w:t> </w:t>
            </w:r>
          </w:p>
        </w:tc>
        <w:tc>
          <w:tcPr>
            <w:tcW w:w="90" w:type="dxa"/>
            <w:tcBorders/>
            <w:shd w:fill="FFFFFF" w:val="clear"/>
            <w:vAlign w:val="center"/>
          </w:tcPr>
          <w:p>
            <w:pPr>
              <w:pStyle w:val="TableContents"/>
              <w:spacing w:before="0" w:after="0"/>
              <w:ind w:left="0" w:right="0" w:hanging="0"/>
              <w:rPr/>
            </w:pPr>
            <w:r>
              <w:rPr/>
              <w:t> </w:t>
            </w:r>
          </w:p>
        </w:tc>
        <w:tc>
          <w:tcPr>
            <w:tcW w:w="9515" w:type="dxa"/>
            <w:tcBorders/>
            <w:shd w:fill="FFFFFF" w:val="clear"/>
            <w:vAlign w:val="center"/>
          </w:tcPr>
          <w:p>
            <w:pPr>
              <w:pStyle w:val="TableContents"/>
              <w:spacing w:before="0" w:after="0"/>
              <w:ind w:left="0" w:right="0" w:hanging="0"/>
              <w:jc w:val="both"/>
              <w:rPr/>
            </w:pPr>
            <w:r>
              <w:rPr/>
              <w:t> </w:t>
            </w:r>
          </w:p>
        </w:tc>
      </w:tr>
      <w:tr>
        <w:trPr/>
        <w:tc>
          <w:tcPr>
            <w:tcW w:w="600" w:type="dxa"/>
            <w:tcBorders/>
            <w:shd w:fill="CCEEFF"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101.CAL</w:t>
            </w:r>
          </w:p>
        </w:tc>
        <w:tc>
          <w:tcPr>
            <w:tcW w:w="90" w:type="dxa"/>
            <w:tcBorders/>
            <w:shd w:fill="CCEEFF" w:val="clear"/>
            <w:vAlign w:val="center"/>
          </w:tcPr>
          <w:p>
            <w:pPr>
              <w:pStyle w:val="TableContents"/>
              <w:spacing w:before="0" w:after="0"/>
              <w:ind w:left="0" w:right="0" w:hanging="0"/>
              <w:rPr/>
            </w:pPr>
            <w:r>
              <w:rPr/>
              <w:t> </w:t>
            </w:r>
          </w:p>
        </w:tc>
        <w:tc>
          <w:tcPr>
            <w:tcW w:w="9515" w:type="dxa"/>
            <w:tcBorders/>
            <w:shd w:fill="CCEEFF"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101.CAL XBRL Taxonomy Extension Calculation Linkbase.*</w:t>
            </w:r>
          </w:p>
        </w:tc>
      </w:tr>
      <w:tr>
        <w:trPr/>
        <w:tc>
          <w:tcPr>
            <w:tcW w:w="600" w:type="dxa"/>
            <w:tcBorders/>
            <w:shd w:fill="FFFFFF" w:val="clear"/>
            <w:vAlign w:val="center"/>
          </w:tcPr>
          <w:p>
            <w:pPr>
              <w:pStyle w:val="TableContents"/>
              <w:spacing w:before="0" w:after="0"/>
              <w:ind w:left="0" w:right="0" w:hanging="0"/>
              <w:jc w:val="both"/>
              <w:rPr/>
            </w:pPr>
            <w:r>
              <w:rPr/>
              <w:t> </w:t>
            </w:r>
          </w:p>
        </w:tc>
        <w:tc>
          <w:tcPr>
            <w:tcW w:w="90" w:type="dxa"/>
            <w:tcBorders/>
            <w:shd w:fill="FFFFFF" w:val="clear"/>
            <w:vAlign w:val="center"/>
          </w:tcPr>
          <w:p>
            <w:pPr>
              <w:pStyle w:val="TableContents"/>
              <w:spacing w:before="0" w:after="0"/>
              <w:ind w:left="0" w:right="0" w:hanging="0"/>
              <w:rPr/>
            </w:pPr>
            <w:r>
              <w:rPr/>
              <w:t> </w:t>
            </w:r>
          </w:p>
        </w:tc>
        <w:tc>
          <w:tcPr>
            <w:tcW w:w="9515" w:type="dxa"/>
            <w:tcBorders/>
            <w:shd w:fill="FFFFFF" w:val="clear"/>
            <w:vAlign w:val="center"/>
          </w:tcPr>
          <w:p>
            <w:pPr>
              <w:pStyle w:val="TableContents"/>
              <w:spacing w:before="0" w:after="0"/>
              <w:ind w:left="0" w:right="0" w:hanging="0"/>
              <w:jc w:val="both"/>
              <w:rPr/>
            </w:pPr>
            <w:r>
              <w:rPr/>
              <w:t> </w:t>
            </w:r>
          </w:p>
        </w:tc>
      </w:tr>
      <w:tr>
        <w:trPr/>
        <w:tc>
          <w:tcPr>
            <w:tcW w:w="600" w:type="dxa"/>
            <w:tcBorders/>
            <w:shd w:fill="CCEEFF"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101.DEF</w:t>
            </w:r>
          </w:p>
        </w:tc>
        <w:tc>
          <w:tcPr>
            <w:tcW w:w="90" w:type="dxa"/>
            <w:tcBorders/>
            <w:shd w:fill="CCEEFF" w:val="clear"/>
            <w:vAlign w:val="center"/>
          </w:tcPr>
          <w:p>
            <w:pPr>
              <w:pStyle w:val="TableContents"/>
              <w:spacing w:before="0" w:after="0"/>
              <w:ind w:left="0" w:right="0" w:hanging="0"/>
              <w:rPr/>
            </w:pPr>
            <w:r>
              <w:rPr/>
              <w:t> </w:t>
            </w:r>
          </w:p>
        </w:tc>
        <w:tc>
          <w:tcPr>
            <w:tcW w:w="9515" w:type="dxa"/>
            <w:tcBorders/>
            <w:shd w:fill="CCEEFF"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101.DEF XBRL Taxonomy Extension Definition Linkbase.*</w:t>
            </w:r>
          </w:p>
        </w:tc>
      </w:tr>
      <w:tr>
        <w:trPr/>
        <w:tc>
          <w:tcPr>
            <w:tcW w:w="600" w:type="dxa"/>
            <w:tcBorders/>
            <w:shd w:fill="FFFFFF" w:val="clear"/>
            <w:vAlign w:val="center"/>
          </w:tcPr>
          <w:p>
            <w:pPr>
              <w:pStyle w:val="TableContents"/>
              <w:spacing w:before="0" w:after="0"/>
              <w:ind w:left="0" w:right="0" w:hanging="0"/>
              <w:jc w:val="both"/>
              <w:rPr/>
            </w:pPr>
            <w:r>
              <w:rPr/>
              <w:t> </w:t>
            </w:r>
          </w:p>
        </w:tc>
        <w:tc>
          <w:tcPr>
            <w:tcW w:w="90" w:type="dxa"/>
            <w:tcBorders/>
            <w:shd w:fill="FFFFFF" w:val="clear"/>
            <w:vAlign w:val="center"/>
          </w:tcPr>
          <w:p>
            <w:pPr>
              <w:pStyle w:val="TableContents"/>
              <w:spacing w:before="0" w:after="0"/>
              <w:ind w:left="0" w:right="0" w:hanging="0"/>
              <w:rPr/>
            </w:pPr>
            <w:r>
              <w:rPr/>
              <w:t> </w:t>
            </w:r>
          </w:p>
        </w:tc>
        <w:tc>
          <w:tcPr>
            <w:tcW w:w="9515" w:type="dxa"/>
            <w:tcBorders/>
            <w:shd w:fill="FFFFFF" w:val="clear"/>
            <w:vAlign w:val="center"/>
          </w:tcPr>
          <w:p>
            <w:pPr>
              <w:pStyle w:val="TableContents"/>
              <w:spacing w:before="0" w:after="0"/>
              <w:ind w:left="0" w:right="0" w:hanging="0"/>
              <w:jc w:val="both"/>
              <w:rPr/>
            </w:pPr>
            <w:r>
              <w:rPr/>
              <w:t> </w:t>
            </w:r>
          </w:p>
        </w:tc>
      </w:tr>
      <w:tr>
        <w:trPr/>
        <w:tc>
          <w:tcPr>
            <w:tcW w:w="600" w:type="dxa"/>
            <w:tcBorders/>
            <w:shd w:fill="CCEEFF"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101.LAB</w:t>
            </w:r>
          </w:p>
        </w:tc>
        <w:tc>
          <w:tcPr>
            <w:tcW w:w="90" w:type="dxa"/>
            <w:tcBorders/>
            <w:shd w:fill="CCEEFF" w:val="clear"/>
            <w:vAlign w:val="center"/>
          </w:tcPr>
          <w:p>
            <w:pPr>
              <w:pStyle w:val="TableContents"/>
              <w:spacing w:before="0" w:after="0"/>
              <w:ind w:left="0" w:right="0" w:hanging="0"/>
              <w:rPr/>
            </w:pPr>
            <w:r>
              <w:rPr/>
              <w:t> </w:t>
            </w:r>
          </w:p>
        </w:tc>
        <w:tc>
          <w:tcPr>
            <w:tcW w:w="9515" w:type="dxa"/>
            <w:tcBorders/>
            <w:shd w:fill="CCEEFF"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101.LAB XBRL Taxonomy Extension Label Linkbase.*</w:t>
            </w:r>
          </w:p>
        </w:tc>
      </w:tr>
      <w:tr>
        <w:trPr/>
        <w:tc>
          <w:tcPr>
            <w:tcW w:w="600" w:type="dxa"/>
            <w:tcBorders/>
            <w:shd w:fill="FFFFFF" w:val="clear"/>
            <w:vAlign w:val="center"/>
          </w:tcPr>
          <w:p>
            <w:pPr>
              <w:pStyle w:val="TableContents"/>
              <w:spacing w:before="0" w:after="0"/>
              <w:ind w:left="0" w:right="0" w:hanging="0"/>
              <w:jc w:val="both"/>
              <w:rPr/>
            </w:pPr>
            <w:r>
              <w:rPr/>
              <w:t> </w:t>
            </w:r>
          </w:p>
        </w:tc>
        <w:tc>
          <w:tcPr>
            <w:tcW w:w="90" w:type="dxa"/>
            <w:tcBorders/>
            <w:shd w:fill="FFFFFF" w:val="clear"/>
            <w:vAlign w:val="center"/>
          </w:tcPr>
          <w:p>
            <w:pPr>
              <w:pStyle w:val="TableContents"/>
              <w:spacing w:before="0" w:after="0"/>
              <w:ind w:left="0" w:right="0" w:hanging="0"/>
              <w:rPr/>
            </w:pPr>
            <w:r>
              <w:rPr/>
              <w:t> </w:t>
            </w:r>
          </w:p>
        </w:tc>
        <w:tc>
          <w:tcPr>
            <w:tcW w:w="9515" w:type="dxa"/>
            <w:tcBorders/>
            <w:shd w:fill="FFFFFF" w:val="clear"/>
            <w:vAlign w:val="center"/>
          </w:tcPr>
          <w:p>
            <w:pPr>
              <w:pStyle w:val="TableContents"/>
              <w:spacing w:before="0" w:after="0"/>
              <w:ind w:left="0" w:right="0" w:hanging="0"/>
              <w:jc w:val="both"/>
              <w:rPr/>
            </w:pPr>
            <w:r>
              <w:rPr/>
              <w:t> </w:t>
            </w:r>
          </w:p>
        </w:tc>
      </w:tr>
      <w:tr>
        <w:trPr/>
        <w:tc>
          <w:tcPr>
            <w:tcW w:w="600" w:type="dxa"/>
            <w:tcBorders/>
            <w:shd w:fill="CCEEFF"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101.PRE</w:t>
            </w:r>
          </w:p>
        </w:tc>
        <w:tc>
          <w:tcPr>
            <w:tcW w:w="90" w:type="dxa"/>
            <w:tcBorders/>
            <w:shd w:fill="CCEEFF" w:val="clear"/>
            <w:vAlign w:val="center"/>
          </w:tcPr>
          <w:p>
            <w:pPr>
              <w:pStyle w:val="TableContents"/>
              <w:spacing w:before="0" w:after="0"/>
              <w:ind w:left="0" w:right="0" w:hanging="0"/>
              <w:rPr/>
            </w:pPr>
            <w:r>
              <w:rPr/>
              <w:t> </w:t>
            </w:r>
          </w:p>
        </w:tc>
        <w:tc>
          <w:tcPr>
            <w:tcW w:w="9515" w:type="dxa"/>
            <w:tcBorders/>
            <w:shd w:fill="CCEEFF"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101.PRE XBRL Taxonomy Extension Presentation Linkbase.*</w:t>
            </w:r>
          </w:p>
        </w:tc>
      </w:tr>
    </w:tbl>
    <w:p>
      <w:pPr>
        <w:pStyle w:val="TextBody"/>
        <w:spacing w:before="0" w:after="0"/>
        <w:ind w:left="0" w:right="0" w:hanging="0"/>
        <w:rPr/>
      </w:pPr>
      <w:r>
        <w:rPr/>
        <w:t xml:space="preserve">  </w:t>
      </w:r>
    </w:p>
    <w:p>
      <w:pPr>
        <w:pStyle w:val="TextBody"/>
        <w:spacing w:before="0" w:after="0"/>
        <w:ind w:left="0" w:right="0" w:hanging="0"/>
        <w:jc w:val="both"/>
        <w:rPr>
          <w:rFonts w:ascii="times new roman" w:hAnsi="times new roman"/>
          <w:sz w:val="20"/>
        </w:rPr>
      </w:pPr>
      <w:r>
        <w:rPr>
          <w:rFonts w:ascii="times new roman" w:hAnsi="times new roman"/>
          <w:sz w:val="20"/>
        </w:rPr>
        <w:t>*Filed herewith</w:t>
      </w:r>
    </w:p>
    <w:p>
      <w:pPr>
        <w:pStyle w:val="TextBody"/>
        <w:spacing w:before="0" w:after="0"/>
        <w:ind w:left="0" w:right="0" w:hanging="0"/>
        <w:jc w:val="both"/>
        <w:rPr>
          <w:rFonts w:ascii="times new roman" w:hAnsi="times new roman"/>
          <w:sz w:val="20"/>
        </w:rPr>
      </w:pPr>
      <w:r>
        <w:rPr>
          <w:rFonts w:ascii="times new roman" w:hAnsi="times new roman"/>
          <w:sz w:val="20"/>
        </w:rPr>
        <w:t>**Furnished herewith</w:t>
      </w:r>
    </w:p>
    <w:p>
      <w:pPr>
        <w:pStyle w:val="TextBody"/>
        <w:spacing w:before="0" w:after="0"/>
        <w:ind w:left="0" w:right="0" w:hanging="0"/>
        <w:jc w:val="both"/>
        <w:rPr/>
      </w:pPr>
      <w:r>
        <w:rPr/>
        <w:t> </w:t>
      </w:r>
    </w:p>
    <w:p>
      <w:pPr>
        <w:pStyle w:val="TextBody"/>
        <w:spacing w:before="0" w:after="0"/>
        <w:ind w:left="0" w:right="0" w:hanging="0"/>
        <w:jc w:val="both"/>
        <w:rPr/>
      </w:pPr>
      <w:bookmarkStart w:id="26" w:name="i16"/>
      <w:bookmarkEnd w:id="26"/>
      <w:r>
        <w:rPr>
          <w:rStyle w:val="StrongEmphasis"/>
          <w:rFonts w:ascii="times new roman" w:hAnsi="times new roman"/>
          <w:sz w:val="20"/>
          <w:u w:val="single"/>
        </w:rPr>
        <w:t>ITEM 16.</w:t>
      </w:r>
      <w:r>
        <w:rPr>
          <w:rStyle w:val="StrongEmphasis"/>
          <w:rFonts w:ascii="times new roman" w:hAnsi="times new roman"/>
          <w:sz w:val="20"/>
        </w:rPr>
        <w:t> </w:t>
      </w:r>
      <w:r>
        <w:rPr>
          <w:rStyle w:val="StrongEmphasis"/>
          <w:rFonts w:ascii="times new roman" w:hAnsi="times new roman"/>
          <w:sz w:val="20"/>
          <w:u w:val="single"/>
        </w:rPr>
        <w:t>FORM 10-K SUMMARY.</w:t>
      </w:r>
    </w:p>
    <w:p>
      <w:pPr>
        <w:pStyle w:val="TextBody"/>
        <w:spacing w:before="0" w:after="0"/>
        <w:ind w:left="0" w:right="0" w:hanging="0"/>
        <w:jc w:val="both"/>
        <w:rPr/>
      </w:pPr>
      <w:r>
        <w:rPr/>
        <w:t> </w:t>
      </w:r>
    </w:p>
    <w:p>
      <w:pPr>
        <w:pStyle w:val="TextBody"/>
        <w:spacing w:before="0" w:after="0"/>
        <w:ind w:left="0" w:right="0" w:hanging="0"/>
        <w:jc w:val="both"/>
        <w:rPr/>
      </w:pPr>
      <w:r>
        <w:rPr/>
        <w:t> </w:t>
      </w:r>
      <w:r>
        <w:rPr>
          <w:rFonts w:ascii="times new roman" w:hAnsi="times new roman"/>
          <w:sz w:val="20"/>
        </w:rPr>
        <w:t>Not applicable.</w:t>
      </w:r>
      <w:r>
        <w:rPr>
          <w:rStyle w:val="StrongEmphasis"/>
          <w:rFonts w:ascii="times new roman" w:hAnsi="times new roman"/>
          <w:sz w:val="20"/>
          <w:u w:val="single"/>
        </w:rPr>
        <w:t xml:space="preserve">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77</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center"/>
        <w:rPr/>
      </w:pPr>
      <w:bookmarkStart w:id="27" w:name="sig"/>
      <w:bookmarkEnd w:id="27"/>
      <w:r>
        <w:rPr>
          <w:rStyle w:val="StrongEmphasis"/>
          <w:rFonts w:ascii="times new roman" w:hAnsi="times new roman"/>
          <w:sz w:val="20"/>
          <w:u w:val="single"/>
        </w:rPr>
        <w:t>SIGNATURES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Pursuant to the requirements of Section 13 or 15(d) of the Securities Exchange Act of 1934, the registrant has duly caused this report to be signed on its behalf by the undersigned, thereunto duly authorized.</w:t>
      </w:r>
    </w:p>
    <w:p>
      <w:pPr>
        <w:pStyle w:val="TextBody"/>
        <w:spacing w:before="0" w:after="0"/>
        <w:ind w:left="0" w:right="0" w:hanging="0"/>
        <w:jc w:val="both"/>
        <w:rPr/>
      </w:pPr>
      <w:r>
        <w:rPr/>
        <w:t> </w:t>
      </w:r>
    </w:p>
    <w:tbl>
      <w:tblPr>
        <w:tblW w:w="5034" w:type="dxa"/>
        <w:jc w:val="left"/>
        <w:tblInd w:w="0" w:type="dxa"/>
        <w:tblCellMar>
          <w:top w:w="0" w:type="dxa"/>
          <w:left w:w="0" w:type="dxa"/>
          <w:bottom w:w="0" w:type="dxa"/>
          <w:right w:w="0" w:type="dxa"/>
        </w:tblCellMar>
      </w:tblPr>
      <w:tblGrid>
        <w:gridCol w:w="1940"/>
        <w:gridCol w:w="446"/>
        <w:gridCol w:w="2513"/>
        <w:gridCol w:w="135"/>
      </w:tblGrid>
      <w:tr>
        <w:trPr/>
        <w:tc>
          <w:tcPr>
            <w:tcW w:w="1940" w:type="dxa"/>
            <w:tcBorders/>
            <w:shd w:fill="auto" w:val="clear"/>
            <w:vAlign w:val="center"/>
          </w:tcPr>
          <w:p>
            <w:pPr>
              <w:pStyle w:val="TableContents"/>
              <w:spacing w:before="0" w:after="0"/>
              <w:ind w:left="0" w:right="0" w:hanging="0"/>
              <w:jc w:val="both"/>
              <w:rPr/>
            </w:pPr>
            <w:r>
              <w:rPr/>
              <w:t> </w:t>
            </w:r>
          </w:p>
        </w:tc>
        <w:tc>
          <w:tcPr>
            <w:tcW w:w="2959" w:type="dxa"/>
            <w:gridSpan w:val="2"/>
            <w:tcBorders/>
            <w:shd w:fill="auto" w:val="clear"/>
            <w:vAlign w:val="center"/>
          </w:tcPr>
          <w:p>
            <w:pPr>
              <w:pStyle w:val="TableContents"/>
              <w:spacing w:before="0" w:after="0"/>
              <w:ind w:left="0" w:right="0" w:hanging="0"/>
              <w:rPr/>
            </w:pPr>
            <w:r>
              <w:rPr>
                <w:rStyle w:val="StrongEmphasis"/>
                <w:rFonts w:ascii="times new roman" w:hAnsi="times new roman"/>
                <w:sz w:val="20"/>
              </w:rPr>
              <w:t xml:space="preserve">KINGSTONE COMPANIES, INC. </w:t>
            </w:r>
          </w:p>
        </w:tc>
        <w:tc>
          <w:tcPr>
            <w:tcW w:w="135" w:type="dxa"/>
            <w:tcBorders/>
            <w:shd w:fill="auto" w:val="clear"/>
            <w:vAlign w:val="center"/>
          </w:tcPr>
          <w:p>
            <w:pPr>
              <w:pStyle w:val="TableContents"/>
              <w:spacing w:before="0" w:after="0"/>
              <w:ind w:left="0" w:right="0" w:hanging="0"/>
              <w:rPr/>
            </w:pPr>
            <w:r>
              <w:rPr/>
              <w:t> </w:t>
            </w:r>
          </w:p>
        </w:tc>
      </w:tr>
      <w:tr>
        <w:trPr/>
        <w:tc>
          <w:tcPr>
            <w:tcW w:w="1940" w:type="dxa"/>
            <w:tcBorders/>
            <w:shd w:fill="auto" w:val="clear"/>
            <w:vAlign w:val="center"/>
          </w:tcPr>
          <w:p>
            <w:pPr>
              <w:pStyle w:val="TableContents"/>
              <w:spacing w:before="0" w:after="0"/>
              <w:ind w:left="0" w:right="0" w:hanging="0"/>
              <w:rPr/>
            </w:pPr>
            <w:r>
              <w:rPr/>
              <w:t> </w:t>
            </w:r>
          </w:p>
        </w:tc>
        <w:tc>
          <w:tcPr>
            <w:tcW w:w="446" w:type="dxa"/>
            <w:tcBorders/>
            <w:shd w:fill="auto" w:val="clear"/>
            <w:vAlign w:val="center"/>
          </w:tcPr>
          <w:p>
            <w:pPr>
              <w:pStyle w:val="TableContents"/>
              <w:spacing w:before="0" w:after="0"/>
              <w:ind w:left="0" w:right="0" w:hanging="0"/>
              <w:rPr/>
            </w:pPr>
            <w:r>
              <w:rPr/>
              <w:t> </w:t>
            </w:r>
          </w:p>
        </w:tc>
        <w:tc>
          <w:tcPr>
            <w:tcW w:w="2513" w:type="dxa"/>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1940"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Dated: March 31, 2023</w:t>
            </w:r>
          </w:p>
        </w:tc>
        <w:tc>
          <w:tcPr>
            <w:tcW w:w="44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By:</w:t>
            </w:r>
          </w:p>
        </w:tc>
        <w:tc>
          <w:tcPr>
            <w:tcW w:w="2513" w:type="dxa"/>
            <w:tcBorders>
              <w:bottom w:val="single" w:sz="2" w:space="0" w:color="000000"/>
            </w:tcBorders>
            <w:shd w:fill="auto" w:val="clear"/>
            <w:tcMar>
              <w:bottom w:w="28"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/s/ Barry B. Goldstein</w:t>
            </w:r>
          </w:p>
        </w:tc>
        <w:tc>
          <w:tcPr>
            <w:tcW w:w="135" w:type="dxa"/>
            <w:tcBorders/>
            <w:shd w:fill="auto" w:val="clear"/>
            <w:vAlign w:val="center"/>
          </w:tcPr>
          <w:p>
            <w:pPr>
              <w:pStyle w:val="TableContents"/>
              <w:spacing w:before="0" w:after="0"/>
              <w:ind w:left="0" w:right="0" w:hanging="0"/>
              <w:rPr/>
            </w:pPr>
            <w:r>
              <w:rPr/>
              <w:t> </w:t>
            </w:r>
          </w:p>
        </w:tc>
      </w:tr>
      <w:tr>
        <w:trPr/>
        <w:tc>
          <w:tcPr>
            <w:tcW w:w="1940" w:type="dxa"/>
            <w:tcBorders/>
            <w:shd w:fill="auto" w:val="clear"/>
            <w:vAlign w:val="center"/>
          </w:tcPr>
          <w:p>
            <w:pPr>
              <w:pStyle w:val="TableContents"/>
              <w:spacing w:before="0" w:after="0"/>
              <w:ind w:left="0" w:right="0" w:hanging="0"/>
              <w:rPr/>
            </w:pPr>
            <w:r>
              <w:rPr/>
              <w:t> </w:t>
            </w:r>
          </w:p>
        </w:tc>
        <w:tc>
          <w:tcPr>
            <w:tcW w:w="446" w:type="dxa"/>
            <w:tcBorders/>
            <w:shd w:fill="auto" w:val="clear"/>
            <w:vAlign w:val="center"/>
          </w:tcPr>
          <w:p>
            <w:pPr>
              <w:pStyle w:val="TableContents"/>
              <w:spacing w:before="0" w:after="0"/>
              <w:ind w:left="0" w:right="0" w:hanging="0"/>
              <w:rPr/>
            </w:pPr>
            <w:r>
              <w:rPr/>
              <w:t> </w:t>
            </w:r>
          </w:p>
        </w:tc>
        <w:tc>
          <w:tcPr>
            <w:tcW w:w="251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Barry B. Goldstein</w:t>
            </w:r>
          </w:p>
        </w:tc>
        <w:tc>
          <w:tcPr>
            <w:tcW w:w="135" w:type="dxa"/>
            <w:tcBorders/>
            <w:shd w:fill="auto" w:val="clear"/>
            <w:vAlign w:val="center"/>
          </w:tcPr>
          <w:p>
            <w:pPr>
              <w:pStyle w:val="TableContents"/>
              <w:spacing w:before="0" w:after="0"/>
              <w:ind w:left="0" w:right="0" w:hanging="0"/>
              <w:rPr/>
            </w:pPr>
            <w:r>
              <w:rPr/>
              <w:t> </w:t>
            </w:r>
          </w:p>
        </w:tc>
      </w:tr>
      <w:tr>
        <w:trPr/>
        <w:tc>
          <w:tcPr>
            <w:tcW w:w="1940" w:type="dxa"/>
            <w:tcBorders/>
            <w:shd w:fill="auto" w:val="clear"/>
            <w:vAlign w:val="center"/>
          </w:tcPr>
          <w:p>
            <w:pPr>
              <w:pStyle w:val="TableContents"/>
              <w:spacing w:before="0" w:after="0"/>
              <w:ind w:left="0" w:right="0" w:hanging="0"/>
              <w:rPr/>
            </w:pPr>
            <w:r>
              <w:rPr/>
              <w:t> </w:t>
            </w:r>
          </w:p>
        </w:tc>
        <w:tc>
          <w:tcPr>
            <w:tcW w:w="446" w:type="dxa"/>
            <w:tcBorders/>
            <w:shd w:fill="auto" w:val="clear"/>
            <w:vAlign w:val="center"/>
          </w:tcPr>
          <w:p>
            <w:pPr>
              <w:pStyle w:val="TableContents"/>
              <w:spacing w:before="0" w:after="0"/>
              <w:ind w:left="0" w:right="0" w:hanging="0"/>
              <w:rPr/>
            </w:pPr>
            <w:r>
              <w:rPr/>
              <w:t> </w:t>
            </w:r>
          </w:p>
        </w:tc>
        <w:tc>
          <w:tcPr>
            <w:tcW w:w="251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Chief Executive Officer</w:t>
            </w:r>
          </w:p>
        </w:tc>
        <w:tc>
          <w:tcPr>
            <w:tcW w:w="135" w:type="dxa"/>
            <w:tcBorders/>
            <w:shd w:fill="auto"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Pursuant to the requirements of the Securities Exchange Act of 1934, this report has been signed below by the following persons on behalf of the registrant and in the capacities and on the dates indicated.</w:t>
      </w:r>
    </w:p>
    <w:p>
      <w:pPr>
        <w:pStyle w:val="TextBody"/>
        <w:spacing w:before="0" w:after="0"/>
        <w:ind w:left="0" w:right="0" w:hanging="0"/>
        <w:jc w:val="both"/>
        <w:rPr/>
      </w:pPr>
      <w:r>
        <w:rPr/>
        <w:t> </w:t>
      </w:r>
    </w:p>
    <w:tbl>
      <w:tblPr>
        <w:tblW w:w="10205" w:type="dxa"/>
        <w:jc w:val="left"/>
        <w:tblInd w:w="0" w:type="dxa"/>
        <w:tblCellMar>
          <w:top w:w="0" w:type="dxa"/>
          <w:left w:w="0" w:type="dxa"/>
          <w:bottom w:w="28" w:type="dxa"/>
          <w:right w:w="0" w:type="dxa"/>
        </w:tblCellMar>
      </w:tblPr>
      <w:tblGrid>
        <w:gridCol w:w="1794"/>
        <w:gridCol w:w="90"/>
        <w:gridCol w:w="7056"/>
        <w:gridCol w:w="90"/>
        <w:gridCol w:w="1175"/>
      </w:tblGrid>
      <w:tr>
        <w:trPr/>
        <w:tc>
          <w:tcPr>
            <w:tcW w:w="1794" w:type="dxa"/>
            <w:tcBorders>
              <w:bottom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Signature</w:t>
            </w:r>
          </w:p>
        </w:tc>
        <w:tc>
          <w:tcPr>
            <w:tcW w:w="90" w:type="dxa"/>
            <w:tcBorders/>
            <w:shd w:fill="auto" w:val="clear"/>
            <w:tcMar>
              <w:bottom w:w="0" w:type="dxa"/>
            </w:tcMar>
            <w:vAlign w:val="center"/>
          </w:tcPr>
          <w:p>
            <w:pPr>
              <w:pStyle w:val="TableContents"/>
              <w:spacing w:before="0" w:after="0"/>
              <w:ind w:left="0" w:right="0" w:hanging="0"/>
              <w:rPr/>
            </w:pPr>
            <w:r>
              <w:rPr/>
              <w:t> </w:t>
            </w:r>
          </w:p>
        </w:tc>
        <w:tc>
          <w:tcPr>
            <w:tcW w:w="7056" w:type="dxa"/>
            <w:tcBorders>
              <w:bottom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Capacity</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175" w:type="dxa"/>
            <w:tcBorders>
              <w:bottom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Date</w:t>
            </w:r>
          </w:p>
        </w:tc>
      </w:tr>
      <w:tr>
        <w:trPr/>
        <w:tc>
          <w:tcPr>
            <w:tcW w:w="1794"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7056"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175" w:type="dxa"/>
            <w:tcBorders/>
            <w:shd w:fill="auto" w:val="clear"/>
            <w:tcMar>
              <w:bottom w:w="0" w:type="dxa"/>
            </w:tcMar>
            <w:vAlign w:val="center"/>
          </w:tcPr>
          <w:p>
            <w:pPr>
              <w:pStyle w:val="TableContents"/>
              <w:spacing w:before="0" w:after="0"/>
              <w:ind w:left="0" w:right="0" w:hanging="0"/>
              <w:rPr/>
            </w:pPr>
            <w:r>
              <w:rPr/>
              <w:t> </w:t>
            </w:r>
          </w:p>
        </w:tc>
      </w:tr>
      <w:tr>
        <w:trPr/>
        <w:tc>
          <w:tcPr>
            <w:tcW w:w="1794" w:type="dxa"/>
            <w:tcBorders>
              <w:bottom w:val="single" w:sz="2" w:space="0" w:color="000000"/>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/s/ Barry B. Goldstein</w:t>
            </w:r>
          </w:p>
        </w:tc>
        <w:tc>
          <w:tcPr>
            <w:tcW w:w="90" w:type="dxa"/>
            <w:tcBorders/>
            <w:shd w:fill="auto" w:val="clear"/>
            <w:tcMar>
              <w:bottom w:w="0" w:type="dxa"/>
            </w:tcMar>
            <w:vAlign w:val="center"/>
          </w:tcPr>
          <w:p>
            <w:pPr>
              <w:pStyle w:val="TableContents"/>
              <w:spacing w:before="0" w:after="0"/>
              <w:ind w:left="0" w:right="0" w:hanging="0"/>
              <w:rPr/>
            </w:pPr>
            <w:r>
              <w:rPr/>
              <w:t> </w:t>
            </w:r>
          </w:p>
        </w:tc>
        <w:tc>
          <w:tcPr>
            <w:tcW w:w="7056"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Chief Executive Officer, President and Executive Chairman of the Board</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175"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March 31, 2023</w:t>
            </w:r>
          </w:p>
        </w:tc>
      </w:tr>
      <w:tr>
        <w:trPr/>
        <w:tc>
          <w:tcPr>
            <w:tcW w:w="1794"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Barry B. Goldstein</w:t>
            </w:r>
          </w:p>
        </w:tc>
        <w:tc>
          <w:tcPr>
            <w:tcW w:w="90" w:type="dxa"/>
            <w:tcBorders/>
            <w:shd w:fill="auto" w:val="clear"/>
            <w:tcMar>
              <w:bottom w:w="0" w:type="dxa"/>
            </w:tcMar>
            <w:vAlign w:val="center"/>
          </w:tcPr>
          <w:p>
            <w:pPr>
              <w:pStyle w:val="TableContents"/>
              <w:spacing w:before="0" w:after="0"/>
              <w:ind w:left="0" w:right="0" w:hanging="0"/>
              <w:rPr/>
            </w:pPr>
            <w:r>
              <w:rPr/>
              <w:t> </w:t>
            </w:r>
          </w:p>
        </w:tc>
        <w:tc>
          <w:tcPr>
            <w:tcW w:w="7056"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175" w:type="dxa"/>
            <w:tcBorders/>
            <w:shd w:fill="auto" w:val="clear"/>
            <w:tcMar>
              <w:bottom w:w="0" w:type="dxa"/>
            </w:tcMar>
            <w:vAlign w:val="center"/>
          </w:tcPr>
          <w:p>
            <w:pPr>
              <w:pStyle w:val="TableContents"/>
              <w:spacing w:before="0" w:after="0"/>
              <w:ind w:left="0" w:right="0" w:hanging="0"/>
              <w:rPr/>
            </w:pPr>
            <w:r>
              <w:rPr/>
              <w:t> </w:t>
            </w:r>
          </w:p>
        </w:tc>
      </w:tr>
      <w:tr>
        <w:trPr/>
        <w:tc>
          <w:tcPr>
            <w:tcW w:w="1794"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7056"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175" w:type="dxa"/>
            <w:tcBorders/>
            <w:shd w:fill="auto" w:val="clear"/>
            <w:tcMar>
              <w:bottom w:w="0" w:type="dxa"/>
            </w:tcMar>
            <w:vAlign w:val="center"/>
          </w:tcPr>
          <w:p>
            <w:pPr>
              <w:pStyle w:val="TableContents"/>
              <w:spacing w:before="0" w:after="0"/>
              <w:ind w:left="0" w:right="0" w:hanging="0"/>
              <w:rPr/>
            </w:pPr>
            <w:r>
              <w:rPr/>
              <w:t> </w:t>
            </w:r>
          </w:p>
        </w:tc>
      </w:tr>
      <w:tr>
        <w:trPr/>
        <w:tc>
          <w:tcPr>
            <w:tcW w:w="1794" w:type="dxa"/>
            <w:tcBorders>
              <w:bottom w:val="single" w:sz="2" w:space="0" w:color="000000"/>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/s/ Jennifer L. Gravelle</w:t>
            </w:r>
          </w:p>
        </w:tc>
        <w:tc>
          <w:tcPr>
            <w:tcW w:w="90" w:type="dxa"/>
            <w:tcBorders/>
            <w:shd w:fill="auto" w:val="clear"/>
            <w:tcMar>
              <w:bottom w:w="0" w:type="dxa"/>
            </w:tcMar>
            <w:vAlign w:val="center"/>
          </w:tcPr>
          <w:p>
            <w:pPr>
              <w:pStyle w:val="TableContents"/>
              <w:spacing w:before="0" w:after="0"/>
              <w:ind w:left="0" w:right="0" w:hanging="0"/>
              <w:rPr/>
            </w:pPr>
            <w:r>
              <w:rPr/>
              <w:t> </w:t>
            </w:r>
          </w:p>
        </w:tc>
        <w:tc>
          <w:tcPr>
            <w:tcW w:w="7056"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Vice President, Chief Financial Officer and Treasurer (Principal Financial Officer and Principal Accounting Officer)</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175"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March 31, 2023</w:t>
            </w:r>
          </w:p>
        </w:tc>
      </w:tr>
      <w:tr>
        <w:trPr/>
        <w:tc>
          <w:tcPr>
            <w:tcW w:w="1794"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Jennifer L. Gravelle</w:t>
            </w:r>
          </w:p>
        </w:tc>
        <w:tc>
          <w:tcPr>
            <w:tcW w:w="90" w:type="dxa"/>
            <w:tcBorders/>
            <w:shd w:fill="auto" w:val="clear"/>
            <w:tcMar>
              <w:bottom w:w="0" w:type="dxa"/>
            </w:tcMar>
            <w:vAlign w:val="center"/>
          </w:tcPr>
          <w:p>
            <w:pPr>
              <w:pStyle w:val="TableContents"/>
              <w:spacing w:before="0" w:after="0"/>
              <w:ind w:left="0" w:right="0" w:hanging="0"/>
              <w:rPr/>
            </w:pPr>
            <w:r>
              <w:rPr/>
              <w:t> </w:t>
            </w:r>
          </w:p>
        </w:tc>
        <w:tc>
          <w:tcPr>
            <w:tcW w:w="7056"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175" w:type="dxa"/>
            <w:tcBorders/>
            <w:shd w:fill="auto" w:val="clear"/>
            <w:tcMar>
              <w:bottom w:w="0" w:type="dxa"/>
            </w:tcMar>
            <w:vAlign w:val="center"/>
          </w:tcPr>
          <w:p>
            <w:pPr>
              <w:pStyle w:val="TableContents"/>
              <w:spacing w:before="0" w:after="0"/>
              <w:ind w:left="0" w:right="0" w:hanging="0"/>
              <w:rPr/>
            </w:pPr>
            <w:r>
              <w:rPr/>
              <w:t> </w:t>
            </w:r>
          </w:p>
        </w:tc>
      </w:tr>
      <w:tr>
        <w:trPr/>
        <w:tc>
          <w:tcPr>
            <w:tcW w:w="1794"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7056"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175" w:type="dxa"/>
            <w:tcBorders/>
            <w:shd w:fill="auto" w:val="clear"/>
            <w:tcMar>
              <w:bottom w:w="0" w:type="dxa"/>
            </w:tcMar>
            <w:vAlign w:val="center"/>
          </w:tcPr>
          <w:p>
            <w:pPr>
              <w:pStyle w:val="TableContents"/>
              <w:spacing w:before="0" w:after="0"/>
              <w:ind w:left="0" w:right="0" w:hanging="0"/>
              <w:rPr/>
            </w:pPr>
            <w:r>
              <w:rPr/>
              <w:t> </w:t>
            </w:r>
          </w:p>
        </w:tc>
      </w:tr>
      <w:tr>
        <w:trPr/>
        <w:tc>
          <w:tcPr>
            <w:tcW w:w="1794" w:type="dxa"/>
            <w:tcBorders>
              <w:bottom w:val="single" w:sz="2" w:space="0" w:color="000000"/>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/s/ Meryl S. Golden</w:t>
            </w:r>
          </w:p>
        </w:tc>
        <w:tc>
          <w:tcPr>
            <w:tcW w:w="90" w:type="dxa"/>
            <w:tcBorders/>
            <w:shd w:fill="auto" w:val="clear"/>
            <w:tcMar>
              <w:bottom w:w="0" w:type="dxa"/>
            </w:tcMar>
            <w:vAlign w:val="center"/>
          </w:tcPr>
          <w:p>
            <w:pPr>
              <w:pStyle w:val="TableContents"/>
              <w:spacing w:before="0" w:after="0"/>
              <w:ind w:left="0" w:right="0" w:hanging="0"/>
              <w:rPr/>
            </w:pPr>
            <w:r>
              <w:rPr/>
              <w:t> </w:t>
            </w:r>
          </w:p>
        </w:tc>
        <w:tc>
          <w:tcPr>
            <w:tcW w:w="7056"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Chief Operating Officer and Director</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175"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March 31, 2023</w:t>
            </w:r>
          </w:p>
        </w:tc>
      </w:tr>
      <w:tr>
        <w:trPr/>
        <w:tc>
          <w:tcPr>
            <w:tcW w:w="1794"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Meryl S. Golden</w:t>
            </w:r>
          </w:p>
        </w:tc>
        <w:tc>
          <w:tcPr>
            <w:tcW w:w="90" w:type="dxa"/>
            <w:tcBorders/>
            <w:shd w:fill="auto" w:val="clear"/>
            <w:tcMar>
              <w:bottom w:w="0" w:type="dxa"/>
            </w:tcMar>
            <w:vAlign w:val="center"/>
          </w:tcPr>
          <w:p>
            <w:pPr>
              <w:pStyle w:val="TableContents"/>
              <w:spacing w:before="0" w:after="0"/>
              <w:ind w:left="0" w:right="0" w:hanging="0"/>
              <w:rPr/>
            </w:pPr>
            <w:r>
              <w:rPr/>
              <w:t> </w:t>
            </w:r>
          </w:p>
        </w:tc>
        <w:tc>
          <w:tcPr>
            <w:tcW w:w="7056"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175" w:type="dxa"/>
            <w:tcBorders/>
            <w:shd w:fill="auto" w:val="clear"/>
            <w:tcMar>
              <w:bottom w:w="0" w:type="dxa"/>
            </w:tcMar>
            <w:vAlign w:val="center"/>
          </w:tcPr>
          <w:p>
            <w:pPr>
              <w:pStyle w:val="TableContents"/>
              <w:spacing w:before="0" w:after="0"/>
              <w:ind w:left="0" w:right="0" w:hanging="0"/>
              <w:rPr/>
            </w:pPr>
            <w:r>
              <w:rPr/>
              <w:t> </w:t>
            </w:r>
          </w:p>
        </w:tc>
      </w:tr>
      <w:tr>
        <w:trPr/>
        <w:tc>
          <w:tcPr>
            <w:tcW w:w="1794"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7056"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175" w:type="dxa"/>
            <w:tcBorders/>
            <w:shd w:fill="auto" w:val="clear"/>
            <w:tcMar>
              <w:bottom w:w="0" w:type="dxa"/>
            </w:tcMar>
            <w:vAlign w:val="center"/>
          </w:tcPr>
          <w:p>
            <w:pPr>
              <w:pStyle w:val="TableContents"/>
              <w:spacing w:before="0" w:after="0"/>
              <w:ind w:left="0" w:right="0" w:hanging="0"/>
              <w:rPr/>
            </w:pPr>
            <w:r>
              <w:rPr/>
              <w:t> </w:t>
            </w:r>
          </w:p>
        </w:tc>
      </w:tr>
      <w:tr>
        <w:trPr/>
        <w:tc>
          <w:tcPr>
            <w:tcW w:w="1794" w:type="dxa"/>
            <w:tcBorders>
              <w:bottom w:val="single" w:sz="2" w:space="0" w:color="000000"/>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/s/ Floyd R. Tupper</w:t>
            </w:r>
          </w:p>
        </w:tc>
        <w:tc>
          <w:tcPr>
            <w:tcW w:w="90" w:type="dxa"/>
            <w:tcBorders/>
            <w:shd w:fill="auto" w:val="clear"/>
            <w:tcMar>
              <w:bottom w:w="0" w:type="dxa"/>
            </w:tcMar>
            <w:vAlign w:val="center"/>
          </w:tcPr>
          <w:p>
            <w:pPr>
              <w:pStyle w:val="TableContents"/>
              <w:spacing w:before="0" w:after="0"/>
              <w:ind w:left="0" w:right="0" w:hanging="0"/>
              <w:rPr/>
            </w:pPr>
            <w:r>
              <w:rPr/>
              <w:t> </w:t>
            </w:r>
          </w:p>
        </w:tc>
        <w:tc>
          <w:tcPr>
            <w:tcW w:w="7056"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Director</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175"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March 31, 2023</w:t>
            </w:r>
          </w:p>
        </w:tc>
      </w:tr>
      <w:tr>
        <w:trPr/>
        <w:tc>
          <w:tcPr>
            <w:tcW w:w="1794"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Floyd R. Tupper</w:t>
            </w:r>
          </w:p>
        </w:tc>
        <w:tc>
          <w:tcPr>
            <w:tcW w:w="90" w:type="dxa"/>
            <w:tcBorders/>
            <w:shd w:fill="auto" w:val="clear"/>
            <w:tcMar>
              <w:bottom w:w="0" w:type="dxa"/>
            </w:tcMar>
            <w:vAlign w:val="center"/>
          </w:tcPr>
          <w:p>
            <w:pPr>
              <w:pStyle w:val="TableContents"/>
              <w:spacing w:before="0" w:after="0"/>
              <w:ind w:left="0" w:right="0" w:hanging="0"/>
              <w:rPr/>
            </w:pPr>
            <w:r>
              <w:rPr/>
              <w:t> </w:t>
            </w:r>
          </w:p>
        </w:tc>
        <w:tc>
          <w:tcPr>
            <w:tcW w:w="7056"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175" w:type="dxa"/>
            <w:tcBorders/>
            <w:shd w:fill="auto" w:val="clear"/>
            <w:tcMar>
              <w:bottom w:w="0" w:type="dxa"/>
            </w:tcMar>
            <w:vAlign w:val="center"/>
          </w:tcPr>
          <w:p>
            <w:pPr>
              <w:pStyle w:val="TableContents"/>
              <w:spacing w:before="0" w:after="0"/>
              <w:ind w:left="0" w:right="0" w:hanging="0"/>
              <w:rPr/>
            </w:pPr>
            <w:r>
              <w:rPr/>
              <w:t> </w:t>
            </w:r>
          </w:p>
        </w:tc>
      </w:tr>
      <w:tr>
        <w:trPr/>
        <w:tc>
          <w:tcPr>
            <w:tcW w:w="1794" w:type="dxa"/>
            <w:tcBorders/>
            <w:shd w:fill="auto" w:val="clear"/>
            <w:tcMar>
              <w:bottom w:w="0" w:type="dxa"/>
            </w:tcMar>
            <w:vAlign w:val="center"/>
          </w:tcPr>
          <w:p>
            <w:pPr>
              <w:pStyle w:val="TableContents"/>
              <w:spacing w:before="0" w:after="0"/>
              <w:ind w:left="0" w:right="0" w:hanging="0"/>
              <w:jc w:val="both"/>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7056"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175" w:type="dxa"/>
            <w:tcBorders/>
            <w:shd w:fill="auto" w:val="clear"/>
            <w:tcMar>
              <w:bottom w:w="0" w:type="dxa"/>
            </w:tcMar>
            <w:vAlign w:val="center"/>
          </w:tcPr>
          <w:p>
            <w:pPr>
              <w:pStyle w:val="TableContents"/>
              <w:spacing w:before="0" w:after="0"/>
              <w:ind w:left="0" w:right="0" w:hanging="0"/>
              <w:jc w:val="both"/>
              <w:rPr/>
            </w:pPr>
            <w:r>
              <w:rPr/>
              <w:t> </w:t>
            </w:r>
          </w:p>
        </w:tc>
      </w:tr>
      <w:tr>
        <w:trPr/>
        <w:tc>
          <w:tcPr>
            <w:tcW w:w="1794" w:type="dxa"/>
            <w:tcBorders>
              <w:bottom w:val="single" w:sz="2" w:space="0" w:color="000000"/>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/s/ William L. Yankus</w:t>
            </w:r>
          </w:p>
        </w:tc>
        <w:tc>
          <w:tcPr>
            <w:tcW w:w="90" w:type="dxa"/>
            <w:tcBorders/>
            <w:shd w:fill="auto" w:val="clear"/>
            <w:tcMar>
              <w:bottom w:w="0" w:type="dxa"/>
            </w:tcMar>
            <w:vAlign w:val="center"/>
          </w:tcPr>
          <w:p>
            <w:pPr>
              <w:pStyle w:val="TableContents"/>
              <w:spacing w:before="0" w:after="0"/>
              <w:ind w:left="0" w:right="0" w:hanging="0"/>
              <w:rPr/>
            </w:pPr>
            <w:r>
              <w:rPr/>
              <w:t> </w:t>
            </w:r>
          </w:p>
        </w:tc>
        <w:tc>
          <w:tcPr>
            <w:tcW w:w="7056"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Director</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175"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March 31, 2023</w:t>
            </w:r>
          </w:p>
        </w:tc>
      </w:tr>
      <w:tr>
        <w:trPr/>
        <w:tc>
          <w:tcPr>
            <w:tcW w:w="1794"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William L. Yankus</w:t>
            </w:r>
          </w:p>
        </w:tc>
        <w:tc>
          <w:tcPr>
            <w:tcW w:w="90" w:type="dxa"/>
            <w:tcBorders/>
            <w:shd w:fill="auto" w:val="clear"/>
            <w:tcMar>
              <w:bottom w:w="0" w:type="dxa"/>
            </w:tcMar>
            <w:vAlign w:val="center"/>
          </w:tcPr>
          <w:p>
            <w:pPr>
              <w:pStyle w:val="TableContents"/>
              <w:spacing w:before="0" w:after="0"/>
              <w:ind w:left="0" w:right="0" w:hanging="0"/>
              <w:rPr/>
            </w:pPr>
            <w:r>
              <w:rPr/>
              <w:t> </w:t>
            </w:r>
          </w:p>
        </w:tc>
        <w:tc>
          <w:tcPr>
            <w:tcW w:w="7056"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175" w:type="dxa"/>
            <w:tcBorders/>
            <w:shd w:fill="auto" w:val="clear"/>
            <w:tcMar>
              <w:bottom w:w="0" w:type="dxa"/>
            </w:tcMar>
            <w:vAlign w:val="center"/>
          </w:tcPr>
          <w:p>
            <w:pPr>
              <w:pStyle w:val="TableContents"/>
              <w:spacing w:before="0" w:after="0"/>
              <w:ind w:left="0" w:right="0" w:hanging="0"/>
              <w:rPr/>
            </w:pPr>
            <w:r>
              <w:rPr/>
              <w:t> </w:t>
            </w:r>
          </w:p>
        </w:tc>
      </w:tr>
      <w:tr>
        <w:trPr/>
        <w:tc>
          <w:tcPr>
            <w:tcW w:w="1794" w:type="dxa"/>
            <w:tcBorders/>
            <w:shd w:fill="auto" w:val="clear"/>
            <w:tcMar>
              <w:bottom w:w="0" w:type="dxa"/>
            </w:tcMar>
            <w:vAlign w:val="center"/>
          </w:tcPr>
          <w:p>
            <w:pPr>
              <w:pStyle w:val="TableContents"/>
              <w:spacing w:before="0" w:after="0"/>
              <w:ind w:left="0" w:right="0" w:hanging="0"/>
              <w:jc w:val="both"/>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7056"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175" w:type="dxa"/>
            <w:tcBorders/>
            <w:shd w:fill="auto" w:val="clear"/>
            <w:tcMar>
              <w:bottom w:w="0" w:type="dxa"/>
            </w:tcMar>
            <w:vAlign w:val="center"/>
          </w:tcPr>
          <w:p>
            <w:pPr>
              <w:pStyle w:val="TableContents"/>
              <w:spacing w:before="0" w:after="0"/>
              <w:ind w:left="0" w:right="0" w:hanging="0"/>
              <w:jc w:val="both"/>
              <w:rPr/>
            </w:pPr>
            <w:r>
              <w:rPr/>
              <w:t> </w:t>
            </w:r>
          </w:p>
        </w:tc>
      </w:tr>
      <w:tr>
        <w:trPr/>
        <w:tc>
          <w:tcPr>
            <w:tcW w:w="1794" w:type="dxa"/>
            <w:tcBorders>
              <w:bottom w:val="single" w:sz="2" w:space="0" w:color="000000"/>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/s/ Carla A. D’Andre</w:t>
            </w:r>
          </w:p>
        </w:tc>
        <w:tc>
          <w:tcPr>
            <w:tcW w:w="90" w:type="dxa"/>
            <w:tcBorders/>
            <w:shd w:fill="auto" w:val="clear"/>
            <w:tcMar>
              <w:bottom w:w="0" w:type="dxa"/>
            </w:tcMar>
            <w:vAlign w:val="center"/>
          </w:tcPr>
          <w:p>
            <w:pPr>
              <w:pStyle w:val="TableContents"/>
              <w:spacing w:before="0" w:after="0"/>
              <w:ind w:left="0" w:right="0" w:hanging="0"/>
              <w:rPr/>
            </w:pPr>
            <w:r>
              <w:rPr/>
              <w:t> </w:t>
            </w:r>
          </w:p>
        </w:tc>
        <w:tc>
          <w:tcPr>
            <w:tcW w:w="7056"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Director</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175"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March 31, 2023</w:t>
            </w:r>
          </w:p>
        </w:tc>
      </w:tr>
      <w:tr>
        <w:trPr/>
        <w:tc>
          <w:tcPr>
            <w:tcW w:w="1794"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Carla A. D’Andre</w:t>
            </w:r>
          </w:p>
        </w:tc>
        <w:tc>
          <w:tcPr>
            <w:tcW w:w="90" w:type="dxa"/>
            <w:tcBorders/>
            <w:shd w:fill="auto" w:val="clear"/>
            <w:tcMar>
              <w:bottom w:w="0" w:type="dxa"/>
            </w:tcMar>
            <w:vAlign w:val="center"/>
          </w:tcPr>
          <w:p>
            <w:pPr>
              <w:pStyle w:val="TableContents"/>
              <w:spacing w:before="0" w:after="0"/>
              <w:ind w:left="0" w:right="0" w:hanging="0"/>
              <w:rPr/>
            </w:pPr>
            <w:r>
              <w:rPr/>
              <w:t> </w:t>
            </w:r>
          </w:p>
        </w:tc>
        <w:tc>
          <w:tcPr>
            <w:tcW w:w="7056"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175" w:type="dxa"/>
            <w:tcBorders/>
            <w:shd w:fill="auto" w:val="clear"/>
            <w:tcMar>
              <w:bottom w:w="0" w:type="dxa"/>
            </w:tcMar>
            <w:vAlign w:val="center"/>
          </w:tcPr>
          <w:p>
            <w:pPr>
              <w:pStyle w:val="TableContents"/>
              <w:spacing w:before="0" w:after="0"/>
              <w:ind w:left="0" w:right="0" w:hanging="0"/>
              <w:rPr/>
            </w:pPr>
            <w:r>
              <w:rPr/>
              <w:t> </w:t>
            </w:r>
          </w:p>
        </w:tc>
      </w:tr>
      <w:tr>
        <w:trPr/>
        <w:tc>
          <w:tcPr>
            <w:tcW w:w="1794"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7056"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175" w:type="dxa"/>
            <w:tcBorders/>
            <w:shd w:fill="auto" w:val="clear"/>
            <w:tcMar>
              <w:bottom w:w="0" w:type="dxa"/>
            </w:tcMar>
            <w:vAlign w:val="center"/>
          </w:tcPr>
          <w:p>
            <w:pPr>
              <w:pStyle w:val="TableContents"/>
              <w:spacing w:before="0" w:after="0"/>
              <w:ind w:left="0" w:right="0" w:hanging="0"/>
              <w:rPr/>
            </w:pPr>
            <w:r>
              <w:rPr/>
              <w:t> </w:t>
            </w:r>
          </w:p>
        </w:tc>
      </w:tr>
      <w:tr>
        <w:trPr/>
        <w:tc>
          <w:tcPr>
            <w:tcW w:w="1794" w:type="dxa"/>
            <w:tcBorders>
              <w:bottom w:val="single" w:sz="2" w:space="0" w:color="000000"/>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/s/ Timothy P. McFadden</w:t>
            </w:r>
          </w:p>
        </w:tc>
        <w:tc>
          <w:tcPr>
            <w:tcW w:w="90" w:type="dxa"/>
            <w:tcBorders/>
            <w:shd w:fill="auto" w:val="clear"/>
            <w:tcMar>
              <w:bottom w:w="0" w:type="dxa"/>
            </w:tcMar>
            <w:vAlign w:val="center"/>
          </w:tcPr>
          <w:p>
            <w:pPr>
              <w:pStyle w:val="TableContents"/>
              <w:spacing w:before="0" w:after="0"/>
              <w:ind w:left="0" w:right="0" w:hanging="0"/>
              <w:rPr/>
            </w:pPr>
            <w:r>
              <w:rPr/>
              <w:t> </w:t>
            </w:r>
          </w:p>
        </w:tc>
        <w:tc>
          <w:tcPr>
            <w:tcW w:w="7056" w:type="dxa"/>
            <w:tcBorders/>
            <w:shd w:fill="auto" w:val="clear"/>
            <w:tcMar>
              <w:bottom w:w="0"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Director</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175"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March 31, 2023</w:t>
            </w:r>
          </w:p>
        </w:tc>
      </w:tr>
      <w:tr>
        <w:trPr/>
        <w:tc>
          <w:tcPr>
            <w:tcW w:w="1794" w:type="dxa"/>
            <w:tcBorders/>
            <w:shd w:fill="auto"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Timothy P. McFadden</w:t>
            </w:r>
          </w:p>
        </w:tc>
        <w:tc>
          <w:tcPr>
            <w:tcW w:w="90" w:type="dxa"/>
            <w:tcBorders/>
            <w:shd w:fill="auto" w:val="clear"/>
            <w:tcMar>
              <w:bottom w:w="0" w:type="dxa"/>
            </w:tcMar>
            <w:vAlign w:val="center"/>
          </w:tcPr>
          <w:p>
            <w:pPr>
              <w:pStyle w:val="TableContents"/>
              <w:spacing w:before="0" w:after="0"/>
              <w:ind w:left="0" w:right="0" w:hanging="0"/>
              <w:rPr/>
            </w:pPr>
            <w:r>
              <w:rPr/>
              <w:t> </w:t>
            </w:r>
          </w:p>
        </w:tc>
        <w:tc>
          <w:tcPr>
            <w:tcW w:w="7056"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175" w:type="dxa"/>
            <w:tcBorders/>
            <w:shd w:fill="auto" w:val="clear"/>
            <w:tcMar>
              <w:bottom w:w="0" w:type="dxa"/>
            </w:tcM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78</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center"/>
        <w:rPr/>
      </w:pPr>
      <w:bookmarkStart w:id="28" w:name="toc1"/>
      <w:bookmarkEnd w:id="28"/>
      <w:r>
        <w:rPr>
          <w:rStyle w:val="StrongEmphasis"/>
          <w:rFonts w:ascii="times new roman" w:hAnsi="times new roman"/>
          <w:sz w:val="20"/>
        </w:rPr>
        <w:t>Index to Consolidated Financial Statements</w:t>
      </w:r>
      <w:r>
        <w:rPr>
          <w:rFonts w:ascii="times new roman" w:hAnsi="times new roman"/>
          <w:sz w:val="20"/>
        </w:rPr>
        <w:t xml:space="preserve"> </w:t>
      </w:r>
    </w:p>
    <w:p>
      <w:pPr>
        <w:pStyle w:val="TextBody"/>
        <w:spacing w:before="0" w:after="0"/>
        <w:ind w:left="0" w:right="0" w:hanging="0"/>
        <w:jc w:val="center"/>
        <w:rPr/>
      </w:pPr>
      <w:r>
        <w:rPr/>
        <w:t> </w:t>
      </w:r>
    </w:p>
    <w:tbl>
      <w:tblPr>
        <w:tblW w:w="10205" w:type="dxa"/>
        <w:jc w:val="left"/>
        <w:tblInd w:w="0" w:type="dxa"/>
        <w:tblCellMar>
          <w:top w:w="0" w:type="dxa"/>
          <w:left w:w="0" w:type="dxa"/>
          <w:bottom w:w="0" w:type="dxa"/>
          <w:right w:w="0" w:type="dxa"/>
        </w:tblCellMar>
      </w:tblPr>
      <w:tblGrid>
        <w:gridCol w:w="9225"/>
        <w:gridCol w:w="90"/>
        <w:gridCol w:w="754"/>
        <w:gridCol w:w="136"/>
      </w:tblGrid>
      <w:tr>
        <w:trPr/>
        <w:tc>
          <w:tcPr>
            <w:tcW w:w="92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54"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Page</w:t>
            </w:r>
          </w:p>
        </w:tc>
        <w:tc>
          <w:tcPr>
            <w:tcW w:w="136" w:type="dxa"/>
            <w:tcBorders/>
            <w:shd w:fill="auto" w:val="clear"/>
            <w:vAlign w:val="center"/>
          </w:tcPr>
          <w:p>
            <w:pPr>
              <w:pStyle w:val="TableContents"/>
              <w:spacing w:before="0" w:after="0"/>
              <w:ind w:left="0" w:right="0" w:hanging="0"/>
              <w:rPr/>
            </w:pPr>
            <w:r>
              <w:rPr/>
              <w:t> </w:t>
            </w:r>
          </w:p>
        </w:tc>
      </w:tr>
      <w:tr>
        <w:trPr/>
        <w:tc>
          <w:tcPr>
            <w:tcW w:w="9225" w:type="dxa"/>
            <w:tcBorders/>
            <w:shd w:fill="CCEEFF" w:val="clear"/>
            <w:vAlign w:val="center"/>
          </w:tcPr>
          <w:p>
            <w:pPr>
              <w:pStyle w:val="TableContents"/>
              <w:spacing w:before="0" w:after="0"/>
              <w:ind w:left="0" w:right="0" w:hanging="0"/>
              <w:rPr/>
            </w:pPr>
            <w:hyperlink w:anchor="re">
              <w:r>
                <w:rPr>
                  <w:rStyle w:val="InternetLink"/>
                  <w:rFonts w:ascii="times new roman" w:hAnsi="times new roman"/>
                  <w:sz w:val="20"/>
                </w:rPr>
                <w:t>Report of Independent Registered Public Accounting Firm</w:t>
              </w:r>
            </w:hyperlink>
          </w:p>
        </w:tc>
        <w:tc>
          <w:tcPr>
            <w:tcW w:w="90" w:type="dxa"/>
            <w:tcBorders/>
            <w:shd w:fill="CCEEFF" w:val="clear"/>
            <w:vAlign w:val="center"/>
          </w:tcPr>
          <w:p>
            <w:pPr>
              <w:pStyle w:val="TableContents"/>
              <w:spacing w:before="0" w:after="0"/>
              <w:ind w:left="0" w:right="0" w:hanging="0"/>
              <w:rPr/>
            </w:pPr>
            <w:r>
              <w:rPr/>
              <w:t> </w:t>
            </w:r>
          </w:p>
        </w:tc>
        <w:tc>
          <w:tcPr>
            <w:tcW w:w="754"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F-2</w:t>
            </w:r>
          </w:p>
        </w:tc>
        <w:tc>
          <w:tcPr>
            <w:tcW w:w="136" w:type="dxa"/>
            <w:tcBorders/>
            <w:shd w:fill="CCEEFF" w:val="clear"/>
            <w:vAlign w:val="center"/>
          </w:tcPr>
          <w:p>
            <w:pPr>
              <w:pStyle w:val="TableContents"/>
              <w:spacing w:before="0" w:after="0"/>
              <w:ind w:left="0" w:right="0" w:hanging="0"/>
              <w:rPr/>
            </w:pPr>
            <w:r>
              <w:rPr/>
              <w:t> </w:t>
            </w:r>
          </w:p>
        </w:tc>
      </w:tr>
      <w:tr>
        <w:trPr/>
        <w:tc>
          <w:tcPr>
            <w:tcW w:w="9225" w:type="dxa"/>
            <w:tcBorders/>
            <w:shd w:fill="FFFFFF" w:val="clear"/>
            <w:vAlign w:val="center"/>
          </w:tcPr>
          <w:p>
            <w:pPr>
              <w:pStyle w:val="TableContents"/>
              <w:spacing w:before="0" w:after="0"/>
              <w:ind w:left="0" w:right="0" w:hanging="0"/>
              <w:rPr/>
            </w:pPr>
            <w:hyperlink w:anchor="bs">
              <w:r>
                <w:rPr>
                  <w:rStyle w:val="InternetLink"/>
                  <w:rFonts w:ascii="times new roman" w:hAnsi="times new roman"/>
                  <w:sz w:val="20"/>
                </w:rPr>
                <w:t>Consolidated Balance Sheets as of December 31, 2022 and 2021</w:t>
              </w:r>
            </w:hyperlink>
          </w:p>
        </w:tc>
        <w:tc>
          <w:tcPr>
            <w:tcW w:w="90" w:type="dxa"/>
            <w:tcBorders/>
            <w:shd w:fill="FFFFFF" w:val="clear"/>
            <w:vAlign w:val="center"/>
          </w:tcPr>
          <w:p>
            <w:pPr>
              <w:pStyle w:val="TableContents"/>
              <w:spacing w:before="0" w:after="0"/>
              <w:ind w:left="0" w:right="0" w:hanging="0"/>
              <w:rPr/>
            </w:pPr>
            <w:r>
              <w:rPr/>
              <w:t> </w:t>
            </w:r>
          </w:p>
        </w:tc>
        <w:tc>
          <w:tcPr>
            <w:tcW w:w="754" w:type="dxa"/>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F-4</w:t>
            </w:r>
          </w:p>
        </w:tc>
        <w:tc>
          <w:tcPr>
            <w:tcW w:w="136" w:type="dxa"/>
            <w:tcBorders/>
            <w:shd w:fill="FFFFFF" w:val="clear"/>
            <w:vAlign w:val="center"/>
          </w:tcPr>
          <w:p>
            <w:pPr>
              <w:pStyle w:val="TableContents"/>
              <w:spacing w:before="0" w:after="0"/>
              <w:ind w:left="0" w:right="0" w:hanging="0"/>
              <w:rPr/>
            </w:pPr>
            <w:r>
              <w:rPr/>
              <w:t> </w:t>
            </w:r>
          </w:p>
        </w:tc>
      </w:tr>
      <w:tr>
        <w:trPr/>
        <w:tc>
          <w:tcPr>
            <w:tcW w:w="9225" w:type="dxa"/>
            <w:tcBorders/>
            <w:shd w:fill="CCEEFF" w:val="clear"/>
            <w:vAlign w:val="center"/>
          </w:tcPr>
          <w:p>
            <w:pPr>
              <w:pStyle w:val="TableContents"/>
              <w:spacing w:before="0" w:after="0"/>
              <w:ind w:left="0" w:right="0" w:hanging="0"/>
              <w:rPr/>
            </w:pPr>
            <w:hyperlink w:anchor="so">
              <w:r>
                <w:rPr>
                  <w:rStyle w:val="InternetLink"/>
                  <w:rFonts w:ascii="times new roman" w:hAnsi="times new roman"/>
                  <w:sz w:val="20"/>
                </w:rPr>
                <w:t>Consolidated Statements of Operations and Comprehensive Income (Loss) for the years ended December 31, 2022 and 2021</w:t>
              </w:r>
            </w:hyperlink>
          </w:p>
        </w:tc>
        <w:tc>
          <w:tcPr>
            <w:tcW w:w="90" w:type="dxa"/>
            <w:tcBorders/>
            <w:shd w:fill="CCEEFF" w:val="clear"/>
            <w:vAlign w:val="center"/>
          </w:tcPr>
          <w:p>
            <w:pPr>
              <w:pStyle w:val="TableContents"/>
              <w:spacing w:before="0" w:after="0"/>
              <w:ind w:left="0" w:right="0" w:hanging="0"/>
              <w:rPr/>
            </w:pPr>
            <w:r>
              <w:rPr/>
              <w:t> </w:t>
            </w:r>
          </w:p>
        </w:tc>
        <w:tc>
          <w:tcPr>
            <w:tcW w:w="754"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F-5</w:t>
            </w:r>
          </w:p>
        </w:tc>
        <w:tc>
          <w:tcPr>
            <w:tcW w:w="136" w:type="dxa"/>
            <w:tcBorders/>
            <w:shd w:fill="CCEEFF" w:val="clear"/>
            <w:vAlign w:val="center"/>
          </w:tcPr>
          <w:p>
            <w:pPr>
              <w:pStyle w:val="TableContents"/>
              <w:spacing w:before="0" w:after="0"/>
              <w:ind w:left="0" w:right="0" w:hanging="0"/>
              <w:rPr/>
            </w:pPr>
            <w:r>
              <w:rPr/>
              <w:t> </w:t>
            </w:r>
          </w:p>
        </w:tc>
      </w:tr>
      <w:tr>
        <w:trPr/>
        <w:tc>
          <w:tcPr>
            <w:tcW w:w="9225" w:type="dxa"/>
            <w:tcBorders/>
            <w:shd w:fill="FFFFFF" w:val="clear"/>
            <w:vAlign w:val="center"/>
          </w:tcPr>
          <w:p>
            <w:pPr>
              <w:pStyle w:val="TableContents"/>
              <w:spacing w:before="0" w:after="0"/>
              <w:ind w:left="0" w:right="0" w:hanging="0"/>
              <w:rPr/>
            </w:pPr>
            <w:hyperlink w:anchor="she">
              <w:r>
                <w:rPr>
                  <w:rStyle w:val="InternetLink"/>
                  <w:rFonts w:ascii="times new roman" w:hAnsi="times new roman"/>
                  <w:sz w:val="20"/>
                </w:rPr>
                <w:t>Consolidated Statements of Stockholders’ Equity for the years ended December 31, 2022 and 2021</w:t>
              </w:r>
            </w:hyperlink>
          </w:p>
        </w:tc>
        <w:tc>
          <w:tcPr>
            <w:tcW w:w="90" w:type="dxa"/>
            <w:tcBorders/>
            <w:shd w:fill="FFFFFF" w:val="clear"/>
            <w:vAlign w:val="center"/>
          </w:tcPr>
          <w:p>
            <w:pPr>
              <w:pStyle w:val="TableContents"/>
              <w:spacing w:before="0" w:after="0"/>
              <w:ind w:left="0" w:right="0" w:hanging="0"/>
              <w:rPr/>
            </w:pPr>
            <w:r>
              <w:rPr/>
              <w:t> </w:t>
            </w:r>
          </w:p>
        </w:tc>
        <w:tc>
          <w:tcPr>
            <w:tcW w:w="754" w:type="dxa"/>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F-6</w:t>
            </w:r>
          </w:p>
        </w:tc>
        <w:tc>
          <w:tcPr>
            <w:tcW w:w="136" w:type="dxa"/>
            <w:tcBorders/>
            <w:shd w:fill="FFFFFF" w:val="clear"/>
            <w:vAlign w:val="center"/>
          </w:tcPr>
          <w:p>
            <w:pPr>
              <w:pStyle w:val="TableContents"/>
              <w:spacing w:before="0" w:after="0"/>
              <w:ind w:left="0" w:right="0" w:hanging="0"/>
              <w:rPr/>
            </w:pPr>
            <w:r>
              <w:rPr/>
              <w:t> </w:t>
            </w:r>
          </w:p>
        </w:tc>
      </w:tr>
      <w:tr>
        <w:trPr/>
        <w:tc>
          <w:tcPr>
            <w:tcW w:w="9225" w:type="dxa"/>
            <w:tcBorders/>
            <w:shd w:fill="CCEEFF" w:val="clear"/>
            <w:vAlign w:val="center"/>
          </w:tcPr>
          <w:p>
            <w:pPr>
              <w:pStyle w:val="TableContents"/>
              <w:spacing w:before="0" w:after="0"/>
              <w:ind w:left="0" w:right="0" w:hanging="0"/>
              <w:rPr/>
            </w:pPr>
            <w:hyperlink w:anchor="she">
              <w:r>
                <w:rPr>
                  <w:rStyle w:val="InternetLink"/>
                  <w:rFonts w:ascii="times new roman" w:hAnsi="times new roman"/>
                  <w:sz w:val="20"/>
                </w:rPr>
                <w:t>Consolidated Statements of Cash Flows for the years ended December 31, 2022 and 2021</w:t>
              </w:r>
            </w:hyperlink>
          </w:p>
        </w:tc>
        <w:tc>
          <w:tcPr>
            <w:tcW w:w="90" w:type="dxa"/>
            <w:tcBorders/>
            <w:shd w:fill="CCEEFF" w:val="clear"/>
            <w:vAlign w:val="center"/>
          </w:tcPr>
          <w:p>
            <w:pPr>
              <w:pStyle w:val="TableContents"/>
              <w:spacing w:before="0" w:after="0"/>
              <w:ind w:left="0" w:right="0" w:hanging="0"/>
              <w:rPr/>
            </w:pPr>
            <w:r>
              <w:rPr/>
              <w:t> </w:t>
            </w:r>
          </w:p>
        </w:tc>
        <w:tc>
          <w:tcPr>
            <w:tcW w:w="754"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F-7 – F-8</w:t>
            </w:r>
          </w:p>
        </w:tc>
        <w:tc>
          <w:tcPr>
            <w:tcW w:w="136" w:type="dxa"/>
            <w:tcBorders/>
            <w:shd w:fill="CCEEFF" w:val="clear"/>
            <w:vAlign w:val="center"/>
          </w:tcPr>
          <w:p>
            <w:pPr>
              <w:pStyle w:val="TableContents"/>
              <w:spacing w:before="0" w:after="0"/>
              <w:ind w:left="0" w:right="0" w:hanging="0"/>
              <w:rPr/>
            </w:pPr>
            <w:r>
              <w:rPr/>
              <w:t> </w:t>
            </w:r>
          </w:p>
        </w:tc>
      </w:tr>
      <w:tr>
        <w:trPr/>
        <w:tc>
          <w:tcPr>
            <w:tcW w:w="9225" w:type="dxa"/>
            <w:tcBorders/>
            <w:shd w:fill="FFFFFF" w:val="clear"/>
            <w:vAlign w:val="center"/>
          </w:tcPr>
          <w:p>
            <w:pPr>
              <w:pStyle w:val="TableContents"/>
              <w:spacing w:before="0" w:after="0"/>
              <w:ind w:left="0" w:right="0" w:hanging="0"/>
              <w:rPr/>
            </w:pPr>
            <w:hyperlink w:anchor="note">
              <w:r>
                <w:rPr>
                  <w:rStyle w:val="InternetLink"/>
                  <w:rFonts w:ascii="times new roman" w:hAnsi="times new roman"/>
                  <w:sz w:val="20"/>
                </w:rPr>
                <w:t>Notes to Consolidated Financial Statements</w:t>
              </w:r>
            </w:hyperlink>
          </w:p>
        </w:tc>
        <w:tc>
          <w:tcPr>
            <w:tcW w:w="90" w:type="dxa"/>
            <w:tcBorders/>
            <w:shd w:fill="FFFFFF" w:val="clear"/>
            <w:vAlign w:val="center"/>
          </w:tcPr>
          <w:p>
            <w:pPr>
              <w:pStyle w:val="TableContents"/>
              <w:spacing w:before="0" w:after="0"/>
              <w:ind w:left="0" w:right="0" w:hanging="0"/>
              <w:rPr/>
            </w:pPr>
            <w:r>
              <w:rPr/>
              <w:t> </w:t>
            </w:r>
          </w:p>
        </w:tc>
        <w:tc>
          <w:tcPr>
            <w:tcW w:w="754" w:type="dxa"/>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F-9</w:t>
            </w:r>
          </w:p>
        </w:tc>
        <w:tc>
          <w:tcPr>
            <w:tcW w:w="136" w:type="dxa"/>
            <w:tcBorders/>
            <w:shd w:fill="FFFFFF" w:val="clear"/>
            <w:vAlign w:val="center"/>
          </w:tcPr>
          <w:p>
            <w:pPr>
              <w:pStyle w:val="TableContents"/>
              <w:spacing w:before="0" w:after="0"/>
              <w:ind w:left="0" w:right="0" w:hanging="0"/>
              <w:rPr/>
            </w:pPr>
            <w:r>
              <w:rPr/>
              <w:t> </w:t>
            </w:r>
          </w:p>
        </w:tc>
      </w:tr>
    </w:tbl>
    <w:p>
      <w:pPr>
        <w:pStyle w:val="TextBody"/>
        <w:spacing w:before="0" w:after="0"/>
        <w:ind w:left="0" w:right="0" w:hanging="0"/>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F-1</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center"/>
        <w:rPr/>
      </w:pPr>
      <w:bookmarkStart w:id="29" w:name="re"/>
      <w:bookmarkEnd w:id="29"/>
      <w:r>
        <w:rPr>
          <w:rStyle w:val="StrongEmphasis"/>
          <w:rFonts w:ascii="times new roman" w:hAnsi="times new roman"/>
          <w:sz w:val="20"/>
        </w:rPr>
        <w:t>REPORT OF INDEPENDENT REGISTERED PUBLIC ACCOUNTING FIRM (PCAOB - 688)</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To the Stockholders and Board of Directors of</w:t>
      </w:r>
    </w:p>
    <w:p>
      <w:pPr>
        <w:pStyle w:val="TextBody"/>
        <w:spacing w:before="0" w:after="0"/>
        <w:ind w:left="0" w:right="0" w:hanging="0"/>
        <w:jc w:val="both"/>
        <w:rPr/>
      </w:pPr>
      <w:r>
        <w:rPr>
          <w:rStyle w:val="StrongEmphasis"/>
          <w:rFonts w:ascii="times new roman" w:hAnsi="times new roman"/>
          <w:sz w:val="20"/>
        </w:rPr>
        <w:t>Kingstone Companies, Inc.</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Opinion on the Financial Statements</w:t>
      </w:r>
    </w:p>
    <w:p>
      <w:pPr>
        <w:pStyle w:val="TextBody"/>
        <w:spacing w:before="0" w:after="0"/>
        <w:ind w:left="0" w:right="0" w:hanging="0"/>
        <w:jc w:val="both"/>
        <w:rPr/>
      </w:pPr>
      <w:r>
        <w:rPr/>
        <w:t> </w:t>
      </w:r>
    </w:p>
    <w:p>
      <w:pPr>
        <w:pStyle w:val="TextBody"/>
        <w:spacing w:before="0" w:after="0"/>
        <w:ind w:left="0" w:right="0" w:hanging="0"/>
        <w:jc w:val="both"/>
        <w:rPr/>
      </w:pPr>
      <w:r>
        <w:rPr>
          <w:rFonts w:ascii="times new roman" w:hAnsi="times new roman"/>
          <w:sz w:val="20"/>
        </w:rPr>
        <w:t>We have audited the accompanying consolidated balance sheets of Kingstone Companies, Inc.  (the “Company”) as of December 31, 2022 and 2021, the related consolidated statements of operations and comprehensive income (loss), stockholders’ equity and cash flows for each of the two years in the period ended December 31, 2022, and the related notes</w:t>
      </w:r>
      <w:r>
        <w:rPr>
          <w:rStyle w:val="StrongEmphasis"/>
          <w:rFonts w:ascii="times new roman" w:hAnsi="times new roman"/>
          <w:sz w:val="20"/>
        </w:rPr>
        <w:t xml:space="preserve"> </w:t>
      </w:r>
      <w:r>
        <w:rPr>
          <w:rFonts w:ascii="times new roman" w:hAnsi="times new roman"/>
          <w:sz w:val="20"/>
        </w:rPr>
        <w:t>(collectively referred to as the “financial statements”).  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pStyle w:val="TextBody"/>
        <w:spacing w:before="0" w:after="0"/>
        <w:ind w:left="0" w:right="0" w:hanging="0"/>
        <w:jc w:val="both"/>
        <w:rPr/>
      </w:pPr>
      <w:r>
        <w:rPr/>
        <w:t> </w:t>
      </w:r>
    </w:p>
    <w:p>
      <w:pPr>
        <w:pStyle w:val="TextBody"/>
        <w:spacing w:before="0" w:after="0"/>
        <w:ind w:left="0" w:right="0" w:hanging="0"/>
        <w:rPr/>
      </w:pPr>
      <w:r>
        <w:rPr>
          <w:rStyle w:val="StrongEmphasis"/>
          <w:rFonts w:ascii="times new roman" w:hAnsi="times new roman"/>
          <w:sz w:val="20"/>
        </w:rPr>
        <w:t>Basis for Opinion</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before="0" w:after="0"/>
        <w:ind w:left="0" w:right="0" w:hanging="0"/>
        <w:rPr/>
      </w:pPr>
      <w:r>
        <w:rPr/>
        <w:t> </w:t>
      </w:r>
    </w:p>
    <w:p>
      <w:pPr>
        <w:pStyle w:val="TextBody"/>
        <w:spacing w:before="0" w:after="0"/>
        <w:ind w:left="0" w:right="0" w:hanging="0"/>
        <w:rPr/>
      </w:pPr>
      <w:r>
        <w:rPr>
          <w:rStyle w:val="StrongEmphasis"/>
          <w:rFonts w:ascii="times new roman" w:hAnsi="times new roman"/>
          <w:sz w:val="20"/>
        </w:rPr>
        <w:t>Critical Audit Matter</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a critical audit matter does not alter in any way our opinion on the financial statements, taken as a whole, and we are not, by communicating the critical audit matter below, providing separate opinions on the critical audit matter or on the accounts or disclosures to which it relates.</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F-2</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both"/>
        <w:rPr/>
      </w:pPr>
      <w:r>
        <w:rPr>
          <w:rStyle w:val="StrongEmphasis"/>
          <w:rFonts w:ascii="times new roman" w:hAnsi="times new roman"/>
          <w:sz w:val="20"/>
        </w:rPr>
        <w:t>Evaluation of the Estimate of Loss and Loss Adjustment Expense (“LAE”) Reserves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discussed in Notes 2 and 11 to the financial statements, the loss and LAE reserves represent the Company’s estimate of the ultimate liability for unpaid losses. These reserves are based on facts and circumstances then known and include provisions for claims that have been reported and claims that have been incurred but not reported (“IBNR”).  The projection of future claim payments and reporting is based on analyses of the Company’s historical experience, supplemented by analyses of industry loss data.  At December 31, 2022, the Company’s loss and LAE reserves balance was approximately $118.3 million.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Due to the significance of the reserves to the Company’s financial statements and the inherent judgment necessary to estimate reserves, we determined that the liability for loss and LAE reserves was a critical audit matter, which required significant auditor judgment and specialized skill and knowledge.</w:t>
      </w:r>
    </w:p>
    <w:p>
      <w:pPr>
        <w:pStyle w:val="TextBody"/>
        <w:spacing w:before="0" w:after="0"/>
        <w:ind w:left="0" w:right="0" w:hanging="0"/>
        <w:rPr/>
      </w:pPr>
      <w:r>
        <w:rPr/>
        <w:t>  </w:t>
      </w:r>
    </w:p>
    <w:p>
      <w:pPr>
        <w:pStyle w:val="TextBody"/>
        <w:spacing w:before="0" w:after="0"/>
        <w:ind w:left="0" w:right="0" w:hanging="0"/>
        <w:jc w:val="both"/>
        <w:rPr/>
      </w:pPr>
      <w:r>
        <w:rPr>
          <w:rStyle w:val="StrongEmphasis"/>
          <w:rFonts w:ascii="times new roman" w:hAnsi="times new roman"/>
          <w:sz w:val="20"/>
        </w:rPr>
        <w:t>How the Critical Audit Matter Was Addressed in the Audit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primary procedures we performed to address the Company’s loss and LAE reserves included, but were not limited to, testing the Company’s reserving process, including the actuarial analyses and the determination of the Company’s estimate of the loss and LAE reserves as follows:</w:t>
      </w:r>
    </w:p>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105"/>
        <w:gridCol w:w="540"/>
        <w:gridCol w:w="9560"/>
      </w:tblGrid>
      <w:tr>
        <w:trPr/>
        <w:tc>
          <w:tcPr>
            <w:tcW w:w="105" w:type="dxa"/>
            <w:tcBorders/>
            <w:shd w:fill="auto" w:val="clear"/>
            <w:vAlign w:val="center"/>
          </w:tcPr>
          <w:p>
            <w:pPr>
              <w:pStyle w:val="TableContents"/>
              <w:spacing w:before="0" w:after="0"/>
              <w:ind w:left="0" w:right="0" w:hanging="0"/>
              <w:rPr/>
            </w:pPr>
            <w:r>
              <w:rPr/>
              <w:t> </w:t>
            </w:r>
          </w:p>
        </w:tc>
        <w:tc>
          <w:tcPr>
            <w:tcW w:w="540" w:type="dxa"/>
            <w:tcBorders/>
            <w:shd w:fill="auto" w:val="clear"/>
            <w:vAlign w:val="center"/>
          </w:tcPr>
          <w:p>
            <w:pPr>
              <w:pStyle w:val="TableContents"/>
              <w:spacing w:before="0" w:after="0"/>
              <w:ind w:left="0" w:right="0" w:hanging="0"/>
              <w:rPr>
                <w:rFonts w:ascii="symbol" w:hAnsi="symbol"/>
                <w:sz w:val="20"/>
              </w:rPr>
            </w:pPr>
            <w:r>
              <w:rPr>
                <w:rFonts w:ascii="symbol" w:hAnsi="symbol"/>
                <w:sz w:val="20"/>
              </w:rPr>
              <w:t>·</w:t>
            </w:r>
          </w:p>
        </w:tc>
        <w:tc>
          <w:tcPr>
            <w:tcW w:w="9560" w:type="dxa"/>
            <w:tcBorders/>
            <w:shd w:fill="auto" w:val="clear"/>
            <w:vAlign w:val="center"/>
          </w:tcPr>
          <w:p>
            <w:pPr>
              <w:pStyle w:val="TableContents"/>
              <w:spacing w:before="0" w:after="283"/>
              <w:rPr/>
            </w:pPr>
            <w:r>
              <w:rPr/>
              <w:t>Utilizing consulting actuarial professionals with specialized skills and knowledge to analyze the appropriateness of the methodologies utilized by the Company to estimate reserves and to determine the reasonableness of the gross and net loss and LAE reserves recorded by the Company as of December 31, 2022.</w:t>
            </w:r>
          </w:p>
        </w:tc>
      </w:tr>
      <w:tr>
        <w:trPr/>
        <w:tc>
          <w:tcPr>
            <w:tcW w:w="105" w:type="dxa"/>
            <w:tcBorders/>
            <w:shd w:fill="auto" w:val="clear"/>
            <w:vAlign w:val="center"/>
          </w:tcPr>
          <w:p>
            <w:pPr>
              <w:pStyle w:val="TableContents"/>
              <w:spacing w:before="0" w:after="0"/>
              <w:ind w:left="0" w:right="0" w:hanging="0"/>
              <w:rPr/>
            </w:pPr>
            <w:r>
              <w:rPr/>
              <w:t> </w:t>
            </w:r>
          </w:p>
        </w:tc>
        <w:tc>
          <w:tcPr>
            <w:tcW w:w="540" w:type="dxa"/>
            <w:tcBorders/>
            <w:shd w:fill="auto" w:val="clear"/>
            <w:vAlign w:val="center"/>
          </w:tcPr>
          <w:p>
            <w:pPr>
              <w:pStyle w:val="TableContents"/>
              <w:spacing w:before="0" w:after="0"/>
              <w:ind w:left="0" w:right="0" w:firstLine="450"/>
              <w:rPr/>
            </w:pPr>
            <w:r>
              <w:rPr/>
              <w:t> </w:t>
            </w:r>
          </w:p>
        </w:tc>
        <w:tc>
          <w:tcPr>
            <w:tcW w:w="9560" w:type="dxa"/>
            <w:tcBorders/>
            <w:shd w:fill="auto" w:val="clear"/>
            <w:vAlign w:val="center"/>
          </w:tcPr>
          <w:p>
            <w:pPr>
              <w:pStyle w:val="TableContents"/>
              <w:spacing w:before="0" w:after="0"/>
              <w:ind w:left="0" w:right="0" w:hanging="0"/>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540" w:type="dxa"/>
            <w:tcBorders/>
            <w:shd w:fill="auto" w:val="clear"/>
            <w:vAlign w:val="center"/>
          </w:tcPr>
          <w:p>
            <w:pPr>
              <w:pStyle w:val="TableContents"/>
              <w:spacing w:before="0" w:after="0"/>
              <w:ind w:left="0" w:right="0" w:hanging="0"/>
              <w:rPr>
                <w:rFonts w:ascii="symbol" w:hAnsi="symbol"/>
                <w:sz w:val="20"/>
              </w:rPr>
            </w:pPr>
            <w:r>
              <w:rPr>
                <w:rFonts w:ascii="symbol" w:hAnsi="symbol"/>
                <w:sz w:val="20"/>
              </w:rPr>
              <w:t>·</w:t>
            </w:r>
          </w:p>
        </w:tc>
        <w:tc>
          <w:tcPr>
            <w:tcW w:w="9560" w:type="dxa"/>
            <w:tcBorders/>
            <w:shd w:fill="auto" w:val="clear"/>
            <w:vAlign w:val="center"/>
          </w:tcPr>
          <w:p>
            <w:pPr>
              <w:pStyle w:val="TableContents"/>
              <w:spacing w:before="0" w:after="283"/>
              <w:rPr/>
            </w:pPr>
            <w:r>
              <w:rPr/>
              <w:t>Having consulting actuarial professionals also analyze the approach, methodology, assumptions, and ultimate losses and LAE documented in the actuarial reports prepared by the independent actuarial firm engaged by the Company.</w:t>
            </w:r>
          </w:p>
        </w:tc>
      </w:tr>
      <w:tr>
        <w:trPr/>
        <w:tc>
          <w:tcPr>
            <w:tcW w:w="105" w:type="dxa"/>
            <w:tcBorders/>
            <w:shd w:fill="auto" w:val="clear"/>
            <w:vAlign w:val="center"/>
          </w:tcPr>
          <w:p>
            <w:pPr>
              <w:pStyle w:val="TableContents"/>
              <w:spacing w:before="0" w:after="0"/>
              <w:ind w:left="0" w:right="0" w:hanging="0"/>
              <w:rPr/>
            </w:pPr>
            <w:r>
              <w:rPr/>
              <w:t> </w:t>
            </w:r>
          </w:p>
        </w:tc>
        <w:tc>
          <w:tcPr>
            <w:tcW w:w="540" w:type="dxa"/>
            <w:tcBorders/>
            <w:shd w:fill="auto" w:val="clear"/>
            <w:vAlign w:val="center"/>
          </w:tcPr>
          <w:p>
            <w:pPr>
              <w:pStyle w:val="TableContents"/>
              <w:spacing w:before="0" w:after="0"/>
              <w:ind w:left="0" w:right="0" w:firstLine="450"/>
              <w:rPr/>
            </w:pPr>
            <w:r>
              <w:rPr/>
              <w:t> </w:t>
            </w:r>
          </w:p>
        </w:tc>
        <w:tc>
          <w:tcPr>
            <w:tcW w:w="9560" w:type="dxa"/>
            <w:tcBorders/>
            <w:shd w:fill="auto" w:val="clear"/>
            <w:vAlign w:val="center"/>
          </w:tcPr>
          <w:p>
            <w:pPr>
              <w:pStyle w:val="TableContents"/>
              <w:spacing w:before="0" w:after="0"/>
              <w:ind w:left="0" w:right="0" w:hanging="0"/>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540" w:type="dxa"/>
            <w:tcBorders/>
            <w:shd w:fill="auto" w:val="clear"/>
            <w:vAlign w:val="center"/>
          </w:tcPr>
          <w:p>
            <w:pPr>
              <w:pStyle w:val="TableContents"/>
              <w:spacing w:before="0" w:after="0"/>
              <w:ind w:left="0" w:right="0" w:hanging="0"/>
              <w:rPr>
                <w:rFonts w:ascii="symbol" w:hAnsi="symbol"/>
                <w:sz w:val="20"/>
              </w:rPr>
            </w:pPr>
            <w:r>
              <w:rPr>
                <w:rFonts w:ascii="symbol" w:hAnsi="symbol"/>
                <w:sz w:val="20"/>
              </w:rPr>
              <w:t>·</w:t>
            </w:r>
          </w:p>
        </w:tc>
        <w:tc>
          <w:tcPr>
            <w:tcW w:w="9560" w:type="dxa"/>
            <w:tcBorders/>
            <w:shd w:fill="auto" w:val="clear"/>
            <w:vAlign w:val="center"/>
          </w:tcPr>
          <w:p>
            <w:pPr>
              <w:pStyle w:val="TableContents"/>
              <w:spacing w:before="0" w:after="283"/>
              <w:rPr/>
            </w:pPr>
            <w:r>
              <w:rPr/>
              <w:t>Analyzing the consistency of the Company’s recorded reserves relative to the central estimates of the reserve range determined by the Company’s independent actuarial firm at December 31, 2022 in comparison to December 31, 2021.</w:t>
            </w:r>
          </w:p>
        </w:tc>
      </w:tr>
      <w:tr>
        <w:trPr/>
        <w:tc>
          <w:tcPr>
            <w:tcW w:w="105" w:type="dxa"/>
            <w:tcBorders/>
            <w:shd w:fill="auto" w:val="clear"/>
            <w:vAlign w:val="center"/>
          </w:tcPr>
          <w:p>
            <w:pPr>
              <w:pStyle w:val="TableContents"/>
              <w:spacing w:before="0" w:after="0"/>
              <w:ind w:left="0" w:right="0" w:hanging="0"/>
              <w:rPr/>
            </w:pPr>
            <w:r>
              <w:rPr/>
              <w:t> </w:t>
            </w:r>
          </w:p>
        </w:tc>
        <w:tc>
          <w:tcPr>
            <w:tcW w:w="540" w:type="dxa"/>
            <w:tcBorders/>
            <w:shd w:fill="auto" w:val="clear"/>
            <w:vAlign w:val="center"/>
          </w:tcPr>
          <w:p>
            <w:pPr>
              <w:pStyle w:val="TableContents"/>
              <w:spacing w:before="0" w:after="0"/>
              <w:ind w:left="0" w:right="0" w:firstLine="450"/>
              <w:rPr/>
            </w:pPr>
            <w:r>
              <w:rPr/>
              <w:t> </w:t>
            </w:r>
          </w:p>
        </w:tc>
        <w:tc>
          <w:tcPr>
            <w:tcW w:w="9560" w:type="dxa"/>
            <w:tcBorders/>
            <w:shd w:fill="auto" w:val="clear"/>
            <w:vAlign w:val="center"/>
          </w:tcPr>
          <w:p>
            <w:pPr>
              <w:pStyle w:val="TableContents"/>
              <w:spacing w:before="0" w:after="0"/>
              <w:ind w:left="0" w:right="0" w:hanging="0"/>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540" w:type="dxa"/>
            <w:tcBorders/>
            <w:shd w:fill="auto" w:val="clear"/>
            <w:vAlign w:val="center"/>
          </w:tcPr>
          <w:p>
            <w:pPr>
              <w:pStyle w:val="TableContents"/>
              <w:spacing w:before="0" w:after="0"/>
              <w:ind w:left="0" w:right="0" w:hanging="0"/>
              <w:rPr>
                <w:rFonts w:ascii="symbol" w:hAnsi="symbol"/>
                <w:sz w:val="20"/>
              </w:rPr>
            </w:pPr>
            <w:r>
              <w:rPr>
                <w:rFonts w:ascii="symbol" w:hAnsi="symbol"/>
                <w:sz w:val="20"/>
              </w:rPr>
              <w:t>·</w:t>
            </w:r>
          </w:p>
        </w:tc>
        <w:tc>
          <w:tcPr>
            <w:tcW w:w="9560" w:type="dxa"/>
            <w:tcBorders/>
            <w:shd w:fill="auto" w:val="clear"/>
            <w:vAlign w:val="center"/>
          </w:tcPr>
          <w:p>
            <w:pPr>
              <w:pStyle w:val="TableContents"/>
              <w:spacing w:before="0" w:after="283"/>
              <w:rPr/>
            </w:pPr>
            <w:r>
              <w:rPr/>
              <w:t>Performing hindsight analysis to determine the completeness and accuracy of reserves recorded in the prior year and performing analytical procedures on current year reserves.</w:t>
            </w:r>
          </w:p>
        </w:tc>
      </w:tr>
      <w:tr>
        <w:trPr/>
        <w:tc>
          <w:tcPr>
            <w:tcW w:w="105" w:type="dxa"/>
            <w:tcBorders/>
            <w:shd w:fill="auto" w:val="clear"/>
            <w:vAlign w:val="center"/>
          </w:tcPr>
          <w:p>
            <w:pPr>
              <w:pStyle w:val="TableContents"/>
              <w:spacing w:before="0" w:after="0"/>
              <w:ind w:left="0" w:right="0" w:hanging="0"/>
              <w:rPr/>
            </w:pPr>
            <w:r>
              <w:rPr/>
              <w:t> </w:t>
            </w:r>
          </w:p>
        </w:tc>
        <w:tc>
          <w:tcPr>
            <w:tcW w:w="540" w:type="dxa"/>
            <w:tcBorders/>
            <w:shd w:fill="auto" w:val="clear"/>
            <w:vAlign w:val="center"/>
          </w:tcPr>
          <w:p>
            <w:pPr>
              <w:pStyle w:val="TableContents"/>
              <w:spacing w:before="0" w:after="0"/>
              <w:ind w:left="0" w:right="0" w:firstLine="450"/>
              <w:rPr/>
            </w:pPr>
            <w:r>
              <w:rPr/>
              <w:t> </w:t>
            </w:r>
          </w:p>
        </w:tc>
        <w:tc>
          <w:tcPr>
            <w:tcW w:w="9560" w:type="dxa"/>
            <w:tcBorders/>
            <w:shd w:fill="auto" w:val="clear"/>
            <w:vAlign w:val="center"/>
          </w:tcPr>
          <w:p>
            <w:pPr>
              <w:pStyle w:val="TableContents"/>
              <w:spacing w:before="0" w:after="0"/>
              <w:ind w:left="0" w:right="0" w:hanging="0"/>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540" w:type="dxa"/>
            <w:tcBorders/>
            <w:shd w:fill="auto" w:val="clear"/>
            <w:vAlign w:val="center"/>
          </w:tcPr>
          <w:p>
            <w:pPr>
              <w:pStyle w:val="TableContents"/>
              <w:spacing w:before="0" w:after="0"/>
              <w:ind w:left="0" w:right="0" w:hanging="0"/>
              <w:rPr>
                <w:rFonts w:ascii="symbol" w:hAnsi="symbol"/>
                <w:sz w:val="20"/>
              </w:rPr>
            </w:pPr>
            <w:r>
              <w:rPr>
                <w:rFonts w:ascii="symbol" w:hAnsi="symbol"/>
                <w:sz w:val="20"/>
              </w:rPr>
              <w:t>·</w:t>
            </w:r>
          </w:p>
        </w:tc>
        <w:tc>
          <w:tcPr>
            <w:tcW w:w="9560" w:type="dxa"/>
            <w:tcBorders/>
            <w:shd w:fill="auto" w:val="clear"/>
            <w:vAlign w:val="center"/>
          </w:tcPr>
          <w:p>
            <w:pPr>
              <w:pStyle w:val="TableContents"/>
              <w:spacing w:before="0" w:after="283"/>
              <w:rPr/>
            </w:pPr>
            <w:r>
              <w:rPr/>
              <w:t>Analyzing the 2022 quarterly actuarial reports prepared by the Company’s Chief Actuary.</w:t>
            </w:r>
          </w:p>
        </w:tc>
      </w:tr>
      <w:tr>
        <w:trPr/>
        <w:tc>
          <w:tcPr>
            <w:tcW w:w="105" w:type="dxa"/>
            <w:tcBorders/>
            <w:shd w:fill="auto" w:val="clear"/>
            <w:vAlign w:val="center"/>
          </w:tcPr>
          <w:p>
            <w:pPr>
              <w:pStyle w:val="TableContents"/>
              <w:spacing w:before="0" w:after="0"/>
              <w:ind w:left="0" w:right="0" w:hanging="0"/>
              <w:rPr/>
            </w:pPr>
            <w:r>
              <w:rPr/>
              <w:t> </w:t>
            </w:r>
          </w:p>
        </w:tc>
        <w:tc>
          <w:tcPr>
            <w:tcW w:w="540" w:type="dxa"/>
            <w:tcBorders/>
            <w:shd w:fill="auto" w:val="clear"/>
            <w:vAlign w:val="center"/>
          </w:tcPr>
          <w:p>
            <w:pPr>
              <w:pStyle w:val="TableContents"/>
              <w:spacing w:before="0" w:after="0"/>
              <w:ind w:left="0" w:right="0" w:firstLine="450"/>
              <w:rPr/>
            </w:pPr>
            <w:r>
              <w:rPr/>
              <w:t> </w:t>
            </w:r>
          </w:p>
        </w:tc>
        <w:tc>
          <w:tcPr>
            <w:tcW w:w="9560" w:type="dxa"/>
            <w:tcBorders/>
            <w:shd w:fill="auto" w:val="clear"/>
            <w:vAlign w:val="center"/>
          </w:tcPr>
          <w:p>
            <w:pPr>
              <w:pStyle w:val="TableContents"/>
              <w:spacing w:before="0" w:after="0"/>
              <w:ind w:left="0" w:right="0" w:hanging="0"/>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540" w:type="dxa"/>
            <w:tcBorders/>
            <w:shd w:fill="auto" w:val="clear"/>
            <w:vAlign w:val="center"/>
          </w:tcPr>
          <w:p>
            <w:pPr>
              <w:pStyle w:val="TableContents"/>
              <w:spacing w:before="0" w:after="0"/>
              <w:ind w:left="0" w:right="0" w:hanging="0"/>
              <w:rPr>
                <w:rFonts w:ascii="symbol" w:hAnsi="symbol"/>
                <w:sz w:val="20"/>
              </w:rPr>
            </w:pPr>
            <w:r>
              <w:rPr>
                <w:rFonts w:ascii="symbol" w:hAnsi="symbol"/>
                <w:sz w:val="20"/>
              </w:rPr>
              <w:t>·</w:t>
            </w:r>
          </w:p>
        </w:tc>
        <w:tc>
          <w:tcPr>
            <w:tcW w:w="9560" w:type="dxa"/>
            <w:tcBorders/>
            <w:shd w:fill="auto" w:val="clear"/>
            <w:vAlign w:val="center"/>
          </w:tcPr>
          <w:p>
            <w:pPr>
              <w:pStyle w:val="TableContents"/>
              <w:spacing w:before="0" w:after="283"/>
              <w:rPr/>
            </w:pPr>
            <w:r>
              <w:rPr/>
              <w:t>Analyzing the 2022 quarterly reports on claims quality assurance prepared by the Company’s external claims consultant and the December 31, 2022 reports on unpaid claim liabilities prepared by the independent actuarial firm engaged by the Company.</w:t>
            </w:r>
          </w:p>
        </w:tc>
      </w:tr>
      <w:tr>
        <w:trPr/>
        <w:tc>
          <w:tcPr>
            <w:tcW w:w="105" w:type="dxa"/>
            <w:tcBorders/>
            <w:shd w:fill="auto" w:val="clear"/>
            <w:vAlign w:val="center"/>
          </w:tcPr>
          <w:p>
            <w:pPr>
              <w:pStyle w:val="TableContents"/>
              <w:spacing w:before="0" w:after="0"/>
              <w:ind w:left="0" w:right="0" w:hanging="0"/>
              <w:rPr/>
            </w:pPr>
            <w:r>
              <w:rPr/>
              <w:t> </w:t>
            </w:r>
          </w:p>
        </w:tc>
        <w:tc>
          <w:tcPr>
            <w:tcW w:w="540" w:type="dxa"/>
            <w:tcBorders/>
            <w:shd w:fill="auto" w:val="clear"/>
            <w:vAlign w:val="center"/>
          </w:tcPr>
          <w:p>
            <w:pPr>
              <w:pStyle w:val="TableContents"/>
              <w:spacing w:before="0" w:after="0"/>
              <w:ind w:left="0" w:right="0" w:firstLine="450"/>
              <w:rPr/>
            </w:pPr>
            <w:r>
              <w:rPr/>
              <w:t> </w:t>
            </w:r>
          </w:p>
        </w:tc>
        <w:tc>
          <w:tcPr>
            <w:tcW w:w="9560" w:type="dxa"/>
            <w:tcBorders/>
            <w:shd w:fill="auto" w:val="clear"/>
            <w:vAlign w:val="center"/>
          </w:tcPr>
          <w:p>
            <w:pPr>
              <w:pStyle w:val="TableContents"/>
              <w:spacing w:before="0" w:after="0"/>
              <w:ind w:left="0" w:right="0" w:hanging="0"/>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540" w:type="dxa"/>
            <w:tcBorders/>
            <w:shd w:fill="auto" w:val="clear"/>
            <w:vAlign w:val="center"/>
          </w:tcPr>
          <w:p>
            <w:pPr>
              <w:pStyle w:val="TableContents"/>
              <w:spacing w:before="0" w:after="0"/>
              <w:ind w:left="0" w:right="0" w:hanging="0"/>
              <w:rPr>
                <w:rFonts w:ascii="symbol" w:hAnsi="symbol"/>
                <w:sz w:val="20"/>
              </w:rPr>
            </w:pPr>
            <w:r>
              <w:rPr>
                <w:rFonts w:ascii="symbol" w:hAnsi="symbol"/>
                <w:sz w:val="20"/>
              </w:rPr>
              <w:t>·</w:t>
            </w:r>
          </w:p>
        </w:tc>
        <w:tc>
          <w:tcPr>
            <w:tcW w:w="9560" w:type="dxa"/>
            <w:tcBorders/>
            <w:shd w:fill="auto" w:val="clear"/>
            <w:vAlign w:val="center"/>
          </w:tcPr>
          <w:p>
            <w:pPr>
              <w:pStyle w:val="TableContents"/>
              <w:spacing w:before="0" w:after="283"/>
              <w:rPr/>
            </w:pPr>
            <w:r>
              <w:rPr/>
              <w:t>Testing the claims handling process, including the establishment of individual case reserves and the settlement of claims.</w:t>
            </w:r>
          </w:p>
        </w:tc>
      </w:tr>
      <w:tr>
        <w:trPr/>
        <w:tc>
          <w:tcPr>
            <w:tcW w:w="105" w:type="dxa"/>
            <w:tcBorders/>
            <w:shd w:fill="auto" w:val="clear"/>
            <w:vAlign w:val="center"/>
          </w:tcPr>
          <w:p>
            <w:pPr>
              <w:pStyle w:val="TableContents"/>
              <w:spacing w:before="0" w:after="0"/>
              <w:ind w:left="0" w:right="0" w:hanging="0"/>
              <w:rPr/>
            </w:pPr>
            <w:r>
              <w:rPr/>
              <w:t> </w:t>
            </w:r>
          </w:p>
        </w:tc>
        <w:tc>
          <w:tcPr>
            <w:tcW w:w="540" w:type="dxa"/>
            <w:tcBorders/>
            <w:shd w:fill="auto" w:val="clear"/>
            <w:vAlign w:val="center"/>
          </w:tcPr>
          <w:p>
            <w:pPr>
              <w:pStyle w:val="TableContents"/>
              <w:spacing w:before="0" w:after="0"/>
              <w:ind w:left="0" w:right="0" w:firstLine="450"/>
              <w:rPr/>
            </w:pPr>
            <w:r>
              <w:rPr/>
              <w:t> </w:t>
            </w:r>
          </w:p>
        </w:tc>
        <w:tc>
          <w:tcPr>
            <w:tcW w:w="9560" w:type="dxa"/>
            <w:tcBorders/>
            <w:shd w:fill="auto" w:val="clear"/>
            <w:vAlign w:val="center"/>
          </w:tcPr>
          <w:p>
            <w:pPr>
              <w:pStyle w:val="TableContents"/>
              <w:spacing w:before="0" w:after="0"/>
              <w:ind w:left="0" w:right="0" w:hanging="0"/>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540" w:type="dxa"/>
            <w:tcBorders/>
            <w:shd w:fill="auto" w:val="clear"/>
            <w:vAlign w:val="center"/>
          </w:tcPr>
          <w:p>
            <w:pPr>
              <w:pStyle w:val="TableContents"/>
              <w:spacing w:before="0" w:after="0"/>
              <w:ind w:left="0" w:right="0" w:hanging="0"/>
              <w:rPr>
                <w:rFonts w:ascii="symbol" w:hAnsi="symbol"/>
                <w:sz w:val="20"/>
              </w:rPr>
            </w:pPr>
            <w:r>
              <w:rPr>
                <w:rFonts w:ascii="symbol" w:hAnsi="symbol"/>
                <w:sz w:val="20"/>
              </w:rPr>
              <w:t>·</w:t>
            </w:r>
          </w:p>
        </w:tc>
        <w:tc>
          <w:tcPr>
            <w:tcW w:w="9560" w:type="dxa"/>
            <w:tcBorders/>
            <w:shd w:fill="auto" w:val="clear"/>
            <w:vAlign w:val="center"/>
          </w:tcPr>
          <w:p>
            <w:pPr>
              <w:pStyle w:val="TableContents"/>
              <w:spacing w:before="0" w:after="283"/>
              <w:rPr/>
            </w:pPr>
            <w:r>
              <w:rPr/>
              <w:t>Verifying the accuracy and completeness of the data provided to the independent actuarial firm engaged by the Company for the purpose of preparing the actuarial report at December 31, 2022.</w:t>
            </w:r>
          </w:p>
        </w:tc>
      </w:tr>
    </w:tbl>
    <w:p>
      <w:pPr>
        <w:pStyle w:val="TextBody"/>
        <w:spacing w:before="0" w:after="0"/>
        <w:ind w:left="0" w:right="0" w:hanging="0"/>
        <w:rPr/>
      </w:pPr>
      <w:r>
        <w:rPr/>
        <w:t xml:space="preserve">  </w:t>
      </w:r>
    </w:p>
    <w:p>
      <w:pPr>
        <w:pStyle w:val="TextBody"/>
        <w:spacing w:before="0" w:after="0"/>
        <w:ind w:left="0" w:right="0" w:hanging="0"/>
        <w:rPr>
          <w:rFonts w:ascii="times new roman" w:hAnsi="times new roman"/>
          <w:sz w:val="20"/>
        </w:rPr>
      </w:pPr>
      <w:r>
        <w:rPr>
          <w:rFonts w:ascii="times new roman" w:hAnsi="times new roman"/>
          <w:sz w:val="20"/>
        </w:rPr>
        <w:t>/s/ Marcum llp</w:t>
      </w:r>
    </w:p>
    <w:p>
      <w:pPr>
        <w:pStyle w:val="TextBody"/>
        <w:spacing w:before="0" w:after="0"/>
        <w:ind w:left="0" w:right="0" w:hanging="0"/>
        <w:rPr/>
      </w:pPr>
      <w:r>
        <w:rPr/>
        <w:t> </w:t>
      </w:r>
    </w:p>
    <w:p>
      <w:pPr>
        <w:pStyle w:val="TextBody"/>
        <w:spacing w:before="0" w:after="0"/>
        <w:ind w:left="0" w:right="0" w:hanging="0"/>
        <w:rPr>
          <w:rFonts w:ascii="times new roman" w:hAnsi="times new roman"/>
          <w:sz w:val="20"/>
        </w:rPr>
      </w:pPr>
      <w:r>
        <w:rPr>
          <w:rFonts w:ascii="times new roman" w:hAnsi="times new roman"/>
          <w:sz w:val="20"/>
        </w:rPr>
        <w:t>Marcum llp</w:t>
      </w:r>
    </w:p>
    <w:p>
      <w:pPr>
        <w:pStyle w:val="TextBody"/>
        <w:spacing w:before="0" w:after="0"/>
        <w:ind w:left="0" w:right="0" w:hanging="0"/>
        <w:rPr>
          <w:rFonts w:ascii="times new roman" w:hAnsi="times new roman"/>
          <w:sz w:val="20"/>
        </w:rPr>
      </w:pPr>
      <w:r>
        <w:rPr>
          <w:rFonts w:ascii="times new roman" w:hAnsi="times new roman"/>
          <w:sz w:val="20"/>
        </w:rPr>
        <w:t>Hartford, CT</w:t>
      </w:r>
    </w:p>
    <w:p>
      <w:pPr>
        <w:pStyle w:val="TextBody"/>
        <w:spacing w:before="0" w:after="0"/>
        <w:ind w:left="0" w:right="0" w:hanging="0"/>
        <w:rPr>
          <w:rFonts w:ascii="times new roman" w:hAnsi="times new roman"/>
          <w:sz w:val="20"/>
        </w:rPr>
      </w:pPr>
      <w:r>
        <w:rPr>
          <w:rFonts w:ascii="times new roman" w:hAnsi="times new roman"/>
          <w:sz w:val="20"/>
        </w:rPr>
        <w:t>March 31, 2023</w:t>
      </w:r>
    </w:p>
    <w:p>
      <w:pPr>
        <w:pStyle w:val="TextBody"/>
        <w:spacing w:before="0" w:after="0"/>
        <w:ind w:left="0" w:right="0" w:hanging="0"/>
        <w:rPr/>
      </w:pPr>
      <w:r>
        <w:rPr/>
        <w:t> </w:t>
      </w:r>
    </w:p>
    <w:p>
      <w:pPr>
        <w:pStyle w:val="TextBody"/>
        <w:spacing w:before="0" w:after="0"/>
        <w:ind w:left="0" w:right="0" w:hanging="0"/>
        <w:rPr/>
      </w:pPr>
      <w:r>
        <w:rPr>
          <w:rFonts w:ascii="times new roman" w:hAnsi="times new roman"/>
          <w:sz w:val="20"/>
        </w:rPr>
        <w:t>We have served as the Company’s auditor since 2012</w:t>
      </w:r>
      <w:r>
        <w:rPr>
          <w:rStyle w:val="StrongEmphasis"/>
          <w:rFonts w:ascii="times new roman" w:hAnsi="times new roman"/>
          <w:sz w:val="20"/>
        </w:rPr>
        <w:t>.</w:t>
      </w:r>
    </w:p>
    <w:p>
      <w:pPr>
        <w:pStyle w:val="TextBody"/>
        <w:spacing w:before="0" w:after="0"/>
        <w:ind w:left="0" w:right="0" w:hanging="0"/>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F-3</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center"/>
        <w:rPr/>
      </w:pPr>
      <w:r>
        <w:rPr>
          <w:rStyle w:val="StrongEmphasis"/>
        </w:rPr>
        <w:t> </w:t>
      </w:r>
    </w:p>
    <w:tbl>
      <w:tblPr>
        <w:tblW w:w="10205" w:type="dxa"/>
        <w:jc w:val="left"/>
        <w:tblInd w:w="0" w:type="dxa"/>
        <w:tblCellMar>
          <w:top w:w="0" w:type="dxa"/>
          <w:left w:w="0" w:type="dxa"/>
          <w:bottom w:w="0" w:type="dxa"/>
          <w:right w:w="0" w:type="dxa"/>
        </w:tblCellMar>
      </w:tblPr>
      <w:tblGrid>
        <w:gridCol w:w="6890"/>
        <w:gridCol w:w="90"/>
        <w:gridCol w:w="170"/>
        <w:gridCol w:w="1250"/>
        <w:gridCol w:w="125"/>
        <w:gridCol w:w="90"/>
        <w:gridCol w:w="170"/>
        <w:gridCol w:w="1250"/>
        <w:gridCol w:w="170"/>
      </w:tblGrid>
      <w:tr>
        <w:trPr/>
        <w:tc>
          <w:tcPr>
            <w:tcW w:w="10205" w:type="dxa"/>
            <w:gridSpan w:val="9"/>
            <w:tcBorders/>
            <w:shd w:fill="auto" w:val="clear"/>
            <w:vAlign w:val="center"/>
          </w:tcPr>
          <w:p>
            <w:pPr>
              <w:pStyle w:val="TableContents"/>
              <w:spacing w:before="0" w:after="0"/>
              <w:ind w:left="0" w:right="0" w:hanging="0"/>
              <w:jc w:val="right"/>
              <w:rPr/>
            </w:pPr>
            <w:bookmarkStart w:id="30" w:name="bs"/>
            <w:bookmarkEnd w:id="30"/>
            <w:r>
              <w:rPr>
                <w:rStyle w:val="StrongEmphasis"/>
                <w:rFonts w:ascii="times new roman" w:hAnsi="times new roman"/>
                <w:sz w:val="20"/>
              </w:rPr>
              <w:t xml:space="preserve">KINGSTONE COMPANIES, INC. AND SUBSIDIARIES </w:t>
            </w:r>
          </w:p>
        </w:tc>
      </w:tr>
      <w:tr>
        <w:trPr/>
        <w:tc>
          <w:tcPr>
            <w:tcW w:w="6890"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Fonts w:ascii="times new roman" w:hAnsi="times new roman"/>
                <w:sz w:val="20"/>
              </w:rPr>
              <w:t>Consolidated Balance Sheets</w:t>
            </w:r>
          </w:p>
        </w:tc>
        <w:tc>
          <w:tcPr>
            <w:tcW w:w="9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7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r>
      <w:tr>
        <w:trPr/>
        <w:tc>
          <w:tcPr>
            <w:tcW w:w="68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December 31,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December 31, </w:t>
            </w:r>
          </w:p>
        </w:tc>
        <w:tc>
          <w:tcPr>
            <w:tcW w:w="170" w:type="dxa"/>
            <w:tcBorders/>
            <w:shd w:fill="auto" w:val="clear"/>
            <w:vAlign w:val="center"/>
          </w:tcPr>
          <w:p>
            <w:pPr>
              <w:pStyle w:val="TableContents"/>
              <w:spacing w:before="0" w:after="0"/>
              <w:ind w:left="0" w:right="0" w:hanging="0"/>
              <w:rPr/>
            </w:pPr>
            <w:r>
              <w:rPr/>
              <w:t> </w:t>
            </w:r>
          </w:p>
        </w:tc>
      </w:tr>
      <w:tr>
        <w:trPr/>
        <w:tc>
          <w:tcPr>
            <w:tcW w:w="68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2022</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2021</w:t>
            </w:r>
          </w:p>
        </w:tc>
        <w:tc>
          <w:tcPr>
            <w:tcW w:w="170" w:type="dxa"/>
            <w:tcBorders/>
            <w:shd w:fill="auto" w:val="clear"/>
            <w:vAlign w:val="center"/>
          </w:tcPr>
          <w:p>
            <w:pPr>
              <w:pStyle w:val="TableContents"/>
              <w:spacing w:before="0" w:after="0"/>
              <w:ind w:left="0" w:right="0" w:hanging="0"/>
              <w:rPr/>
            </w:pPr>
            <w:r>
              <w:rPr/>
              <w:t> </w:t>
            </w:r>
          </w:p>
        </w:tc>
      </w:tr>
      <w:tr>
        <w:trPr/>
        <w:tc>
          <w:tcPr>
            <w:tcW w:w="68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r>
      <w:tr>
        <w:trPr/>
        <w:tc>
          <w:tcPr>
            <w:tcW w:w="6890" w:type="dxa"/>
            <w:tcBorders/>
            <w:shd w:fill="auto" w:val="clear"/>
            <w:vAlign w:val="center"/>
          </w:tcPr>
          <w:p>
            <w:pPr>
              <w:pStyle w:val="TableContents"/>
              <w:spacing w:before="0" w:after="0"/>
              <w:ind w:left="0" w:right="0" w:hanging="0"/>
              <w:rPr/>
            </w:pPr>
            <w:r>
              <w:rPr>
                <w:rStyle w:val="StrongEmphasis"/>
              </w:rPr>
              <w:t> </w:t>
            </w:r>
            <w:r>
              <w:rPr>
                <w:rStyle w:val="StrongEmphasis"/>
                <w:rFonts w:ascii="times new roman" w:hAnsi="times new roman"/>
                <w:sz w:val="20"/>
              </w:rPr>
              <w:t xml:space="preserve">Assets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r>
      <w:tr>
        <w:trPr/>
        <w:tc>
          <w:tcPr>
            <w:tcW w:w="6890" w:type="dxa"/>
            <w:tcBorders/>
            <w:shd w:fill="CCEEFF" w:val="clear"/>
            <w:vAlign w:val="center"/>
          </w:tcPr>
          <w:p>
            <w:pPr>
              <w:pStyle w:val="TableContents"/>
              <w:spacing w:before="0" w:after="0"/>
              <w:ind w:left="225" w:right="0" w:hanging="0"/>
              <w:rPr/>
            </w:pPr>
            <w:r>
              <w:rPr/>
              <w:t> </w:t>
            </w:r>
            <w:r>
              <w:rPr>
                <w:rFonts w:ascii="times new roman" w:hAnsi="times new roman"/>
                <w:sz w:val="20"/>
              </w:rPr>
              <w:t>Fixed-maturity securities, held-to-maturity, at amortized cost (fair value of </w:t>
            </w:r>
          </w:p>
          <w:p>
            <w:pPr>
              <w:pStyle w:val="TableContents"/>
              <w:spacing w:before="0" w:after="0"/>
              <w:ind w:left="225" w:right="0" w:hanging="0"/>
              <w:rPr>
                <w:rFonts w:ascii="times new roman" w:hAnsi="times new roman"/>
                <w:sz w:val="20"/>
              </w:rPr>
            </w:pPr>
            <w:r>
              <w:rPr>
                <w:rFonts w:ascii="times new roman" w:hAnsi="times new roman"/>
                <w:sz w:val="20"/>
              </w:rPr>
              <w:t xml:space="preserve">$6,600,388 at December 31, 2022 and $8,753,159 at December 31, 2021)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7,766,140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8,266,334</w:t>
            </w:r>
          </w:p>
        </w:tc>
        <w:tc>
          <w:tcPr>
            <w:tcW w:w="170" w:type="dxa"/>
            <w:tcBorders/>
            <w:shd w:fill="CCEEFF" w:val="clear"/>
            <w:vAlign w:val="center"/>
          </w:tcPr>
          <w:p>
            <w:pPr>
              <w:pStyle w:val="TableContents"/>
              <w:spacing w:before="0" w:after="0"/>
              <w:ind w:left="0" w:right="0" w:hanging="0"/>
              <w:rPr/>
            </w:pPr>
            <w:r>
              <w:rPr/>
              <w:t> </w:t>
            </w:r>
          </w:p>
        </w:tc>
      </w:tr>
      <w:tr>
        <w:trPr/>
        <w:tc>
          <w:tcPr>
            <w:tcW w:w="6890" w:type="dxa"/>
            <w:tcBorders/>
            <w:shd w:fill="FFFFFF" w:val="clear"/>
            <w:vAlign w:val="center"/>
          </w:tcPr>
          <w:p>
            <w:pPr>
              <w:pStyle w:val="TableContents"/>
              <w:spacing w:before="0" w:after="0"/>
              <w:ind w:left="225" w:right="0" w:hanging="0"/>
              <w:rPr/>
            </w:pPr>
            <w:r>
              <w:rPr/>
              <w:t> </w:t>
            </w:r>
            <w:r>
              <w:rPr>
                <w:rFonts w:ascii="times new roman" w:hAnsi="times new roman"/>
                <w:sz w:val="20"/>
              </w:rPr>
              <w:t>Fixed-maturity securities, available-for-sale, at fair value (amortized cost of </w:t>
            </w:r>
          </w:p>
          <w:p>
            <w:pPr>
              <w:pStyle w:val="TableContents"/>
              <w:spacing w:before="0" w:after="0"/>
              <w:ind w:left="225" w:right="0" w:hanging="0"/>
              <w:rPr>
                <w:rFonts w:ascii="times new roman" w:hAnsi="times new roman"/>
                <w:sz w:val="20"/>
              </w:rPr>
            </w:pPr>
            <w:r>
              <w:rPr>
                <w:rFonts w:ascii="times new roman" w:hAnsi="times new roman"/>
                <w:sz w:val="20"/>
              </w:rPr>
              <w:t xml:space="preserve">$174,918,427 at December 31, 2022 and $155,808,478 at December 31, 2021)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154,715,163</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158,080,110</w:t>
            </w:r>
          </w:p>
        </w:tc>
        <w:tc>
          <w:tcPr>
            <w:tcW w:w="170" w:type="dxa"/>
            <w:tcBorders/>
            <w:shd w:fill="FFFFFF" w:val="clear"/>
            <w:vAlign w:val="center"/>
          </w:tcPr>
          <w:p>
            <w:pPr>
              <w:pStyle w:val="TableContents"/>
              <w:spacing w:before="0" w:after="0"/>
              <w:ind w:left="0" w:right="0" w:hanging="0"/>
              <w:rPr/>
            </w:pPr>
            <w:r>
              <w:rPr/>
              <w:t> </w:t>
            </w:r>
          </w:p>
        </w:tc>
      </w:tr>
      <w:tr>
        <w:trPr/>
        <w:tc>
          <w:tcPr>
            <w:tcW w:w="6890" w:type="dxa"/>
            <w:tcBorders/>
            <w:shd w:fill="CCEEFF" w:val="clear"/>
            <w:vAlign w:val="center"/>
          </w:tcPr>
          <w:p>
            <w:pPr>
              <w:pStyle w:val="TableContents"/>
              <w:spacing w:before="0" w:after="0"/>
              <w:ind w:left="225" w:right="0" w:hanging="0"/>
              <w:rPr>
                <w:rFonts w:ascii="times new roman" w:hAnsi="times new roman"/>
                <w:sz w:val="20"/>
              </w:rPr>
            </w:pPr>
            <w:r>
              <w:rPr>
                <w:rFonts w:ascii="times new roman" w:hAnsi="times new roman"/>
                <w:sz w:val="20"/>
              </w:rPr>
              <w:t>Equity securities, at fair value (cost of $18,086,700 at December 31, 2022 and </w:t>
            </w:r>
          </w:p>
          <w:p>
            <w:pPr>
              <w:pStyle w:val="TableContents"/>
              <w:spacing w:before="0" w:after="0"/>
              <w:ind w:left="225" w:right="0" w:hanging="0"/>
              <w:rPr>
                <w:rFonts w:ascii="times new roman" w:hAnsi="times new roman"/>
                <w:sz w:val="20"/>
              </w:rPr>
            </w:pPr>
            <w:r>
              <w:rPr>
                <w:rFonts w:ascii="times new roman" w:hAnsi="times new roman"/>
                <w:sz w:val="20"/>
              </w:rPr>
              <w:t xml:space="preserve">$37,470,669 at December 31, 2021)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13,834,390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39,687,002</w:t>
            </w:r>
          </w:p>
        </w:tc>
        <w:tc>
          <w:tcPr>
            <w:tcW w:w="170" w:type="dxa"/>
            <w:tcBorders/>
            <w:shd w:fill="CCEEFF" w:val="clear"/>
            <w:vAlign w:val="center"/>
          </w:tcPr>
          <w:p>
            <w:pPr>
              <w:pStyle w:val="TableContents"/>
              <w:spacing w:before="0" w:after="0"/>
              <w:ind w:left="0" w:right="0" w:hanging="0"/>
              <w:rPr/>
            </w:pPr>
            <w:r>
              <w:rPr/>
              <w:t> </w:t>
            </w:r>
          </w:p>
        </w:tc>
      </w:tr>
      <w:tr>
        <w:trPr/>
        <w:tc>
          <w:tcPr>
            <w:tcW w:w="6890" w:type="dxa"/>
            <w:tcBorders/>
            <w:shd w:fill="FFFFFF" w:val="clear"/>
            <w:vAlign w:val="center"/>
          </w:tcPr>
          <w:p>
            <w:pPr>
              <w:pStyle w:val="TableContents"/>
              <w:spacing w:before="0" w:after="0"/>
              <w:ind w:left="0" w:right="0" w:firstLine="200"/>
              <w:rPr/>
            </w:pPr>
            <w:r>
              <w:rPr/>
              <w:t> </w:t>
            </w:r>
            <w:r>
              <w:rPr>
                <w:rFonts w:ascii="times new roman" w:hAnsi="times new roman"/>
                <w:sz w:val="20"/>
              </w:rPr>
              <w:t xml:space="preserve">Other investments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2,771,652</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7,561,415</w:t>
            </w:r>
          </w:p>
        </w:tc>
        <w:tc>
          <w:tcPr>
            <w:tcW w:w="170" w:type="dxa"/>
            <w:tcBorders/>
            <w:shd w:fill="FFFFFF" w:val="clear"/>
            <w:vAlign w:val="center"/>
          </w:tcPr>
          <w:p>
            <w:pPr>
              <w:pStyle w:val="TableContents"/>
              <w:spacing w:before="0" w:after="0"/>
              <w:ind w:left="0" w:right="0" w:hanging="0"/>
              <w:rPr/>
            </w:pPr>
            <w:r>
              <w:rPr/>
              <w:t> </w:t>
            </w:r>
          </w:p>
        </w:tc>
      </w:tr>
      <w:tr>
        <w:trPr/>
        <w:tc>
          <w:tcPr>
            <w:tcW w:w="6890" w:type="dxa"/>
            <w:tcBorders/>
            <w:shd w:fill="CCEEFF" w:val="clear"/>
            <w:vAlign w:val="center"/>
          </w:tcPr>
          <w:p>
            <w:pPr>
              <w:pStyle w:val="TableContents"/>
              <w:spacing w:before="0" w:after="0"/>
              <w:ind w:left="0" w:right="0" w:firstLine="400"/>
              <w:rPr/>
            </w:pPr>
            <w:r>
              <w:rPr/>
              <w:t> </w:t>
            </w:r>
            <w:r>
              <w:rPr>
                <w:rFonts w:ascii="times new roman" w:hAnsi="times new roman"/>
                <w:sz w:val="20"/>
              </w:rPr>
              <w:t xml:space="preserve">Total investments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179,087,345</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213,594,861</w:t>
            </w:r>
          </w:p>
        </w:tc>
        <w:tc>
          <w:tcPr>
            <w:tcW w:w="170" w:type="dxa"/>
            <w:tcBorders/>
            <w:shd w:fill="CCEEFF" w:val="clear"/>
            <w:vAlign w:val="center"/>
          </w:tcPr>
          <w:p>
            <w:pPr>
              <w:pStyle w:val="TableContents"/>
              <w:spacing w:before="0" w:after="0"/>
              <w:ind w:left="0" w:right="0" w:hanging="0"/>
              <w:rPr/>
            </w:pPr>
            <w:r>
              <w:rPr/>
              <w:t> </w:t>
            </w:r>
          </w:p>
        </w:tc>
      </w:tr>
      <w:tr>
        <w:trPr/>
        <w:tc>
          <w:tcPr>
            <w:tcW w:w="6890" w:type="dxa"/>
            <w:tcBorders/>
            <w:shd w:fill="FFFFFF" w:val="clear"/>
            <w:vAlign w:val="center"/>
          </w:tcPr>
          <w:p>
            <w:pPr>
              <w:pStyle w:val="TableContents"/>
              <w:spacing w:before="0" w:after="0"/>
              <w:ind w:left="0" w:right="0" w:firstLine="200"/>
              <w:rPr/>
            </w:pPr>
            <w:r>
              <w:rPr/>
              <w:t> </w:t>
            </w:r>
            <w:r>
              <w:rPr>
                <w:rFonts w:ascii="times new roman" w:hAnsi="times new roman"/>
                <w:sz w:val="20"/>
              </w:rPr>
              <w:t xml:space="preserve">Cash and cash equivalents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11,958,228</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24,290,598</w:t>
            </w:r>
          </w:p>
        </w:tc>
        <w:tc>
          <w:tcPr>
            <w:tcW w:w="170" w:type="dxa"/>
            <w:tcBorders/>
            <w:shd w:fill="FFFFFF" w:val="clear"/>
            <w:vAlign w:val="center"/>
          </w:tcPr>
          <w:p>
            <w:pPr>
              <w:pStyle w:val="TableContents"/>
              <w:spacing w:before="0" w:after="0"/>
              <w:ind w:left="0" w:right="0" w:hanging="0"/>
              <w:rPr/>
            </w:pPr>
            <w:r>
              <w:rPr/>
              <w:t> </w:t>
            </w:r>
          </w:p>
        </w:tc>
      </w:tr>
      <w:tr>
        <w:trPr/>
        <w:tc>
          <w:tcPr>
            <w:tcW w:w="6890" w:type="dxa"/>
            <w:tcBorders/>
            <w:shd w:fill="CCEEFF" w:val="clear"/>
            <w:vAlign w:val="center"/>
          </w:tcPr>
          <w:p>
            <w:pPr>
              <w:pStyle w:val="TableContents"/>
              <w:spacing w:before="0" w:after="0"/>
              <w:ind w:left="0" w:right="0" w:firstLine="200"/>
              <w:rPr/>
            </w:pPr>
            <w:r>
              <w:rPr/>
              <w:t> </w:t>
            </w:r>
            <w:r>
              <w:rPr>
                <w:rFonts w:ascii="times new roman" w:hAnsi="times new roman"/>
                <w:sz w:val="20"/>
              </w:rPr>
              <w:t xml:space="preserve">Premiums receivable, net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13,880,504</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12,318,336</w:t>
            </w:r>
          </w:p>
        </w:tc>
        <w:tc>
          <w:tcPr>
            <w:tcW w:w="170" w:type="dxa"/>
            <w:tcBorders/>
            <w:shd w:fill="CCEEFF" w:val="clear"/>
            <w:vAlign w:val="center"/>
          </w:tcPr>
          <w:p>
            <w:pPr>
              <w:pStyle w:val="TableContents"/>
              <w:spacing w:before="0" w:after="0"/>
              <w:ind w:left="0" w:right="0" w:hanging="0"/>
              <w:rPr/>
            </w:pPr>
            <w:r>
              <w:rPr/>
              <w:t> </w:t>
            </w:r>
          </w:p>
        </w:tc>
      </w:tr>
      <w:tr>
        <w:trPr/>
        <w:tc>
          <w:tcPr>
            <w:tcW w:w="6890" w:type="dxa"/>
            <w:tcBorders/>
            <w:shd w:fill="FFFFFF" w:val="clear"/>
            <w:vAlign w:val="center"/>
          </w:tcPr>
          <w:p>
            <w:pPr>
              <w:pStyle w:val="TableContents"/>
              <w:spacing w:before="0" w:after="0"/>
              <w:ind w:left="0" w:right="0" w:firstLine="200"/>
              <w:rPr/>
            </w:pPr>
            <w:r>
              <w:rPr/>
              <w:t> </w:t>
            </w:r>
            <w:r>
              <w:rPr>
                <w:rFonts w:ascii="times new roman" w:hAnsi="times new roman"/>
                <w:sz w:val="20"/>
              </w:rPr>
              <w:t xml:space="preserve">Reinsurance receivables, net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66,465,061</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40,292,438</w:t>
            </w:r>
          </w:p>
        </w:tc>
        <w:tc>
          <w:tcPr>
            <w:tcW w:w="170" w:type="dxa"/>
            <w:tcBorders/>
            <w:shd w:fill="FFFFFF" w:val="clear"/>
            <w:vAlign w:val="center"/>
          </w:tcPr>
          <w:p>
            <w:pPr>
              <w:pStyle w:val="TableContents"/>
              <w:spacing w:before="0" w:after="0"/>
              <w:ind w:left="0" w:right="0" w:hanging="0"/>
              <w:rPr/>
            </w:pPr>
            <w:r>
              <w:rPr/>
              <w:t> </w:t>
            </w:r>
          </w:p>
        </w:tc>
      </w:tr>
      <w:tr>
        <w:trPr/>
        <w:tc>
          <w:tcPr>
            <w:tcW w:w="6890" w:type="dxa"/>
            <w:tcBorders/>
            <w:shd w:fill="CCEEFF" w:val="clear"/>
            <w:vAlign w:val="center"/>
          </w:tcPr>
          <w:p>
            <w:pPr>
              <w:pStyle w:val="TableContents"/>
              <w:spacing w:before="0" w:after="0"/>
              <w:ind w:left="0" w:right="0" w:firstLine="200"/>
              <w:rPr/>
            </w:pPr>
            <w:r>
              <w:rPr/>
              <w:t> </w:t>
            </w:r>
            <w:r>
              <w:rPr>
                <w:rFonts w:ascii="times new roman" w:hAnsi="times new roman"/>
                <w:sz w:val="20"/>
              </w:rPr>
              <w:t xml:space="preserve">Deferred policy acquisition costs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23,819,453</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22,238,987</w:t>
            </w:r>
          </w:p>
        </w:tc>
        <w:tc>
          <w:tcPr>
            <w:tcW w:w="170" w:type="dxa"/>
            <w:tcBorders/>
            <w:shd w:fill="CCEEFF" w:val="clear"/>
            <w:vAlign w:val="center"/>
          </w:tcPr>
          <w:p>
            <w:pPr>
              <w:pStyle w:val="TableContents"/>
              <w:spacing w:before="0" w:after="0"/>
              <w:ind w:left="0" w:right="0" w:hanging="0"/>
              <w:rPr/>
            </w:pPr>
            <w:r>
              <w:rPr/>
              <w:t> </w:t>
            </w:r>
          </w:p>
        </w:tc>
      </w:tr>
      <w:tr>
        <w:trPr/>
        <w:tc>
          <w:tcPr>
            <w:tcW w:w="6890" w:type="dxa"/>
            <w:tcBorders/>
            <w:shd w:fill="FFFFFF" w:val="clear"/>
            <w:vAlign w:val="center"/>
          </w:tcPr>
          <w:p>
            <w:pPr>
              <w:pStyle w:val="TableContents"/>
              <w:spacing w:before="0" w:after="0"/>
              <w:ind w:left="0" w:right="0" w:firstLine="200"/>
              <w:rPr/>
            </w:pPr>
            <w:r>
              <w:rPr/>
              <w:t> </w:t>
            </w:r>
            <w:r>
              <w:rPr>
                <w:rFonts w:ascii="times new roman" w:hAnsi="times new roman"/>
                <w:sz w:val="20"/>
              </w:rPr>
              <w:t xml:space="preserve">Intangible assets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500,000</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500,000</w:t>
            </w:r>
          </w:p>
        </w:tc>
        <w:tc>
          <w:tcPr>
            <w:tcW w:w="170" w:type="dxa"/>
            <w:tcBorders/>
            <w:shd w:fill="FFFFFF" w:val="clear"/>
            <w:vAlign w:val="center"/>
          </w:tcPr>
          <w:p>
            <w:pPr>
              <w:pStyle w:val="TableContents"/>
              <w:spacing w:before="0" w:after="0"/>
              <w:ind w:left="0" w:right="0" w:hanging="0"/>
              <w:rPr/>
            </w:pPr>
            <w:r>
              <w:rPr/>
              <w:t> </w:t>
            </w:r>
          </w:p>
        </w:tc>
      </w:tr>
      <w:tr>
        <w:trPr/>
        <w:tc>
          <w:tcPr>
            <w:tcW w:w="6890" w:type="dxa"/>
            <w:tcBorders/>
            <w:shd w:fill="CCEEFF" w:val="clear"/>
            <w:vAlign w:val="center"/>
          </w:tcPr>
          <w:p>
            <w:pPr>
              <w:pStyle w:val="TableContents"/>
              <w:spacing w:before="0" w:after="0"/>
              <w:ind w:left="0" w:right="0" w:firstLine="200"/>
              <w:rPr/>
            </w:pPr>
            <w:r>
              <w:rPr/>
              <w:t> </w:t>
            </w:r>
            <w:r>
              <w:rPr>
                <w:rFonts w:ascii="times new roman" w:hAnsi="times new roman"/>
                <w:sz w:val="20"/>
              </w:rPr>
              <w:t xml:space="preserve">Property and equipment, net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10,541,935</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9,291,597</w:t>
            </w:r>
          </w:p>
        </w:tc>
        <w:tc>
          <w:tcPr>
            <w:tcW w:w="170" w:type="dxa"/>
            <w:tcBorders/>
            <w:shd w:fill="CCEEFF" w:val="clear"/>
            <w:vAlign w:val="center"/>
          </w:tcPr>
          <w:p>
            <w:pPr>
              <w:pStyle w:val="TableContents"/>
              <w:spacing w:before="0" w:after="0"/>
              <w:ind w:left="0" w:right="0" w:hanging="0"/>
              <w:rPr/>
            </w:pPr>
            <w:r>
              <w:rPr/>
              <w:t> </w:t>
            </w:r>
          </w:p>
        </w:tc>
      </w:tr>
      <w:tr>
        <w:trPr/>
        <w:tc>
          <w:tcPr>
            <w:tcW w:w="6890" w:type="dxa"/>
            <w:tcBorders/>
            <w:shd w:fill="FFFFFF" w:val="clear"/>
            <w:vAlign w:val="center"/>
          </w:tcPr>
          <w:p>
            <w:pPr>
              <w:pStyle w:val="TableContents"/>
              <w:spacing w:before="0" w:after="0"/>
              <w:ind w:left="0" w:right="0" w:firstLine="200"/>
              <w:rPr/>
            </w:pPr>
            <w:r>
              <w:rPr/>
              <w:t> </w:t>
            </w:r>
            <w:r>
              <w:rPr>
                <w:rFonts w:ascii="times new roman" w:hAnsi="times new roman"/>
                <w:sz w:val="20"/>
              </w:rPr>
              <w:t xml:space="preserve">Deferred income taxes, net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10,331,158</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192,253</w:t>
            </w:r>
          </w:p>
        </w:tc>
        <w:tc>
          <w:tcPr>
            <w:tcW w:w="170" w:type="dxa"/>
            <w:tcBorders/>
            <w:shd w:fill="FFFFFF" w:val="clear"/>
            <w:vAlign w:val="center"/>
          </w:tcPr>
          <w:p>
            <w:pPr>
              <w:pStyle w:val="TableContents"/>
              <w:spacing w:before="0" w:after="0"/>
              <w:ind w:left="0" w:right="0" w:hanging="0"/>
              <w:rPr/>
            </w:pPr>
            <w:r>
              <w:rPr/>
              <w:t> </w:t>
            </w:r>
          </w:p>
        </w:tc>
      </w:tr>
      <w:tr>
        <w:trPr/>
        <w:tc>
          <w:tcPr>
            <w:tcW w:w="6890" w:type="dxa"/>
            <w:tcBorders/>
            <w:shd w:fill="CCEEFF" w:val="clear"/>
            <w:vAlign w:val="center"/>
          </w:tcPr>
          <w:p>
            <w:pPr>
              <w:pStyle w:val="TableContents"/>
              <w:spacing w:before="0" w:after="0"/>
              <w:ind w:left="0" w:right="0" w:firstLine="200"/>
              <w:rPr/>
            </w:pPr>
            <w:r>
              <w:rPr/>
              <w:t> </w:t>
            </w:r>
            <w:r>
              <w:rPr>
                <w:rFonts w:ascii="times new roman" w:hAnsi="times new roman"/>
                <w:sz w:val="20"/>
              </w:rPr>
              <w:t xml:space="preserve">Other assets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3,748,847</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8,593,205</w:t>
            </w:r>
          </w:p>
        </w:tc>
        <w:tc>
          <w:tcPr>
            <w:tcW w:w="170" w:type="dxa"/>
            <w:tcBorders/>
            <w:shd w:fill="CCEEFF" w:val="clear"/>
            <w:vAlign w:val="center"/>
          </w:tcPr>
          <w:p>
            <w:pPr>
              <w:pStyle w:val="TableContents"/>
              <w:spacing w:before="0" w:after="0"/>
              <w:ind w:left="0" w:right="0" w:hanging="0"/>
              <w:rPr/>
            </w:pPr>
            <w:r>
              <w:rPr/>
              <w:t> </w:t>
            </w:r>
          </w:p>
        </w:tc>
      </w:tr>
      <w:tr>
        <w:trPr/>
        <w:tc>
          <w:tcPr>
            <w:tcW w:w="6890" w:type="dxa"/>
            <w:tcBorders/>
            <w:shd w:fill="FFFFFF" w:val="clear"/>
            <w:vAlign w:val="center"/>
          </w:tcPr>
          <w:p>
            <w:pPr>
              <w:pStyle w:val="TableContents"/>
              <w:spacing w:before="0" w:after="0"/>
              <w:ind w:left="0" w:right="0" w:hanging="0"/>
              <w:rPr/>
            </w:pPr>
            <w:r>
              <w:rPr>
                <w:rStyle w:val="StrongEmphasis"/>
              </w:rPr>
              <w:t> </w:t>
            </w:r>
            <w:r>
              <w:rPr>
                <w:rStyle w:val="StrongEmphasis"/>
                <w:rFonts w:ascii="times new roman" w:hAnsi="times new roman"/>
                <w:sz w:val="20"/>
              </w:rPr>
              <w:t xml:space="preserve">Total assets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320,332,531</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331,312,275</w:t>
            </w:r>
          </w:p>
        </w:tc>
        <w:tc>
          <w:tcPr>
            <w:tcW w:w="170" w:type="dxa"/>
            <w:tcBorders/>
            <w:shd w:fill="FFFFFF" w:val="clear"/>
            <w:vAlign w:val="center"/>
          </w:tcPr>
          <w:p>
            <w:pPr>
              <w:pStyle w:val="TableContents"/>
              <w:spacing w:before="0" w:after="0"/>
              <w:ind w:left="0" w:right="0" w:hanging="0"/>
              <w:rPr/>
            </w:pPr>
            <w:r>
              <w:rPr/>
              <w:t> </w:t>
            </w:r>
          </w:p>
        </w:tc>
      </w:tr>
      <w:tr>
        <w:trPr/>
        <w:tc>
          <w:tcPr>
            <w:tcW w:w="68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6890" w:type="dxa"/>
            <w:tcBorders/>
            <w:shd w:fill="FFFFFF" w:val="clear"/>
            <w:vAlign w:val="center"/>
          </w:tcPr>
          <w:p>
            <w:pPr>
              <w:pStyle w:val="TableContents"/>
              <w:spacing w:before="0" w:after="0"/>
              <w:ind w:left="0" w:right="0" w:hanging="0"/>
              <w:rPr/>
            </w:pPr>
            <w:r>
              <w:rPr>
                <w:rStyle w:val="StrongEmphasis"/>
              </w:rPr>
              <w:t> </w:t>
            </w:r>
            <w:r>
              <w:rPr>
                <w:rStyle w:val="StrongEmphasis"/>
                <w:rFonts w:ascii="times new roman" w:hAnsi="times new roman"/>
                <w:sz w:val="20"/>
              </w:rPr>
              <w:t xml:space="preserve">Liabilities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6890" w:type="dxa"/>
            <w:tcBorders/>
            <w:shd w:fill="CCEEFF" w:val="clear"/>
            <w:vAlign w:val="center"/>
          </w:tcPr>
          <w:p>
            <w:pPr>
              <w:pStyle w:val="TableContents"/>
              <w:spacing w:before="0" w:after="0"/>
              <w:ind w:left="0" w:right="0" w:firstLine="200"/>
              <w:rPr/>
            </w:pPr>
            <w:r>
              <w:rPr/>
              <w:t> </w:t>
            </w:r>
            <w:r>
              <w:rPr>
                <w:rFonts w:ascii="times new roman" w:hAnsi="times new roman"/>
                <w:sz w:val="20"/>
              </w:rPr>
              <w:t xml:space="preserve">Loss and loss adjustment expense reserves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118,339,513</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94,948,745</w:t>
            </w:r>
          </w:p>
        </w:tc>
        <w:tc>
          <w:tcPr>
            <w:tcW w:w="170" w:type="dxa"/>
            <w:tcBorders/>
            <w:shd w:fill="CCEEFF" w:val="clear"/>
            <w:vAlign w:val="center"/>
          </w:tcPr>
          <w:p>
            <w:pPr>
              <w:pStyle w:val="TableContents"/>
              <w:spacing w:before="0" w:after="0"/>
              <w:ind w:left="0" w:right="0" w:hanging="0"/>
              <w:rPr/>
            </w:pPr>
            <w:r>
              <w:rPr/>
              <w:t> </w:t>
            </w:r>
          </w:p>
        </w:tc>
      </w:tr>
      <w:tr>
        <w:trPr/>
        <w:tc>
          <w:tcPr>
            <w:tcW w:w="6890" w:type="dxa"/>
            <w:tcBorders/>
            <w:shd w:fill="FFFFFF" w:val="clear"/>
            <w:vAlign w:val="center"/>
          </w:tcPr>
          <w:p>
            <w:pPr>
              <w:pStyle w:val="TableContents"/>
              <w:spacing w:before="0" w:after="0"/>
              <w:ind w:left="0" w:right="0" w:firstLine="200"/>
              <w:rPr/>
            </w:pPr>
            <w:r>
              <w:rPr/>
              <w:t> </w:t>
            </w:r>
            <w:r>
              <w:rPr>
                <w:rFonts w:ascii="times new roman" w:hAnsi="times new roman"/>
                <w:sz w:val="20"/>
              </w:rPr>
              <w:t xml:space="preserve">Unearned premiums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107,492,777</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97,759,607</w:t>
            </w:r>
          </w:p>
        </w:tc>
        <w:tc>
          <w:tcPr>
            <w:tcW w:w="170" w:type="dxa"/>
            <w:tcBorders/>
            <w:shd w:fill="FFFFFF" w:val="clear"/>
            <w:vAlign w:val="center"/>
          </w:tcPr>
          <w:p>
            <w:pPr>
              <w:pStyle w:val="TableContents"/>
              <w:spacing w:before="0" w:after="0"/>
              <w:ind w:left="0" w:right="0" w:hanging="0"/>
              <w:rPr/>
            </w:pPr>
            <w:r>
              <w:rPr/>
              <w:t> </w:t>
            </w:r>
          </w:p>
        </w:tc>
      </w:tr>
      <w:tr>
        <w:trPr/>
        <w:tc>
          <w:tcPr>
            <w:tcW w:w="6890" w:type="dxa"/>
            <w:tcBorders/>
            <w:shd w:fill="CCEEFF" w:val="clear"/>
            <w:vAlign w:val="center"/>
          </w:tcPr>
          <w:p>
            <w:pPr>
              <w:pStyle w:val="TableContents"/>
              <w:spacing w:before="0" w:after="0"/>
              <w:ind w:left="0" w:right="0" w:firstLine="200"/>
              <w:rPr/>
            </w:pPr>
            <w:r>
              <w:rPr/>
              <w:t> </w:t>
            </w:r>
            <w:r>
              <w:rPr>
                <w:rFonts w:ascii="times new roman" w:hAnsi="times new roman"/>
                <w:sz w:val="20"/>
              </w:rPr>
              <w:t xml:space="preserve">Advance premiums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2,839,028</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2,693,466</w:t>
            </w:r>
          </w:p>
        </w:tc>
        <w:tc>
          <w:tcPr>
            <w:tcW w:w="170" w:type="dxa"/>
            <w:tcBorders/>
            <w:shd w:fill="CCEEFF" w:val="clear"/>
            <w:vAlign w:val="center"/>
          </w:tcPr>
          <w:p>
            <w:pPr>
              <w:pStyle w:val="TableContents"/>
              <w:spacing w:before="0" w:after="0"/>
              <w:ind w:left="0" w:right="0" w:hanging="0"/>
              <w:rPr/>
            </w:pPr>
            <w:r>
              <w:rPr/>
              <w:t> </w:t>
            </w:r>
          </w:p>
        </w:tc>
      </w:tr>
      <w:tr>
        <w:trPr/>
        <w:tc>
          <w:tcPr>
            <w:tcW w:w="6890" w:type="dxa"/>
            <w:tcBorders/>
            <w:shd w:fill="FFFFFF" w:val="clear"/>
            <w:vAlign w:val="center"/>
          </w:tcPr>
          <w:p>
            <w:pPr>
              <w:pStyle w:val="TableContents"/>
              <w:spacing w:before="0" w:after="0"/>
              <w:ind w:left="0" w:right="0" w:firstLine="200"/>
              <w:rPr/>
            </w:pPr>
            <w:r>
              <w:rPr/>
              <w:t> </w:t>
            </w:r>
            <w:r>
              <w:rPr>
                <w:rFonts w:ascii="times new roman" w:hAnsi="times new roman"/>
                <w:sz w:val="20"/>
              </w:rPr>
              <w:t xml:space="preserve">Reinsurance balances payable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13,061,966</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12,961,568</w:t>
            </w:r>
          </w:p>
        </w:tc>
        <w:tc>
          <w:tcPr>
            <w:tcW w:w="170" w:type="dxa"/>
            <w:tcBorders/>
            <w:shd w:fill="FFFFFF" w:val="clear"/>
            <w:vAlign w:val="center"/>
          </w:tcPr>
          <w:p>
            <w:pPr>
              <w:pStyle w:val="TableContents"/>
              <w:spacing w:before="0" w:after="0"/>
              <w:ind w:left="0" w:right="0" w:hanging="0"/>
              <w:rPr/>
            </w:pPr>
            <w:r>
              <w:rPr/>
              <w:t> </w:t>
            </w:r>
          </w:p>
        </w:tc>
      </w:tr>
      <w:tr>
        <w:trPr/>
        <w:tc>
          <w:tcPr>
            <w:tcW w:w="6890" w:type="dxa"/>
            <w:tcBorders/>
            <w:shd w:fill="CCEEFF" w:val="clear"/>
            <w:vAlign w:val="center"/>
          </w:tcPr>
          <w:p>
            <w:pPr>
              <w:pStyle w:val="TableContents"/>
              <w:spacing w:before="0" w:after="0"/>
              <w:ind w:left="0" w:right="0" w:firstLine="200"/>
              <w:rPr/>
            </w:pPr>
            <w:r>
              <w:rPr/>
              <w:t> </w:t>
            </w:r>
            <w:r>
              <w:rPr>
                <w:rFonts w:ascii="times new roman" w:hAnsi="times new roman"/>
                <w:sz w:val="20"/>
              </w:rPr>
              <w:t xml:space="preserve">Deferred ceding commission revenue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10,619,569</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9,748,508</w:t>
            </w:r>
          </w:p>
        </w:tc>
        <w:tc>
          <w:tcPr>
            <w:tcW w:w="170" w:type="dxa"/>
            <w:tcBorders/>
            <w:shd w:fill="CCEEFF" w:val="clear"/>
            <w:vAlign w:val="center"/>
          </w:tcPr>
          <w:p>
            <w:pPr>
              <w:pStyle w:val="TableContents"/>
              <w:spacing w:before="0" w:after="0"/>
              <w:ind w:left="0" w:right="0" w:hanging="0"/>
              <w:rPr/>
            </w:pPr>
            <w:r>
              <w:rPr/>
              <w:t> </w:t>
            </w:r>
          </w:p>
        </w:tc>
      </w:tr>
      <w:tr>
        <w:trPr/>
        <w:tc>
          <w:tcPr>
            <w:tcW w:w="6890" w:type="dxa"/>
            <w:tcBorders/>
            <w:shd w:fill="FFFFFF" w:val="clear"/>
            <w:vAlign w:val="center"/>
          </w:tcPr>
          <w:p>
            <w:pPr>
              <w:pStyle w:val="TableContents"/>
              <w:spacing w:before="0" w:after="0"/>
              <w:ind w:left="0" w:right="0" w:firstLine="200"/>
              <w:rPr/>
            </w:pPr>
            <w:r>
              <w:rPr/>
              <w:t> </w:t>
            </w:r>
            <w:r>
              <w:rPr>
                <w:rFonts w:ascii="times new roman" w:hAnsi="times new roman"/>
                <w:sz w:val="20"/>
              </w:rPr>
              <w:t xml:space="preserve">Accounts payable, accrued expenses and other liabilities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6,651,723</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7,704,396</w:t>
            </w:r>
          </w:p>
        </w:tc>
        <w:tc>
          <w:tcPr>
            <w:tcW w:w="170" w:type="dxa"/>
            <w:tcBorders/>
            <w:shd w:fill="FFFFFF" w:val="clear"/>
            <w:vAlign w:val="center"/>
          </w:tcPr>
          <w:p>
            <w:pPr>
              <w:pStyle w:val="TableContents"/>
              <w:spacing w:before="0" w:after="0"/>
              <w:ind w:left="0" w:right="0" w:hanging="0"/>
              <w:rPr/>
            </w:pPr>
            <w:r>
              <w:rPr/>
              <w:t> </w:t>
            </w:r>
          </w:p>
        </w:tc>
      </w:tr>
      <w:tr>
        <w:trPr/>
        <w:tc>
          <w:tcPr>
            <w:tcW w:w="6890" w:type="dxa"/>
            <w:tcBorders/>
            <w:shd w:fill="CCEEFF" w:val="clear"/>
            <w:vAlign w:val="center"/>
          </w:tcPr>
          <w:p>
            <w:pPr>
              <w:pStyle w:val="TableContents"/>
              <w:spacing w:before="0" w:after="0"/>
              <w:ind w:left="0" w:right="0" w:firstLine="200"/>
              <w:rPr/>
            </w:pPr>
            <w:r>
              <w:rPr/>
              <w:t> </w:t>
            </w:r>
            <w:r>
              <w:rPr>
                <w:rFonts w:ascii="times new roman" w:hAnsi="times new roman"/>
                <w:sz w:val="20"/>
              </w:rPr>
              <w:t xml:space="preserve">Debt, net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25,158,523</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29,823,791</w:t>
            </w:r>
          </w:p>
        </w:tc>
        <w:tc>
          <w:tcPr>
            <w:tcW w:w="170" w:type="dxa"/>
            <w:tcBorders/>
            <w:shd w:fill="CCEEFF" w:val="clear"/>
            <w:vAlign w:val="center"/>
          </w:tcPr>
          <w:p>
            <w:pPr>
              <w:pStyle w:val="TableContents"/>
              <w:spacing w:before="0" w:after="0"/>
              <w:ind w:left="0" w:right="0" w:hanging="0"/>
              <w:rPr/>
            </w:pPr>
            <w:r>
              <w:rPr/>
              <w:t> </w:t>
            </w:r>
          </w:p>
        </w:tc>
      </w:tr>
      <w:tr>
        <w:trPr/>
        <w:tc>
          <w:tcPr>
            <w:tcW w:w="6890" w:type="dxa"/>
            <w:tcBorders/>
            <w:shd w:fill="FFFFFF" w:val="clear"/>
            <w:vAlign w:val="center"/>
          </w:tcPr>
          <w:p>
            <w:pPr>
              <w:pStyle w:val="TableContents"/>
              <w:spacing w:before="0" w:after="0"/>
              <w:ind w:left="0" w:right="0" w:hanging="0"/>
              <w:rPr/>
            </w:pPr>
            <w:r>
              <w:rPr>
                <w:rStyle w:val="StrongEmphasis"/>
              </w:rPr>
              <w:t> </w:t>
            </w:r>
            <w:r>
              <w:rPr>
                <w:rStyle w:val="StrongEmphasis"/>
                <w:rFonts w:ascii="times new roman" w:hAnsi="times new roman"/>
                <w:sz w:val="20"/>
              </w:rPr>
              <w:t xml:space="preserve">Total liabilities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284,163,099</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255,640,081</w:t>
            </w:r>
          </w:p>
        </w:tc>
        <w:tc>
          <w:tcPr>
            <w:tcW w:w="170" w:type="dxa"/>
            <w:tcBorders/>
            <w:shd w:fill="FFFFFF" w:val="clear"/>
            <w:vAlign w:val="center"/>
          </w:tcPr>
          <w:p>
            <w:pPr>
              <w:pStyle w:val="TableContents"/>
              <w:spacing w:before="0" w:after="0"/>
              <w:ind w:left="0" w:right="0" w:hanging="0"/>
              <w:rPr/>
            </w:pPr>
            <w:r>
              <w:rPr/>
              <w:t> </w:t>
            </w:r>
          </w:p>
        </w:tc>
      </w:tr>
      <w:tr>
        <w:trPr/>
        <w:tc>
          <w:tcPr>
            <w:tcW w:w="68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6890" w:type="dxa"/>
            <w:tcBorders/>
            <w:shd w:fill="FFFFFF" w:val="clear"/>
            <w:vAlign w:val="center"/>
          </w:tcPr>
          <w:p>
            <w:pPr>
              <w:pStyle w:val="TableContents"/>
              <w:spacing w:before="0" w:after="0"/>
              <w:ind w:left="0" w:right="0" w:hanging="0"/>
              <w:rPr/>
            </w:pPr>
            <w:r>
              <w:rPr>
                <w:rStyle w:val="StrongEmphasis"/>
              </w:rPr>
              <w:t> </w:t>
            </w:r>
            <w:r>
              <w:rPr>
                <w:rStyle w:val="StrongEmphasis"/>
                <w:rFonts w:ascii="times new roman" w:hAnsi="times new roman"/>
                <w:sz w:val="20"/>
              </w:rPr>
              <w:t xml:space="preserve">Commitments and Contingencies (Note 17)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68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6890" w:type="dxa"/>
            <w:tcBorders/>
            <w:shd w:fill="FFFFFF" w:val="clear"/>
            <w:vAlign w:val="center"/>
          </w:tcPr>
          <w:p>
            <w:pPr>
              <w:pStyle w:val="TableContents"/>
              <w:spacing w:before="0" w:after="0"/>
              <w:ind w:left="0" w:right="0" w:hanging="0"/>
              <w:rPr/>
            </w:pPr>
            <w:r>
              <w:rPr>
                <w:rStyle w:val="StrongEmphasis"/>
              </w:rPr>
              <w:t> </w:t>
            </w:r>
            <w:r>
              <w:rPr>
                <w:rStyle w:val="StrongEmphasis"/>
                <w:rFonts w:ascii="times new roman" w:hAnsi="times new roman"/>
                <w:sz w:val="20"/>
              </w:rPr>
              <w:t xml:space="preserve">Stockholders' Equity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6890" w:type="dxa"/>
            <w:tcBorders/>
            <w:shd w:fill="CCEEFF" w:val="clear"/>
            <w:vAlign w:val="center"/>
          </w:tcPr>
          <w:p>
            <w:pPr>
              <w:pStyle w:val="TableContents"/>
              <w:spacing w:before="0" w:after="0"/>
              <w:ind w:left="0" w:right="0" w:firstLine="200"/>
              <w:rPr/>
            </w:pPr>
            <w:r>
              <w:rPr/>
              <w:t> </w:t>
            </w:r>
            <w:r>
              <w:rPr>
                <w:rFonts w:ascii="times new roman" w:hAnsi="times new roman"/>
                <w:sz w:val="20"/>
              </w:rPr>
              <w:t xml:space="preserve">Preferred stock, $0.01 par value; authorized 2,500,000 shares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w:t>
            </w:r>
          </w:p>
        </w:tc>
        <w:tc>
          <w:tcPr>
            <w:tcW w:w="170" w:type="dxa"/>
            <w:tcBorders/>
            <w:shd w:fill="CCEEFF" w:val="clear"/>
            <w:vAlign w:val="center"/>
          </w:tcPr>
          <w:p>
            <w:pPr>
              <w:pStyle w:val="TableContents"/>
              <w:spacing w:before="0" w:after="0"/>
              <w:ind w:left="0" w:right="0" w:hanging="0"/>
              <w:rPr/>
            </w:pPr>
            <w:r>
              <w:rPr/>
              <w:t> </w:t>
            </w:r>
          </w:p>
        </w:tc>
      </w:tr>
      <w:tr>
        <w:trPr/>
        <w:tc>
          <w:tcPr>
            <w:tcW w:w="6890" w:type="dxa"/>
            <w:tcBorders/>
            <w:shd w:fill="FFFFFF" w:val="clear"/>
            <w:vAlign w:val="center"/>
          </w:tcPr>
          <w:p>
            <w:pPr>
              <w:pStyle w:val="TableContents"/>
              <w:spacing w:before="0" w:after="0"/>
              <w:ind w:left="225" w:right="0" w:hanging="0"/>
              <w:rPr>
                <w:rFonts w:ascii="times new roman" w:hAnsi="times new roman"/>
                <w:sz w:val="20"/>
              </w:rPr>
            </w:pPr>
            <w:r>
              <w:rPr>
                <w:rFonts w:ascii="times new roman" w:hAnsi="times new roman"/>
                <w:sz w:val="20"/>
              </w:rPr>
              <w:t xml:space="preserve">Common stock, $0.01 par value; authorized 20,000,000 shares; issued 12,171,512 shares at December 31, 2022 and 11,955,660 shares at December 31, 2021; outstanding  10,700,106 shares at December 31, 2022 and 10,484,254 shares at December 31, 2021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121,715</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119,557</w:t>
            </w:r>
          </w:p>
        </w:tc>
        <w:tc>
          <w:tcPr>
            <w:tcW w:w="170" w:type="dxa"/>
            <w:tcBorders/>
            <w:shd w:fill="FFFFFF" w:val="clear"/>
            <w:vAlign w:val="center"/>
          </w:tcPr>
          <w:p>
            <w:pPr>
              <w:pStyle w:val="TableContents"/>
              <w:spacing w:before="0" w:after="0"/>
              <w:ind w:left="0" w:right="0" w:hanging="0"/>
              <w:rPr/>
            </w:pPr>
            <w:r>
              <w:rPr/>
              <w:t> </w:t>
            </w:r>
          </w:p>
        </w:tc>
      </w:tr>
      <w:tr>
        <w:trPr/>
        <w:tc>
          <w:tcPr>
            <w:tcW w:w="6890" w:type="dxa"/>
            <w:tcBorders/>
            <w:shd w:fill="CCEEFF" w:val="clear"/>
            <w:vAlign w:val="center"/>
          </w:tcPr>
          <w:p>
            <w:pPr>
              <w:pStyle w:val="TableContents"/>
              <w:spacing w:before="0" w:after="0"/>
              <w:ind w:left="0" w:right="0" w:firstLine="200"/>
              <w:rPr/>
            </w:pPr>
            <w:r>
              <w:rPr/>
              <w:t> </w:t>
            </w:r>
            <w:r>
              <w:rPr>
                <w:rFonts w:ascii="times new roman" w:hAnsi="times new roman"/>
                <w:sz w:val="20"/>
              </w:rPr>
              <w:t xml:space="preserve">Capital in excess of par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74,519,590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72,467,483</w:t>
            </w:r>
          </w:p>
        </w:tc>
        <w:tc>
          <w:tcPr>
            <w:tcW w:w="170" w:type="dxa"/>
            <w:tcBorders/>
            <w:shd w:fill="CCEEFF" w:val="clear"/>
            <w:vAlign w:val="center"/>
          </w:tcPr>
          <w:p>
            <w:pPr>
              <w:pStyle w:val="TableContents"/>
              <w:spacing w:before="0" w:after="0"/>
              <w:ind w:left="0" w:right="0" w:hanging="0"/>
              <w:rPr/>
            </w:pPr>
            <w:r>
              <w:rPr/>
              <w:t> </w:t>
            </w:r>
          </w:p>
        </w:tc>
      </w:tr>
      <w:tr>
        <w:trPr/>
        <w:tc>
          <w:tcPr>
            <w:tcW w:w="6890" w:type="dxa"/>
            <w:tcBorders/>
            <w:shd w:fill="FFFFFF" w:val="clear"/>
            <w:vAlign w:val="center"/>
          </w:tcPr>
          <w:p>
            <w:pPr>
              <w:pStyle w:val="TableContents"/>
              <w:spacing w:before="0" w:after="0"/>
              <w:ind w:left="0" w:right="0" w:firstLine="200"/>
              <w:rPr/>
            </w:pPr>
            <w:r>
              <w:rPr/>
              <w:t> </w:t>
            </w:r>
            <w:r>
              <w:rPr>
                <w:rFonts w:ascii="times new roman" w:hAnsi="times new roman"/>
                <w:sz w:val="20"/>
              </w:rPr>
              <w:t xml:space="preserve">Accumulated other comprehensive (loss) income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(15,958,428</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1,796,739</w:t>
            </w:r>
          </w:p>
        </w:tc>
        <w:tc>
          <w:tcPr>
            <w:tcW w:w="170" w:type="dxa"/>
            <w:tcBorders/>
            <w:shd w:fill="FFFFFF" w:val="clear"/>
            <w:vAlign w:val="center"/>
          </w:tcPr>
          <w:p>
            <w:pPr>
              <w:pStyle w:val="TableContents"/>
              <w:spacing w:before="0" w:after="0"/>
              <w:ind w:left="0" w:right="0" w:hanging="0"/>
              <w:rPr/>
            </w:pPr>
            <w:r>
              <w:rPr/>
              <w:t> </w:t>
            </w:r>
          </w:p>
        </w:tc>
      </w:tr>
      <w:tr>
        <w:trPr/>
        <w:tc>
          <w:tcPr>
            <w:tcW w:w="6890" w:type="dxa"/>
            <w:tcBorders/>
            <w:shd w:fill="CCEEFF" w:val="clear"/>
            <w:vAlign w:val="center"/>
          </w:tcPr>
          <w:p>
            <w:pPr>
              <w:pStyle w:val="TableContents"/>
              <w:spacing w:before="0" w:after="0"/>
              <w:ind w:left="0" w:right="0" w:firstLine="200"/>
              <w:rPr/>
            </w:pPr>
            <w:r>
              <w:rPr/>
              <w:t> </w:t>
            </w:r>
            <w:r>
              <w:rPr>
                <w:rFonts w:ascii="times new roman" w:hAnsi="times new roman"/>
                <w:sz w:val="20"/>
              </w:rPr>
              <w:t xml:space="preserve">(Accumulated deficit) retained earnings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(16,945,964</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6,855,896</w:t>
            </w:r>
          </w:p>
        </w:tc>
        <w:tc>
          <w:tcPr>
            <w:tcW w:w="170" w:type="dxa"/>
            <w:tcBorders/>
            <w:shd w:fill="CCEEFF" w:val="clear"/>
            <w:vAlign w:val="center"/>
          </w:tcPr>
          <w:p>
            <w:pPr>
              <w:pStyle w:val="TableContents"/>
              <w:spacing w:before="0" w:after="0"/>
              <w:ind w:left="0" w:right="0" w:hanging="0"/>
              <w:rPr/>
            </w:pPr>
            <w:r>
              <w:rPr/>
              <w:t> </w:t>
            </w:r>
          </w:p>
        </w:tc>
      </w:tr>
      <w:tr>
        <w:trPr/>
        <w:tc>
          <w:tcPr>
            <w:tcW w:w="68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41,736,913</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81,239,675</w:t>
            </w:r>
          </w:p>
        </w:tc>
        <w:tc>
          <w:tcPr>
            <w:tcW w:w="170" w:type="dxa"/>
            <w:tcBorders/>
            <w:shd w:fill="FFFFFF" w:val="clear"/>
            <w:vAlign w:val="center"/>
          </w:tcPr>
          <w:p>
            <w:pPr>
              <w:pStyle w:val="TableContents"/>
              <w:spacing w:before="0" w:after="0"/>
              <w:ind w:left="0" w:right="0" w:hanging="0"/>
              <w:rPr/>
            </w:pPr>
            <w:r>
              <w:rPr/>
              <w:t> </w:t>
            </w:r>
          </w:p>
        </w:tc>
      </w:tr>
      <w:tr>
        <w:trPr/>
        <w:tc>
          <w:tcPr>
            <w:tcW w:w="6890" w:type="dxa"/>
            <w:tcBorders/>
            <w:shd w:fill="CCEEFF" w:val="clear"/>
            <w:vAlign w:val="center"/>
          </w:tcPr>
          <w:p>
            <w:pPr>
              <w:pStyle w:val="TableContents"/>
              <w:spacing w:before="0" w:after="283"/>
              <w:rPr>
                <w:sz w:val="4"/>
                <w:szCs w:val="4"/>
              </w:rPr>
            </w:pPr>
            <w:r>
              <w:rPr>
                <w:sz w:val="4"/>
                <w:szCs w:val="4"/>
              </w:rPr>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6890" w:type="dxa"/>
            <w:tcBorders/>
            <w:shd w:fill="FFFFFF" w:val="clear"/>
            <w:vAlign w:val="center"/>
          </w:tcPr>
          <w:p>
            <w:pPr>
              <w:pStyle w:val="TableContents"/>
              <w:spacing w:before="0" w:after="0"/>
              <w:ind w:left="0" w:right="0" w:firstLine="200"/>
              <w:rPr/>
            </w:pPr>
            <w:r>
              <w:rPr/>
              <w:t> </w:t>
            </w:r>
            <w:r>
              <w:rPr>
                <w:rFonts w:ascii="times new roman" w:hAnsi="times new roman"/>
                <w:sz w:val="20"/>
              </w:rPr>
              <w:t xml:space="preserve">Treasury stock, at cost, 1,471,406 shares at December 31, 2022 and December 31, 2021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(5,567,481</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(5,567,481</w:t>
            </w:r>
          </w:p>
        </w:tc>
        <w:tc>
          <w:tcPr>
            <w:tcW w:w="170" w:type="dxa"/>
            <w:tcBorders/>
            <w:shd w:fill="FFFFFF" w:val="clear"/>
            <w:vAlign w:val="center"/>
          </w:tcPr>
          <w:p>
            <w:pPr>
              <w:pStyle w:val="TableContents"/>
              <w:spacing w:before="0" w:after="283"/>
              <w:rPr/>
            </w:pPr>
            <w:r>
              <w:rPr/>
              <w:t>)</w:t>
            </w:r>
          </w:p>
        </w:tc>
      </w:tr>
      <w:tr>
        <w:trPr/>
        <w:tc>
          <w:tcPr>
            <w:tcW w:w="6890" w:type="dxa"/>
            <w:tcBorders/>
            <w:shd w:fill="CCEEFF" w:val="clear"/>
            <w:vAlign w:val="center"/>
          </w:tcPr>
          <w:p>
            <w:pPr>
              <w:pStyle w:val="TableContents"/>
              <w:spacing w:before="0" w:after="0"/>
              <w:ind w:left="0" w:right="0" w:hanging="0"/>
              <w:rPr/>
            </w:pPr>
            <w:r>
              <w:rPr>
                <w:rStyle w:val="StrongEmphasis"/>
              </w:rPr>
              <w:t> </w:t>
            </w:r>
            <w:r>
              <w:rPr>
                <w:rStyle w:val="StrongEmphasis"/>
                <w:rFonts w:ascii="times new roman" w:hAnsi="times new roman"/>
                <w:sz w:val="20"/>
              </w:rPr>
              <w:t xml:space="preserve">Total stockholders' equity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36,169,432</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75,672,194</w:t>
            </w:r>
          </w:p>
        </w:tc>
        <w:tc>
          <w:tcPr>
            <w:tcW w:w="170" w:type="dxa"/>
            <w:tcBorders/>
            <w:shd w:fill="CCEEFF" w:val="clear"/>
            <w:vAlign w:val="center"/>
          </w:tcPr>
          <w:p>
            <w:pPr>
              <w:pStyle w:val="TableContents"/>
              <w:spacing w:before="0" w:after="0"/>
              <w:ind w:left="0" w:right="0" w:hanging="0"/>
              <w:rPr/>
            </w:pPr>
            <w:r>
              <w:rPr/>
              <w:t> </w:t>
            </w:r>
          </w:p>
        </w:tc>
      </w:tr>
      <w:tr>
        <w:trPr/>
        <w:tc>
          <w:tcPr>
            <w:tcW w:w="68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6890" w:type="dxa"/>
            <w:tcBorders/>
            <w:shd w:fill="CCEEFF" w:val="clear"/>
            <w:vAlign w:val="center"/>
          </w:tcPr>
          <w:p>
            <w:pPr>
              <w:pStyle w:val="TableContents"/>
              <w:spacing w:before="0" w:after="0"/>
              <w:ind w:left="0" w:right="0" w:hanging="0"/>
              <w:rPr/>
            </w:pPr>
            <w:r>
              <w:rPr>
                <w:rStyle w:val="StrongEmphasis"/>
              </w:rPr>
              <w:t> </w:t>
            </w:r>
            <w:r>
              <w:rPr>
                <w:rStyle w:val="StrongEmphasis"/>
                <w:rFonts w:ascii="times new roman" w:hAnsi="times new roman"/>
                <w:sz w:val="20"/>
              </w:rPr>
              <w:t xml:space="preserve">Total liabilities and stockholders' equity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320,332,531</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331,312,275</w:t>
            </w:r>
          </w:p>
        </w:tc>
        <w:tc>
          <w:tcPr>
            <w:tcW w:w="170"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rPr/>
      </w:pPr>
      <w:r>
        <w:rPr/>
        <w:t xml:space="preserve">  </w:t>
      </w:r>
    </w:p>
    <w:p>
      <w:pPr>
        <w:pStyle w:val="TextBody"/>
        <w:spacing w:before="0" w:after="0"/>
        <w:ind w:left="0" w:right="0" w:hanging="0"/>
        <w:rPr/>
      </w:pPr>
      <w:r>
        <w:rPr>
          <w:rStyle w:val="Emphasis"/>
          <w:rFonts w:ascii="times new roman" w:hAnsi="times new roman"/>
          <w:sz w:val="20"/>
        </w:rPr>
        <w:t>See accompanying notes to these consolidated financial statements.</w:t>
      </w:r>
    </w:p>
    <w:p>
      <w:pPr>
        <w:pStyle w:val="TextBody"/>
        <w:spacing w:before="0" w:after="0"/>
        <w:ind w:left="0" w:right="0" w:hanging="0"/>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F-4</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w:t>
      </w:r>
    </w:p>
    <w:tbl>
      <w:tblPr>
        <w:tblW w:w="9395" w:type="dxa"/>
        <w:jc w:val="left"/>
        <w:tblInd w:w="0" w:type="dxa"/>
        <w:tblCellMar>
          <w:top w:w="0" w:type="dxa"/>
          <w:left w:w="0" w:type="dxa"/>
          <w:bottom w:w="0" w:type="dxa"/>
          <w:right w:w="0" w:type="dxa"/>
        </w:tblCellMar>
      </w:tblPr>
      <w:tblGrid>
        <w:gridCol w:w="6080"/>
        <w:gridCol w:w="90"/>
        <w:gridCol w:w="170"/>
        <w:gridCol w:w="1250"/>
        <w:gridCol w:w="125"/>
        <w:gridCol w:w="90"/>
        <w:gridCol w:w="170"/>
        <w:gridCol w:w="1250"/>
        <w:gridCol w:w="170"/>
      </w:tblGrid>
      <w:tr>
        <w:trPr/>
        <w:tc>
          <w:tcPr>
            <w:tcW w:w="608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0"/>
              <w:ind w:left="0" w:right="0" w:hanging="0"/>
              <w:rPr/>
            </w:pPr>
            <w:r>
              <w:rPr/>
              <w:t> </w:t>
            </w:r>
          </w:p>
        </w:tc>
      </w:tr>
      <w:tr>
        <w:trPr/>
        <w:tc>
          <w:tcPr>
            <w:tcW w:w="9395" w:type="dxa"/>
            <w:gridSpan w:val="9"/>
            <w:tcBorders/>
            <w:shd w:fill="auto" w:val="clear"/>
            <w:vAlign w:val="center"/>
          </w:tcPr>
          <w:p>
            <w:pPr>
              <w:pStyle w:val="TableContents"/>
              <w:spacing w:before="0" w:after="0"/>
              <w:ind w:left="0" w:right="0" w:hanging="0"/>
              <w:jc w:val="right"/>
              <w:rPr/>
            </w:pPr>
            <w:bookmarkStart w:id="31" w:name="so"/>
            <w:bookmarkEnd w:id="31"/>
            <w:r>
              <w:rPr>
                <w:rStyle w:val="StrongEmphasis"/>
                <w:rFonts w:ascii="times new roman" w:hAnsi="times new roman"/>
                <w:sz w:val="20"/>
              </w:rPr>
              <w:t>KINGSTONE COMPANIES, INC. AND SUBSIDIARIES</w:t>
            </w:r>
            <w:r>
              <w:rPr>
                <w:rFonts w:ascii="times new roman" w:hAnsi="times new roman"/>
                <w:sz w:val="20"/>
              </w:rPr>
              <w:t xml:space="preserve"> </w:t>
            </w:r>
          </w:p>
        </w:tc>
      </w:tr>
      <w:tr>
        <w:trPr/>
        <w:tc>
          <w:tcPr>
            <w:tcW w:w="608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pPr>
            <w:r>
              <w:rPr/>
              <w:t> </w:t>
            </w:r>
          </w:p>
        </w:tc>
      </w:tr>
      <w:tr>
        <w:trPr/>
        <w:tc>
          <w:tcPr>
            <w:tcW w:w="6080" w:type="dxa"/>
            <w:tcBorders>
              <w:bottom w:val="single" w:sz="2" w:space="0" w:color="000000"/>
            </w:tcBorders>
            <w:shd w:fill="auto" w:val="clear"/>
            <w:tcMar>
              <w:bottom w:w="28" w:type="dxa"/>
            </w:tcM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Consolidated Statements of Operations and Comprehensive Income (Loss)</w:t>
            </w:r>
          </w:p>
        </w:tc>
        <w:tc>
          <w:tcPr>
            <w:tcW w:w="9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283"/>
              <w:rPr/>
            </w:pPr>
            <w:r>
              <w:rPr>
                <w:rStyle w:val="StrongEmphasis"/>
              </w:rPr>
              <w:t> </w:t>
            </w:r>
          </w:p>
        </w:tc>
        <w:tc>
          <w:tcPr>
            <w:tcW w:w="12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283"/>
              <w:rPr/>
            </w:pPr>
            <w:r>
              <w:rPr>
                <w:rStyle w:val="StrongEmphasis"/>
              </w:rPr>
              <w:t> </w:t>
            </w:r>
          </w:p>
        </w:tc>
        <w:tc>
          <w:tcPr>
            <w:tcW w:w="17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r>
      <w:tr>
        <w:trPr/>
        <w:tc>
          <w:tcPr>
            <w:tcW w:w="6080" w:type="dxa"/>
            <w:tcBorders>
              <w:bottom w:val="single" w:sz="2" w:space="0" w:color="000000"/>
            </w:tcBorders>
            <w:shd w:fill="auto" w:val="clear"/>
            <w:tcMar>
              <w:bottom w:w="28" w:type="dxa"/>
            </w:tcMar>
            <w:vAlign w:val="center"/>
          </w:tcPr>
          <w:p>
            <w:pPr>
              <w:pStyle w:val="TableContents"/>
              <w:spacing w:before="0" w:after="0"/>
              <w:ind w:left="0" w:right="0" w:hanging="0"/>
              <w:jc w:val="left"/>
              <w:rPr/>
            </w:pPr>
            <w:r>
              <w:rPr>
                <w:rStyle w:val="Emphasis"/>
                <w:rFonts w:ascii="times new roman" w:hAnsi="times new roman"/>
                <w:sz w:val="20"/>
              </w:rPr>
              <w:t>Years ended December 31,</w:t>
            </w:r>
          </w:p>
        </w:tc>
        <w:tc>
          <w:tcPr>
            <w:tcW w:w="9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2022</w:t>
            </w:r>
          </w:p>
        </w:tc>
        <w:tc>
          <w:tcPr>
            <w:tcW w:w="12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2021</w:t>
            </w:r>
          </w:p>
        </w:tc>
        <w:tc>
          <w:tcPr>
            <w:tcW w:w="17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r>
      <w:tr>
        <w:trPr/>
        <w:tc>
          <w:tcPr>
            <w:tcW w:w="608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r>
      <w:tr>
        <w:trPr/>
        <w:tc>
          <w:tcPr>
            <w:tcW w:w="608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r>
      <w:tr>
        <w:trPr/>
        <w:tc>
          <w:tcPr>
            <w:tcW w:w="6080" w:type="dxa"/>
            <w:tcBorders/>
            <w:shd w:fill="auto" w:val="clear"/>
            <w:vAlign w:val="center"/>
          </w:tcPr>
          <w:p>
            <w:pPr>
              <w:pStyle w:val="TableContents"/>
              <w:spacing w:before="0" w:after="0"/>
              <w:ind w:left="0" w:right="0" w:hanging="0"/>
              <w:jc w:val="left"/>
              <w:rPr/>
            </w:pPr>
            <w:r>
              <w:rPr>
                <w:rStyle w:val="StrongEmphasis"/>
                <w:rFonts w:ascii="times new roman" w:hAnsi="times new roman"/>
                <w:sz w:val="20"/>
              </w:rPr>
              <w:t xml:space="preserve">Revenues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r>
      <w:tr>
        <w:trPr/>
        <w:tc>
          <w:tcPr>
            <w:tcW w:w="6080" w:type="dxa"/>
            <w:tcBorders/>
            <w:shd w:fill="CCEE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Net premiums earned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114,384,531</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143,881,719</w:t>
            </w:r>
          </w:p>
        </w:tc>
        <w:tc>
          <w:tcPr>
            <w:tcW w:w="170" w:type="dxa"/>
            <w:tcBorders/>
            <w:shd w:fill="CCEEFF" w:val="clear"/>
            <w:vAlign w:val="center"/>
          </w:tcPr>
          <w:p>
            <w:pPr>
              <w:pStyle w:val="TableContents"/>
              <w:spacing w:before="0" w:after="0"/>
              <w:ind w:left="0" w:right="0" w:hanging="0"/>
              <w:rPr/>
            </w:pPr>
            <w:r>
              <w:rPr/>
              <w:t> </w:t>
            </w:r>
          </w:p>
        </w:tc>
      </w:tr>
      <w:tr>
        <w:trPr/>
        <w:tc>
          <w:tcPr>
            <w:tcW w:w="6080" w:type="dxa"/>
            <w:tcBorders/>
            <w:shd w:fill="FFFF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Ceding commission revenue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19,319,391</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89,681</w:t>
            </w:r>
          </w:p>
        </w:tc>
        <w:tc>
          <w:tcPr>
            <w:tcW w:w="170" w:type="dxa"/>
            <w:tcBorders/>
            <w:shd w:fill="FFFFFF" w:val="clear"/>
            <w:vAlign w:val="center"/>
          </w:tcPr>
          <w:p>
            <w:pPr>
              <w:pStyle w:val="TableContents"/>
              <w:spacing w:before="0" w:after="0"/>
              <w:ind w:left="0" w:right="0" w:hanging="0"/>
              <w:rPr/>
            </w:pPr>
            <w:r>
              <w:rPr/>
              <w:t> </w:t>
            </w:r>
          </w:p>
        </w:tc>
      </w:tr>
      <w:tr>
        <w:trPr/>
        <w:tc>
          <w:tcPr>
            <w:tcW w:w="6080" w:type="dxa"/>
            <w:tcBorders/>
            <w:shd w:fill="CCEE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Net investment income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4,936,778</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6,621,392</w:t>
            </w:r>
          </w:p>
        </w:tc>
        <w:tc>
          <w:tcPr>
            <w:tcW w:w="170" w:type="dxa"/>
            <w:tcBorders/>
            <w:shd w:fill="CCEEFF" w:val="clear"/>
            <w:vAlign w:val="center"/>
          </w:tcPr>
          <w:p>
            <w:pPr>
              <w:pStyle w:val="TableContents"/>
              <w:spacing w:before="0" w:after="0"/>
              <w:ind w:left="0" w:right="0" w:hanging="0"/>
              <w:rPr/>
            </w:pPr>
            <w:r>
              <w:rPr/>
              <w:t> </w:t>
            </w:r>
          </w:p>
        </w:tc>
      </w:tr>
      <w:tr>
        <w:trPr/>
        <w:tc>
          <w:tcPr>
            <w:tcW w:w="6080" w:type="dxa"/>
            <w:tcBorders/>
            <w:shd w:fill="FFFF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Net (losses) gains on investments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(9,391,865</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9,786,955</w:t>
            </w:r>
          </w:p>
        </w:tc>
        <w:tc>
          <w:tcPr>
            <w:tcW w:w="170" w:type="dxa"/>
            <w:tcBorders/>
            <w:shd w:fill="FFFFFF" w:val="clear"/>
            <w:vAlign w:val="center"/>
          </w:tcPr>
          <w:p>
            <w:pPr>
              <w:pStyle w:val="TableContents"/>
              <w:spacing w:before="0" w:after="0"/>
              <w:ind w:left="0" w:right="0" w:hanging="0"/>
              <w:rPr/>
            </w:pPr>
            <w:r>
              <w:rPr/>
              <w:t> </w:t>
            </w:r>
          </w:p>
        </w:tc>
      </w:tr>
      <w:tr>
        <w:trPr/>
        <w:tc>
          <w:tcPr>
            <w:tcW w:w="6080" w:type="dxa"/>
            <w:tcBorders/>
            <w:shd w:fill="CCEE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Other income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910,455</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851,494</w:t>
            </w:r>
          </w:p>
        </w:tc>
        <w:tc>
          <w:tcPr>
            <w:tcW w:w="170" w:type="dxa"/>
            <w:tcBorders/>
            <w:shd w:fill="CCEEFF" w:val="clear"/>
            <w:vAlign w:val="center"/>
          </w:tcPr>
          <w:p>
            <w:pPr>
              <w:pStyle w:val="TableContents"/>
              <w:spacing w:before="0" w:after="0"/>
              <w:ind w:left="0" w:right="0" w:hanging="0"/>
              <w:rPr/>
            </w:pPr>
            <w:r>
              <w:rPr/>
              <w:t> </w:t>
            </w:r>
          </w:p>
        </w:tc>
      </w:tr>
      <w:tr>
        <w:trPr/>
        <w:tc>
          <w:tcPr>
            <w:tcW w:w="6080" w:type="dxa"/>
            <w:tcBorders/>
            <w:shd w:fill="FFFFFF" w:val="clear"/>
            <w:vAlign w:val="center"/>
          </w:tcPr>
          <w:p>
            <w:pPr>
              <w:pStyle w:val="TableContents"/>
              <w:spacing w:before="0" w:after="0"/>
              <w:ind w:left="450" w:right="0" w:hanging="0"/>
              <w:jc w:val="left"/>
              <w:rPr>
                <w:rFonts w:ascii="times new roman" w:hAnsi="times new roman"/>
                <w:sz w:val="20"/>
              </w:rPr>
            </w:pPr>
            <w:r>
              <w:rPr>
                <w:rFonts w:ascii="times new roman" w:hAnsi="times new roman"/>
                <w:sz w:val="20"/>
              </w:rPr>
              <w:t xml:space="preserve">Total revenues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130,159,290</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161,231,241</w:t>
            </w:r>
          </w:p>
        </w:tc>
        <w:tc>
          <w:tcPr>
            <w:tcW w:w="170" w:type="dxa"/>
            <w:tcBorders/>
            <w:shd w:fill="FFFFFF" w:val="clear"/>
            <w:vAlign w:val="center"/>
          </w:tcPr>
          <w:p>
            <w:pPr>
              <w:pStyle w:val="TableContents"/>
              <w:spacing w:before="0" w:after="0"/>
              <w:ind w:left="0" w:right="0" w:hanging="0"/>
              <w:rPr/>
            </w:pPr>
            <w:r>
              <w:rPr/>
              <w:t> </w:t>
            </w:r>
          </w:p>
        </w:tc>
      </w:tr>
      <w:tr>
        <w:trPr/>
        <w:tc>
          <w:tcPr>
            <w:tcW w:w="608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6080" w:type="dxa"/>
            <w:tcBorders/>
            <w:shd w:fill="FFFFFF" w:val="clear"/>
            <w:vAlign w:val="center"/>
          </w:tcPr>
          <w:p>
            <w:pPr>
              <w:pStyle w:val="TableContents"/>
              <w:spacing w:before="0" w:after="0"/>
              <w:ind w:left="0" w:right="0" w:hanging="0"/>
              <w:jc w:val="left"/>
              <w:rPr/>
            </w:pPr>
            <w:r>
              <w:rPr>
                <w:rStyle w:val="StrongEmphasis"/>
                <w:rFonts w:ascii="times new roman" w:hAnsi="times new roman"/>
                <w:sz w:val="20"/>
              </w:rPr>
              <w:t xml:space="preserve">Expenses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6080" w:type="dxa"/>
            <w:tcBorders/>
            <w:shd w:fill="CCEE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Loss and loss adjustment expenses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88,390,042</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101,972,596</w:t>
            </w:r>
          </w:p>
        </w:tc>
        <w:tc>
          <w:tcPr>
            <w:tcW w:w="170" w:type="dxa"/>
            <w:tcBorders/>
            <w:shd w:fill="CCEEFF" w:val="clear"/>
            <w:vAlign w:val="center"/>
          </w:tcPr>
          <w:p>
            <w:pPr>
              <w:pStyle w:val="TableContents"/>
              <w:spacing w:before="0" w:after="0"/>
              <w:ind w:left="0" w:right="0" w:hanging="0"/>
              <w:rPr/>
            </w:pPr>
            <w:r>
              <w:rPr/>
              <w:t> </w:t>
            </w:r>
          </w:p>
        </w:tc>
      </w:tr>
      <w:tr>
        <w:trPr/>
        <w:tc>
          <w:tcPr>
            <w:tcW w:w="6080" w:type="dxa"/>
            <w:tcBorders/>
            <w:shd w:fill="FFFF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Commission expense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34,581,617</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33,114,103</w:t>
            </w:r>
          </w:p>
        </w:tc>
        <w:tc>
          <w:tcPr>
            <w:tcW w:w="170" w:type="dxa"/>
            <w:tcBorders/>
            <w:shd w:fill="FFFFFF" w:val="clear"/>
            <w:vAlign w:val="center"/>
          </w:tcPr>
          <w:p>
            <w:pPr>
              <w:pStyle w:val="TableContents"/>
              <w:spacing w:before="0" w:after="0"/>
              <w:ind w:left="0" w:right="0" w:hanging="0"/>
              <w:rPr/>
            </w:pPr>
            <w:r>
              <w:rPr/>
              <w:t> </w:t>
            </w:r>
          </w:p>
        </w:tc>
      </w:tr>
      <w:tr>
        <w:trPr/>
        <w:tc>
          <w:tcPr>
            <w:tcW w:w="6080" w:type="dxa"/>
            <w:tcBorders/>
            <w:shd w:fill="CCEE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Other underwriting expenses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26,697,006</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26,254,143</w:t>
            </w:r>
          </w:p>
        </w:tc>
        <w:tc>
          <w:tcPr>
            <w:tcW w:w="170" w:type="dxa"/>
            <w:tcBorders/>
            <w:shd w:fill="CCEEFF" w:val="clear"/>
            <w:vAlign w:val="center"/>
          </w:tcPr>
          <w:p>
            <w:pPr>
              <w:pStyle w:val="TableContents"/>
              <w:spacing w:before="0" w:after="0"/>
              <w:ind w:left="0" w:right="0" w:hanging="0"/>
              <w:rPr/>
            </w:pPr>
            <w:r>
              <w:rPr/>
              <w:t> </w:t>
            </w:r>
          </w:p>
        </w:tc>
      </w:tr>
      <w:tr>
        <w:trPr/>
        <w:tc>
          <w:tcPr>
            <w:tcW w:w="6080" w:type="dxa"/>
            <w:tcBorders/>
            <w:shd w:fill="FFFF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Other operating expenses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3,113,473</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4,183,211</w:t>
            </w:r>
          </w:p>
        </w:tc>
        <w:tc>
          <w:tcPr>
            <w:tcW w:w="170" w:type="dxa"/>
            <w:tcBorders/>
            <w:shd w:fill="FFFFFF" w:val="clear"/>
            <w:vAlign w:val="center"/>
          </w:tcPr>
          <w:p>
            <w:pPr>
              <w:pStyle w:val="TableContents"/>
              <w:spacing w:before="0" w:after="0"/>
              <w:ind w:left="0" w:right="0" w:hanging="0"/>
              <w:rPr/>
            </w:pPr>
            <w:r>
              <w:rPr/>
              <w:t> </w:t>
            </w:r>
          </w:p>
        </w:tc>
      </w:tr>
      <w:tr>
        <w:trPr/>
        <w:tc>
          <w:tcPr>
            <w:tcW w:w="6080" w:type="dxa"/>
            <w:tcBorders/>
            <w:shd w:fill="CCEE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Depreciation and amortization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3,300,445</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3,290,445</w:t>
            </w:r>
          </w:p>
        </w:tc>
        <w:tc>
          <w:tcPr>
            <w:tcW w:w="170" w:type="dxa"/>
            <w:tcBorders/>
            <w:shd w:fill="CCEEFF" w:val="clear"/>
            <w:vAlign w:val="center"/>
          </w:tcPr>
          <w:p>
            <w:pPr>
              <w:pStyle w:val="TableContents"/>
              <w:spacing w:before="0" w:after="0"/>
              <w:ind w:left="0" w:right="0" w:hanging="0"/>
              <w:rPr/>
            </w:pPr>
            <w:r>
              <w:rPr/>
              <w:t> </w:t>
            </w:r>
          </w:p>
        </w:tc>
      </w:tr>
      <w:tr>
        <w:trPr/>
        <w:tc>
          <w:tcPr>
            <w:tcW w:w="6080" w:type="dxa"/>
            <w:tcBorders/>
            <w:shd w:fill="FFFF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Interest expense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2,019,047</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1,826,180</w:t>
            </w:r>
          </w:p>
        </w:tc>
        <w:tc>
          <w:tcPr>
            <w:tcW w:w="170" w:type="dxa"/>
            <w:tcBorders/>
            <w:shd w:fill="FFFFFF" w:val="clear"/>
            <w:vAlign w:val="center"/>
          </w:tcPr>
          <w:p>
            <w:pPr>
              <w:pStyle w:val="TableContents"/>
              <w:spacing w:before="0" w:after="0"/>
              <w:ind w:left="0" w:right="0" w:hanging="0"/>
              <w:rPr/>
            </w:pPr>
            <w:r>
              <w:rPr/>
              <w:t> </w:t>
            </w:r>
          </w:p>
        </w:tc>
      </w:tr>
      <w:tr>
        <w:trPr/>
        <w:tc>
          <w:tcPr>
            <w:tcW w:w="6080" w:type="dxa"/>
            <w:tcBorders/>
            <w:shd w:fill="CCEEFF" w:val="clear"/>
            <w:vAlign w:val="center"/>
          </w:tcPr>
          <w:p>
            <w:pPr>
              <w:pStyle w:val="TableContents"/>
              <w:spacing w:before="0" w:after="0"/>
              <w:ind w:left="450" w:right="0" w:hanging="0"/>
              <w:jc w:val="left"/>
              <w:rPr>
                <w:rFonts w:ascii="times new roman" w:hAnsi="times new roman"/>
                <w:sz w:val="20"/>
              </w:rPr>
            </w:pPr>
            <w:r>
              <w:rPr>
                <w:rFonts w:ascii="times new roman" w:hAnsi="times new roman"/>
                <w:sz w:val="20"/>
              </w:rPr>
              <w:t xml:space="preserve">Total expenses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158,101,630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170,640,678</w:t>
            </w:r>
          </w:p>
        </w:tc>
        <w:tc>
          <w:tcPr>
            <w:tcW w:w="170" w:type="dxa"/>
            <w:tcBorders/>
            <w:shd w:fill="CCEEFF" w:val="clear"/>
            <w:vAlign w:val="center"/>
          </w:tcPr>
          <w:p>
            <w:pPr>
              <w:pStyle w:val="TableContents"/>
              <w:spacing w:before="0" w:after="0"/>
              <w:ind w:left="0" w:right="0" w:hanging="0"/>
              <w:rPr/>
            </w:pPr>
            <w:r>
              <w:rPr/>
              <w:t> </w:t>
            </w:r>
          </w:p>
        </w:tc>
      </w:tr>
      <w:tr>
        <w:trPr/>
        <w:tc>
          <w:tcPr>
            <w:tcW w:w="608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6080" w:type="dxa"/>
            <w:tcBorders/>
            <w:shd w:fill="CCEE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Loss from operations before taxes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(27,942,340</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(9,409,437</w:t>
            </w:r>
          </w:p>
        </w:tc>
        <w:tc>
          <w:tcPr>
            <w:tcW w:w="170" w:type="dxa"/>
            <w:tcBorders/>
            <w:shd w:fill="CCEEFF" w:val="clear"/>
            <w:vAlign w:val="center"/>
          </w:tcPr>
          <w:p>
            <w:pPr>
              <w:pStyle w:val="TableContents"/>
              <w:spacing w:before="0" w:after="283"/>
              <w:rPr/>
            </w:pPr>
            <w:r>
              <w:rPr/>
              <w:t>)</w:t>
            </w:r>
          </w:p>
        </w:tc>
      </w:tr>
      <w:tr>
        <w:trPr/>
        <w:tc>
          <w:tcPr>
            <w:tcW w:w="6080" w:type="dxa"/>
            <w:tcBorders/>
            <w:shd w:fill="FFFF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Income tax benefit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(5,417,546</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(2,031,136</w:t>
            </w:r>
          </w:p>
        </w:tc>
        <w:tc>
          <w:tcPr>
            <w:tcW w:w="170" w:type="dxa"/>
            <w:tcBorders/>
            <w:shd w:fill="FFFFFF" w:val="clear"/>
            <w:vAlign w:val="center"/>
          </w:tcPr>
          <w:p>
            <w:pPr>
              <w:pStyle w:val="TableContents"/>
              <w:spacing w:before="0" w:after="283"/>
              <w:rPr/>
            </w:pPr>
            <w:r>
              <w:rPr/>
              <w:t>)</w:t>
            </w:r>
          </w:p>
        </w:tc>
      </w:tr>
      <w:tr>
        <w:trPr/>
        <w:tc>
          <w:tcPr>
            <w:tcW w:w="6080" w:type="dxa"/>
            <w:tcBorders/>
            <w:shd w:fill="CCEEFF" w:val="clear"/>
            <w:vAlign w:val="center"/>
          </w:tcPr>
          <w:p>
            <w:pPr>
              <w:pStyle w:val="TableContents"/>
              <w:spacing w:before="0" w:after="0"/>
              <w:ind w:left="0" w:right="0" w:hanging="0"/>
              <w:jc w:val="left"/>
              <w:rPr/>
            </w:pPr>
            <w:r>
              <w:rPr>
                <w:rStyle w:val="StrongEmphasis"/>
                <w:rFonts w:ascii="times new roman" w:hAnsi="times new roman"/>
                <w:sz w:val="20"/>
              </w:rPr>
              <w:t>Net loss</w:t>
            </w:r>
            <w:r>
              <w:rPr>
                <w:rFonts w:ascii="times new roman" w:hAnsi="times new roman"/>
                <w:sz w:val="20"/>
              </w:rPr>
              <w:t xml:space="preserve">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(22,524,794</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(7,378,301</w:t>
            </w:r>
          </w:p>
        </w:tc>
        <w:tc>
          <w:tcPr>
            <w:tcW w:w="170" w:type="dxa"/>
            <w:tcBorders/>
            <w:shd w:fill="CCEEFF" w:val="clear"/>
            <w:vAlign w:val="center"/>
          </w:tcPr>
          <w:p>
            <w:pPr>
              <w:pStyle w:val="TableContents"/>
              <w:spacing w:before="0" w:after="283"/>
              <w:rPr/>
            </w:pPr>
            <w:r>
              <w:rPr/>
              <w:t>)</w:t>
            </w:r>
          </w:p>
        </w:tc>
      </w:tr>
      <w:tr>
        <w:trPr/>
        <w:tc>
          <w:tcPr>
            <w:tcW w:w="608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6080" w:type="dxa"/>
            <w:tcBorders/>
            <w:shd w:fill="CCEEFF" w:val="clear"/>
            <w:vAlign w:val="center"/>
          </w:tcPr>
          <w:p>
            <w:pPr>
              <w:pStyle w:val="TableContents"/>
              <w:spacing w:before="0" w:after="0"/>
              <w:ind w:left="0" w:right="0" w:hanging="0"/>
              <w:jc w:val="left"/>
              <w:rPr/>
            </w:pPr>
            <w:r>
              <w:rPr>
                <w:rStyle w:val="StrongEmphasis"/>
                <w:rFonts w:ascii="times new roman" w:hAnsi="times new roman"/>
                <w:sz w:val="20"/>
              </w:rPr>
              <w:t xml:space="preserve">Other comprehensive loss, net of tax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6080" w:type="dxa"/>
            <w:tcBorders/>
            <w:shd w:fill="FFFF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Gross change in unrealized losses on available-for-sale-securities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(22,540,229</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(5,111,234</w:t>
            </w:r>
          </w:p>
        </w:tc>
        <w:tc>
          <w:tcPr>
            <w:tcW w:w="170" w:type="dxa"/>
            <w:tcBorders/>
            <w:shd w:fill="FFFFFF" w:val="clear"/>
            <w:vAlign w:val="center"/>
          </w:tcPr>
          <w:p>
            <w:pPr>
              <w:pStyle w:val="TableContents"/>
              <w:spacing w:before="0" w:after="283"/>
              <w:rPr/>
            </w:pPr>
            <w:r>
              <w:rPr/>
              <w:t>)</w:t>
            </w:r>
          </w:p>
        </w:tc>
      </w:tr>
      <w:tr>
        <w:trPr/>
        <w:tc>
          <w:tcPr>
            <w:tcW w:w="608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6080" w:type="dxa"/>
            <w:tcBorders/>
            <w:shd w:fill="FFFF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Reclassification adjustment for losses (gains)  included in net loss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65,333</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(5,120,822</w:t>
            </w:r>
          </w:p>
        </w:tc>
        <w:tc>
          <w:tcPr>
            <w:tcW w:w="170" w:type="dxa"/>
            <w:tcBorders/>
            <w:shd w:fill="FFFFFF" w:val="clear"/>
            <w:vAlign w:val="center"/>
          </w:tcPr>
          <w:p>
            <w:pPr>
              <w:pStyle w:val="TableContents"/>
              <w:spacing w:before="0" w:after="283"/>
              <w:rPr/>
            </w:pPr>
            <w:r>
              <w:rPr/>
              <w:t>)</w:t>
            </w:r>
          </w:p>
        </w:tc>
      </w:tr>
      <w:tr>
        <w:trPr/>
        <w:tc>
          <w:tcPr>
            <w:tcW w:w="6080" w:type="dxa"/>
            <w:tcBorders/>
            <w:shd w:fill="CCEEFF" w:val="clear"/>
            <w:vAlign w:val="center"/>
          </w:tcPr>
          <w:p>
            <w:pPr>
              <w:pStyle w:val="TableContents"/>
              <w:spacing w:before="0" w:after="0"/>
              <w:ind w:left="450" w:right="0" w:hanging="0"/>
              <w:jc w:val="left"/>
              <w:rPr>
                <w:rFonts w:ascii="times new roman" w:hAnsi="times new roman"/>
                <w:sz w:val="20"/>
              </w:rPr>
            </w:pPr>
            <w:r>
              <w:rPr>
                <w:rFonts w:ascii="times new roman" w:hAnsi="times new roman"/>
                <w:sz w:val="20"/>
              </w:rPr>
              <w:t xml:space="preserve">Net change in unrealized losses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(22,474,896</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(10,232,056</w:t>
            </w:r>
          </w:p>
        </w:tc>
        <w:tc>
          <w:tcPr>
            <w:tcW w:w="170" w:type="dxa"/>
            <w:tcBorders/>
            <w:shd w:fill="CCEEFF" w:val="clear"/>
            <w:vAlign w:val="center"/>
          </w:tcPr>
          <w:p>
            <w:pPr>
              <w:pStyle w:val="TableContents"/>
              <w:spacing w:before="0" w:after="283"/>
              <w:rPr/>
            </w:pPr>
            <w:r>
              <w:rPr/>
              <w:t>)</w:t>
            </w:r>
          </w:p>
        </w:tc>
      </w:tr>
      <w:tr>
        <w:trPr/>
        <w:tc>
          <w:tcPr>
            <w:tcW w:w="6080" w:type="dxa"/>
            <w:tcBorders/>
            <w:shd w:fill="FFFF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Income tax benefit related to items of other comprehensive loss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4,719,729</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2,148,733</w:t>
            </w:r>
          </w:p>
        </w:tc>
        <w:tc>
          <w:tcPr>
            <w:tcW w:w="170" w:type="dxa"/>
            <w:tcBorders/>
            <w:shd w:fill="FFFFFF" w:val="clear"/>
            <w:vAlign w:val="center"/>
          </w:tcPr>
          <w:p>
            <w:pPr>
              <w:pStyle w:val="TableContents"/>
              <w:spacing w:before="0" w:after="0"/>
              <w:ind w:left="0" w:right="0" w:hanging="0"/>
              <w:rPr/>
            </w:pPr>
            <w:r>
              <w:rPr/>
              <w:t> </w:t>
            </w:r>
          </w:p>
        </w:tc>
      </w:tr>
      <w:tr>
        <w:trPr/>
        <w:tc>
          <w:tcPr>
            <w:tcW w:w="6080" w:type="dxa"/>
            <w:tcBorders/>
            <w:shd w:fill="CCEEFF" w:val="clear"/>
            <w:vAlign w:val="center"/>
          </w:tcPr>
          <w:p>
            <w:pPr>
              <w:pStyle w:val="TableContents"/>
              <w:spacing w:before="0" w:after="0"/>
              <w:ind w:left="0" w:right="0" w:hanging="0"/>
              <w:jc w:val="left"/>
              <w:rPr/>
            </w:pPr>
            <w:r>
              <w:rPr>
                <w:rStyle w:val="StrongEmphasis"/>
                <w:rFonts w:ascii="times new roman" w:hAnsi="times new roman"/>
                <w:sz w:val="20"/>
              </w:rPr>
              <w:t xml:space="preserve">Other comprehensive loss, net of tax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(17,755,167</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(8,083,323</w:t>
            </w:r>
          </w:p>
        </w:tc>
        <w:tc>
          <w:tcPr>
            <w:tcW w:w="170" w:type="dxa"/>
            <w:tcBorders/>
            <w:shd w:fill="CCEEFF" w:val="clear"/>
            <w:vAlign w:val="center"/>
          </w:tcPr>
          <w:p>
            <w:pPr>
              <w:pStyle w:val="TableContents"/>
              <w:spacing w:before="0" w:after="283"/>
              <w:rPr/>
            </w:pPr>
            <w:r>
              <w:rPr/>
              <w:t>)</w:t>
            </w:r>
          </w:p>
        </w:tc>
      </w:tr>
      <w:tr>
        <w:trPr/>
        <w:tc>
          <w:tcPr>
            <w:tcW w:w="608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6080" w:type="dxa"/>
            <w:tcBorders/>
            <w:shd w:fill="CCEEFF" w:val="clear"/>
            <w:vAlign w:val="center"/>
          </w:tcPr>
          <w:p>
            <w:pPr>
              <w:pStyle w:val="TableContents"/>
              <w:spacing w:before="0" w:after="0"/>
              <w:ind w:left="0" w:right="0" w:hanging="0"/>
              <w:jc w:val="left"/>
              <w:rPr/>
            </w:pPr>
            <w:r>
              <w:rPr>
                <w:rStyle w:val="StrongEmphasis"/>
                <w:rFonts w:ascii="times new roman" w:hAnsi="times new roman"/>
                <w:sz w:val="20"/>
              </w:rPr>
              <w:t xml:space="preserve">Comprehensive loss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5" w:space="0" w:color="000000"/>
            </w:tcBorders>
            <w:shd w:fill="CCEEFF" w:val="clear"/>
            <w:tcMar>
              <w:bottom w:w="28" w:type="dxa"/>
            </w:tcMar>
            <w:vAlign w:val="center"/>
          </w:tcPr>
          <w:p>
            <w:pPr>
              <w:pStyle w:val="TableContents"/>
              <w:spacing w:before="0" w:after="283"/>
              <w:jc w:val="right"/>
              <w:rPr/>
            </w:pPr>
            <w:r>
              <w:rPr/>
              <w:t>(40,279,961</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5" w:space="0" w:color="000000"/>
            </w:tcBorders>
            <w:shd w:fill="CCEEFF" w:val="clear"/>
            <w:tcMar>
              <w:bottom w:w="28" w:type="dxa"/>
            </w:tcMar>
            <w:vAlign w:val="center"/>
          </w:tcPr>
          <w:p>
            <w:pPr>
              <w:pStyle w:val="TableContents"/>
              <w:spacing w:before="0" w:after="283"/>
              <w:jc w:val="right"/>
              <w:rPr/>
            </w:pPr>
            <w:r>
              <w:rPr/>
              <w:t>(15,461,624</w:t>
            </w:r>
          </w:p>
        </w:tc>
        <w:tc>
          <w:tcPr>
            <w:tcW w:w="170" w:type="dxa"/>
            <w:tcBorders/>
            <w:shd w:fill="CCEEFF" w:val="clear"/>
            <w:vAlign w:val="center"/>
          </w:tcPr>
          <w:p>
            <w:pPr>
              <w:pStyle w:val="TableContents"/>
              <w:spacing w:before="0" w:after="283"/>
              <w:rPr/>
            </w:pPr>
            <w:r>
              <w:rPr/>
              <w:t>)</w:t>
            </w:r>
          </w:p>
        </w:tc>
      </w:tr>
      <w:tr>
        <w:trPr/>
        <w:tc>
          <w:tcPr>
            <w:tcW w:w="608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6080" w:type="dxa"/>
            <w:tcBorders/>
            <w:shd w:fill="CCEEFF" w:val="clear"/>
            <w:vAlign w:val="center"/>
          </w:tcPr>
          <w:p>
            <w:pPr>
              <w:pStyle w:val="TableContents"/>
              <w:spacing w:before="0" w:after="283"/>
              <w:rPr/>
            </w:pPr>
            <w:r>
              <w:rPr>
                <w:rStyle w:val="StrongEmphasis"/>
              </w:rPr>
              <w:t>Loss per common share:</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6080" w:type="dxa"/>
            <w:tcBorders/>
            <w:shd w:fill="FFFF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Basic</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5"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5" w:space="0" w:color="000000"/>
            </w:tcBorders>
            <w:shd w:fill="FFFFFF" w:val="clear"/>
            <w:tcMar>
              <w:bottom w:w="28" w:type="dxa"/>
            </w:tcMar>
            <w:vAlign w:val="center"/>
          </w:tcPr>
          <w:p>
            <w:pPr>
              <w:pStyle w:val="TableContents"/>
              <w:spacing w:before="0" w:after="283"/>
              <w:jc w:val="right"/>
              <w:rPr/>
            </w:pPr>
            <w:r>
              <w:rPr/>
              <w:t>(2.12</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5"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5" w:space="0" w:color="000000"/>
            </w:tcBorders>
            <w:shd w:fill="FFFFFF" w:val="clear"/>
            <w:tcMar>
              <w:bottom w:w="28" w:type="dxa"/>
            </w:tcMar>
            <w:vAlign w:val="center"/>
          </w:tcPr>
          <w:p>
            <w:pPr>
              <w:pStyle w:val="TableContents"/>
              <w:spacing w:before="0" w:after="283"/>
              <w:jc w:val="right"/>
              <w:rPr/>
            </w:pPr>
            <w:r>
              <w:rPr/>
              <w:t>(0.70</w:t>
            </w:r>
          </w:p>
        </w:tc>
        <w:tc>
          <w:tcPr>
            <w:tcW w:w="170" w:type="dxa"/>
            <w:tcBorders/>
            <w:shd w:fill="FFFFFF" w:val="clear"/>
            <w:vAlign w:val="center"/>
          </w:tcPr>
          <w:p>
            <w:pPr>
              <w:pStyle w:val="TableContents"/>
              <w:spacing w:before="0" w:after="283"/>
              <w:rPr/>
            </w:pPr>
            <w:r>
              <w:rPr/>
              <w:t>)</w:t>
            </w:r>
          </w:p>
        </w:tc>
      </w:tr>
      <w:tr>
        <w:trPr/>
        <w:tc>
          <w:tcPr>
            <w:tcW w:w="6080" w:type="dxa"/>
            <w:tcBorders/>
            <w:shd w:fill="CCEE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Diluted</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5" w:space="0" w:color="000000"/>
            </w:tcBorders>
            <w:shd w:fill="CCEEFF" w:val="clear"/>
            <w:tcMar>
              <w:bottom w:w="28" w:type="dxa"/>
            </w:tcMar>
            <w:vAlign w:val="center"/>
          </w:tcPr>
          <w:p>
            <w:pPr>
              <w:pStyle w:val="TableContents"/>
              <w:spacing w:before="0" w:after="283"/>
              <w:jc w:val="right"/>
              <w:rPr/>
            </w:pPr>
            <w:r>
              <w:rPr/>
              <w:t>(2.12</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5" w:space="0" w:color="000000"/>
            </w:tcBorders>
            <w:shd w:fill="CCEEFF" w:val="clear"/>
            <w:tcMar>
              <w:bottom w:w="28" w:type="dxa"/>
            </w:tcMar>
            <w:vAlign w:val="center"/>
          </w:tcPr>
          <w:p>
            <w:pPr>
              <w:pStyle w:val="TableContents"/>
              <w:spacing w:before="0" w:after="283"/>
              <w:jc w:val="right"/>
              <w:rPr/>
            </w:pPr>
            <w:r>
              <w:rPr/>
              <w:t>(0.70</w:t>
            </w:r>
          </w:p>
        </w:tc>
        <w:tc>
          <w:tcPr>
            <w:tcW w:w="170" w:type="dxa"/>
            <w:tcBorders/>
            <w:shd w:fill="CCEEFF" w:val="clear"/>
            <w:vAlign w:val="center"/>
          </w:tcPr>
          <w:p>
            <w:pPr>
              <w:pStyle w:val="TableContents"/>
              <w:spacing w:before="0" w:after="283"/>
              <w:rPr/>
            </w:pPr>
            <w:r>
              <w:rPr/>
              <w:t>)</w:t>
            </w:r>
          </w:p>
        </w:tc>
      </w:tr>
      <w:tr>
        <w:trPr/>
        <w:tc>
          <w:tcPr>
            <w:tcW w:w="608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6080" w:type="dxa"/>
            <w:tcBorders/>
            <w:shd w:fill="CCEEFF" w:val="clear"/>
            <w:vAlign w:val="center"/>
          </w:tcPr>
          <w:p>
            <w:pPr>
              <w:pStyle w:val="TableContents"/>
              <w:spacing w:before="0" w:after="283"/>
              <w:rPr/>
            </w:pPr>
            <w:r>
              <w:rPr>
                <w:rStyle w:val="StrongEmphasis"/>
              </w:rPr>
              <w:t>Weighted average common shares outstanding</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6080" w:type="dxa"/>
            <w:tcBorders/>
            <w:shd w:fill="FFFF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Basic</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5"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double" w:sz="5" w:space="0" w:color="000000"/>
            </w:tcBorders>
            <w:shd w:fill="FFFFFF" w:val="clear"/>
            <w:tcMar>
              <w:bottom w:w="28" w:type="dxa"/>
            </w:tcMar>
            <w:vAlign w:val="center"/>
          </w:tcPr>
          <w:p>
            <w:pPr>
              <w:pStyle w:val="TableContents"/>
              <w:spacing w:before="0" w:after="283"/>
              <w:jc w:val="right"/>
              <w:rPr/>
            </w:pPr>
            <w:r>
              <w:rPr/>
              <w:t>10,645,365</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5"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double" w:sz="5" w:space="0" w:color="000000"/>
            </w:tcBorders>
            <w:shd w:fill="FFFFFF" w:val="clear"/>
            <w:tcMar>
              <w:bottom w:w="28" w:type="dxa"/>
            </w:tcMar>
            <w:vAlign w:val="center"/>
          </w:tcPr>
          <w:p>
            <w:pPr>
              <w:pStyle w:val="TableContents"/>
              <w:spacing w:before="0" w:after="283"/>
              <w:jc w:val="right"/>
              <w:rPr/>
            </w:pPr>
            <w:r>
              <w:rPr/>
              <w:t>10,587,912</w:t>
            </w:r>
          </w:p>
        </w:tc>
        <w:tc>
          <w:tcPr>
            <w:tcW w:w="170" w:type="dxa"/>
            <w:tcBorders/>
            <w:shd w:fill="FFFFFF" w:val="clear"/>
            <w:vAlign w:val="center"/>
          </w:tcPr>
          <w:p>
            <w:pPr>
              <w:pStyle w:val="TableContents"/>
              <w:spacing w:before="0" w:after="0"/>
              <w:ind w:left="0" w:right="0" w:hanging="0"/>
              <w:rPr/>
            </w:pPr>
            <w:r>
              <w:rPr/>
              <w:t> </w:t>
            </w:r>
          </w:p>
        </w:tc>
      </w:tr>
      <w:tr>
        <w:trPr/>
        <w:tc>
          <w:tcPr>
            <w:tcW w:w="6080" w:type="dxa"/>
            <w:tcBorders/>
            <w:shd w:fill="CCEE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Diluted</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double" w:sz="5" w:space="0" w:color="000000"/>
            </w:tcBorders>
            <w:shd w:fill="CCEEFF" w:val="clear"/>
            <w:tcMar>
              <w:bottom w:w="28" w:type="dxa"/>
            </w:tcMar>
            <w:vAlign w:val="center"/>
          </w:tcPr>
          <w:p>
            <w:pPr>
              <w:pStyle w:val="TableContents"/>
              <w:spacing w:before="0" w:after="283"/>
              <w:jc w:val="right"/>
              <w:rPr/>
            </w:pPr>
            <w:r>
              <w:rPr/>
              <w:t>10,645,365</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double" w:sz="5" w:space="0" w:color="000000"/>
            </w:tcBorders>
            <w:shd w:fill="CCEEFF" w:val="clear"/>
            <w:tcMar>
              <w:bottom w:w="28" w:type="dxa"/>
            </w:tcMar>
            <w:vAlign w:val="center"/>
          </w:tcPr>
          <w:p>
            <w:pPr>
              <w:pStyle w:val="TableContents"/>
              <w:spacing w:before="0" w:after="283"/>
              <w:jc w:val="right"/>
              <w:rPr/>
            </w:pPr>
            <w:r>
              <w:rPr/>
              <w:t>10,587,912</w:t>
            </w:r>
          </w:p>
        </w:tc>
        <w:tc>
          <w:tcPr>
            <w:tcW w:w="170" w:type="dxa"/>
            <w:tcBorders/>
            <w:shd w:fill="CCEEFF" w:val="clear"/>
            <w:vAlign w:val="center"/>
          </w:tcPr>
          <w:p>
            <w:pPr>
              <w:pStyle w:val="TableContents"/>
              <w:spacing w:before="0" w:after="0"/>
              <w:ind w:left="0" w:right="0" w:hanging="0"/>
              <w:rPr/>
            </w:pPr>
            <w:r>
              <w:rPr/>
              <w:t> </w:t>
            </w:r>
          </w:p>
        </w:tc>
      </w:tr>
      <w:tr>
        <w:trPr/>
        <w:tc>
          <w:tcPr>
            <w:tcW w:w="608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6080" w:type="dxa"/>
            <w:tcBorders/>
            <w:shd w:fill="CCEEFF" w:val="clear"/>
            <w:vAlign w:val="center"/>
          </w:tcPr>
          <w:p>
            <w:pPr>
              <w:pStyle w:val="TableContents"/>
              <w:spacing w:before="0" w:after="283"/>
              <w:rPr/>
            </w:pPr>
            <w:r>
              <w:rPr>
                <w:rStyle w:val="StrongEmphasis"/>
              </w:rPr>
              <w:t>Dividends declared and paid per common share</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5" w:space="0" w:color="000000"/>
            </w:tcBorders>
            <w:shd w:fill="CCEEFF" w:val="clear"/>
            <w:tcMar>
              <w:bottom w:w="28" w:type="dxa"/>
            </w:tcMar>
            <w:vAlign w:val="center"/>
          </w:tcPr>
          <w:p>
            <w:pPr>
              <w:pStyle w:val="TableContents"/>
              <w:spacing w:before="0" w:after="283"/>
              <w:jc w:val="right"/>
              <w:rPr/>
            </w:pPr>
            <w:r>
              <w:rPr/>
              <w:t>0.12</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5" w:space="0" w:color="000000"/>
            </w:tcBorders>
            <w:shd w:fill="CCEEFF" w:val="clear"/>
            <w:tcMar>
              <w:bottom w:w="28" w:type="dxa"/>
            </w:tcMar>
            <w:vAlign w:val="center"/>
          </w:tcPr>
          <w:p>
            <w:pPr>
              <w:pStyle w:val="TableContents"/>
              <w:spacing w:before="0" w:after="283"/>
              <w:jc w:val="right"/>
              <w:rPr/>
            </w:pPr>
            <w:r>
              <w:rPr/>
              <w:t>0.16</w:t>
            </w:r>
          </w:p>
        </w:tc>
        <w:tc>
          <w:tcPr>
            <w:tcW w:w="170"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pPr>
      <w:r>
        <w:rPr>
          <w:rStyle w:val="Emphasis"/>
          <w:rFonts w:ascii="times new roman" w:hAnsi="times new roman"/>
          <w:sz w:val="20"/>
        </w:rPr>
        <w:t>See accompanying notes to these consolidated financial statements.</w:t>
      </w:r>
    </w:p>
    <w:p>
      <w:pPr>
        <w:pStyle w:val="TextBody"/>
        <w:spacing w:before="0" w:after="0"/>
        <w:ind w:left="0" w:right="0" w:hanging="0"/>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F-5</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w:t>
      </w:r>
    </w:p>
    <w:tbl>
      <w:tblPr>
        <w:tblW w:w="14877" w:type="dxa"/>
        <w:jc w:val="left"/>
        <w:tblInd w:w="0" w:type="dxa"/>
        <w:tblCellMar>
          <w:top w:w="0" w:type="dxa"/>
          <w:left w:w="0" w:type="dxa"/>
          <w:bottom w:w="0" w:type="dxa"/>
          <w:right w:w="0" w:type="dxa"/>
        </w:tblCellMar>
      </w:tblPr>
      <w:tblGrid>
        <w:gridCol w:w="1205"/>
        <w:gridCol w:w="90"/>
        <w:gridCol w:w="283"/>
        <w:gridCol w:w="397"/>
        <w:gridCol w:w="121"/>
        <w:gridCol w:w="121"/>
        <w:gridCol w:w="448"/>
        <w:gridCol w:w="337"/>
        <w:gridCol w:w="90"/>
        <w:gridCol w:w="90"/>
        <w:gridCol w:w="90"/>
        <w:gridCol w:w="1130"/>
        <w:gridCol w:w="125"/>
        <w:gridCol w:w="90"/>
        <w:gridCol w:w="170"/>
        <w:gridCol w:w="830"/>
        <w:gridCol w:w="125"/>
        <w:gridCol w:w="90"/>
        <w:gridCol w:w="170"/>
        <w:gridCol w:w="1130"/>
        <w:gridCol w:w="125"/>
        <w:gridCol w:w="90"/>
        <w:gridCol w:w="176"/>
        <w:gridCol w:w="1254"/>
        <w:gridCol w:w="125"/>
        <w:gridCol w:w="90"/>
        <w:gridCol w:w="170"/>
        <w:gridCol w:w="1205"/>
        <w:gridCol w:w="125"/>
        <w:gridCol w:w="90"/>
        <w:gridCol w:w="90"/>
        <w:gridCol w:w="1010"/>
        <w:gridCol w:w="90"/>
        <w:gridCol w:w="90"/>
        <w:gridCol w:w="170"/>
        <w:gridCol w:w="1085"/>
        <w:gridCol w:w="125"/>
        <w:gridCol w:w="90"/>
        <w:gridCol w:w="170"/>
        <w:gridCol w:w="1205"/>
        <w:gridCol w:w="170"/>
      </w:tblGrid>
      <w:tr>
        <w:trPr/>
        <w:tc>
          <w:tcPr>
            <w:tcW w:w="14877" w:type="dxa"/>
            <w:gridSpan w:val="41"/>
            <w:tcBorders/>
            <w:shd w:fill="auto" w:val="clear"/>
            <w:vAlign w:val="center"/>
          </w:tcPr>
          <w:p>
            <w:pPr>
              <w:pStyle w:val="TableContents"/>
              <w:spacing w:before="0" w:after="0"/>
              <w:ind w:left="0" w:right="0" w:hanging="0"/>
              <w:jc w:val="right"/>
              <w:rPr/>
            </w:pPr>
            <w:bookmarkStart w:id="32" w:name="she"/>
            <w:bookmarkEnd w:id="32"/>
            <w:r>
              <w:rPr>
                <w:rStyle w:val="StrongEmphasis"/>
                <w:rFonts w:ascii="times new roman" w:hAnsi="times new roman"/>
                <w:sz w:val="20"/>
              </w:rPr>
              <w:t xml:space="preserve">KINGSTONE COMPANIES, INC. AND SUBSIDIARIES </w:t>
            </w:r>
          </w:p>
        </w:tc>
      </w:tr>
      <w:tr>
        <w:trPr/>
        <w:tc>
          <w:tcPr>
            <w:tcW w:w="120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680" w:type="dxa"/>
            <w:gridSpan w:val="2"/>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0"/>
              <w:ind w:left="0" w:right="0" w:hanging="0"/>
              <w:rPr/>
            </w:pPr>
            <w:r>
              <w:rPr/>
              <w:t> </w:t>
            </w:r>
          </w:p>
        </w:tc>
        <w:tc>
          <w:tcPr>
            <w:tcW w:w="121" w:type="dxa"/>
            <w:tcBorders/>
            <w:shd w:fill="auto" w:val="clear"/>
            <w:vAlign w:val="center"/>
          </w:tcPr>
          <w:p>
            <w:pPr>
              <w:pStyle w:val="TableContents"/>
              <w:spacing w:before="0" w:after="0"/>
              <w:ind w:left="0" w:right="0" w:hanging="0"/>
              <w:rPr/>
            </w:pPr>
            <w:r>
              <w:rPr/>
              <w:t> </w:t>
            </w:r>
          </w:p>
        </w:tc>
        <w:tc>
          <w:tcPr>
            <w:tcW w:w="785"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20"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30"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0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55"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0"/>
              <w:ind w:left="0" w:right="0" w:hanging="0"/>
              <w:rPr/>
            </w:pPr>
            <w:r>
              <w:rPr/>
              <w:t> </w:t>
            </w:r>
          </w:p>
        </w:tc>
      </w:tr>
      <w:tr>
        <w:trPr/>
        <w:tc>
          <w:tcPr>
            <w:tcW w:w="14877" w:type="dxa"/>
            <w:gridSpan w:val="41"/>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Fonts w:ascii="times new roman" w:hAnsi="times new roman"/>
                <w:sz w:val="20"/>
              </w:rPr>
              <w:t>Consolidated Statements of Stockholders' Equity</w:t>
            </w:r>
          </w:p>
        </w:tc>
      </w:tr>
      <w:tr>
        <w:trPr/>
        <w:tc>
          <w:tcPr>
            <w:tcW w:w="14877" w:type="dxa"/>
            <w:gridSpan w:val="41"/>
            <w:tcBorders>
              <w:bottom w:val="single" w:sz="2" w:space="0" w:color="000000"/>
            </w:tcBorders>
            <w:shd w:fill="auto" w:val="clear"/>
            <w:tcMar>
              <w:bottom w:w="28" w:type="dxa"/>
            </w:tcMar>
            <w:vAlign w:val="center"/>
          </w:tcPr>
          <w:p>
            <w:pPr>
              <w:pStyle w:val="TableContents"/>
              <w:spacing w:before="0" w:after="0"/>
              <w:ind w:left="0" w:right="0" w:hanging="0"/>
              <w:rPr/>
            </w:pPr>
            <w:r>
              <w:rPr>
                <w:rStyle w:val="Emphasis"/>
                <w:rFonts w:ascii="times new roman" w:hAnsi="times new roman"/>
                <w:sz w:val="20"/>
              </w:rPr>
              <w:t>Years ended December 31, 2022 and 2021</w:t>
            </w:r>
          </w:p>
        </w:tc>
      </w:tr>
      <w:tr>
        <w:trPr/>
        <w:tc>
          <w:tcPr>
            <w:tcW w:w="120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680" w:type="dxa"/>
            <w:gridSpan w:val="2"/>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0"/>
              <w:ind w:left="0" w:right="0" w:hanging="0"/>
              <w:rPr/>
            </w:pPr>
            <w:r>
              <w:rPr/>
              <w:t> </w:t>
            </w:r>
          </w:p>
        </w:tc>
        <w:tc>
          <w:tcPr>
            <w:tcW w:w="121" w:type="dxa"/>
            <w:tcBorders/>
            <w:shd w:fill="auto" w:val="clear"/>
            <w:vAlign w:val="center"/>
          </w:tcPr>
          <w:p>
            <w:pPr>
              <w:pStyle w:val="TableContents"/>
              <w:spacing w:before="0" w:after="0"/>
              <w:ind w:left="0" w:right="0" w:hanging="0"/>
              <w:rPr/>
            </w:pPr>
            <w:r>
              <w:rPr/>
              <w:t> </w:t>
            </w:r>
          </w:p>
        </w:tc>
        <w:tc>
          <w:tcPr>
            <w:tcW w:w="785"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20"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30"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0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55"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0"/>
              <w:ind w:left="0" w:right="0" w:hanging="0"/>
              <w:rPr/>
            </w:pPr>
            <w:r>
              <w:rPr/>
              <w:t> </w:t>
            </w:r>
          </w:p>
        </w:tc>
      </w:tr>
      <w:tr>
        <w:trPr/>
        <w:tc>
          <w:tcPr>
            <w:tcW w:w="120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680" w:type="dxa"/>
            <w:gridSpan w:val="2"/>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0"/>
              <w:ind w:left="0" w:right="0" w:hanging="0"/>
              <w:rPr/>
            </w:pPr>
            <w:r>
              <w:rPr/>
              <w:t> </w:t>
            </w:r>
          </w:p>
        </w:tc>
        <w:tc>
          <w:tcPr>
            <w:tcW w:w="121" w:type="dxa"/>
            <w:tcBorders/>
            <w:shd w:fill="auto" w:val="clear"/>
            <w:vAlign w:val="center"/>
          </w:tcPr>
          <w:p>
            <w:pPr>
              <w:pStyle w:val="TableContents"/>
              <w:spacing w:before="0" w:after="0"/>
              <w:ind w:left="0" w:right="0" w:hanging="0"/>
              <w:rPr/>
            </w:pPr>
            <w:r>
              <w:rPr/>
              <w:t> </w:t>
            </w:r>
          </w:p>
        </w:tc>
        <w:tc>
          <w:tcPr>
            <w:tcW w:w="785"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20"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3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Accumulated </w:t>
            </w:r>
          </w:p>
        </w:tc>
        <w:tc>
          <w:tcPr>
            <w:tcW w:w="12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75"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Retained </w:t>
            </w:r>
          </w:p>
        </w:tc>
        <w:tc>
          <w:tcPr>
            <w:tcW w:w="12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10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255"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75"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0"/>
              <w:ind w:left="0" w:right="0" w:hanging="0"/>
              <w:rPr/>
            </w:pPr>
            <w:r>
              <w:rPr>
                <w:rStyle w:val="StrongEmphasis"/>
              </w:rPr>
              <w:t> </w:t>
            </w:r>
          </w:p>
        </w:tc>
      </w:tr>
      <w:tr>
        <w:trPr/>
        <w:tc>
          <w:tcPr>
            <w:tcW w:w="120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680" w:type="dxa"/>
            <w:gridSpan w:val="2"/>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0"/>
              <w:ind w:left="0" w:right="0" w:hanging="0"/>
              <w:rPr/>
            </w:pPr>
            <w:r>
              <w:rPr>
                <w:rStyle w:val="StrongEmphasis"/>
              </w:rPr>
              <w:t> </w:t>
            </w:r>
          </w:p>
        </w:tc>
        <w:tc>
          <w:tcPr>
            <w:tcW w:w="121" w:type="dxa"/>
            <w:tcBorders/>
            <w:shd w:fill="auto" w:val="clear"/>
            <w:vAlign w:val="center"/>
          </w:tcPr>
          <w:p>
            <w:pPr>
              <w:pStyle w:val="TableContents"/>
              <w:spacing w:before="0" w:after="0"/>
              <w:ind w:left="0" w:right="0" w:hanging="0"/>
              <w:rPr/>
            </w:pPr>
            <w:r>
              <w:rPr>
                <w:rStyle w:val="StrongEmphasis"/>
              </w:rPr>
              <w:t> </w:t>
            </w:r>
          </w:p>
        </w:tc>
        <w:tc>
          <w:tcPr>
            <w:tcW w:w="785"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220"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000"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Capital </w:t>
            </w:r>
          </w:p>
        </w:tc>
        <w:tc>
          <w:tcPr>
            <w:tcW w:w="12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43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Other </w:t>
            </w:r>
          </w:p>
        </w:tc>
        <w:tc>
          <w:tcPr>
            <w:tcW w:w="12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75"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Earnings </w:t>
            </w:r>
          </w:p>
        </w:tc>
        <w:tc>
          <w:tcPr>
            <w:tcW w:w="12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10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255"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75"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0"/>
              <w:ind w:left="0" w:right="0" w:hanging="0"/>
              <w:rPr/>
            </w:pPr>
            <w:r>
              <w:rPr>
                <w:rStyle w:val="StrongEmphasis"/>
              </w:rPr>
              <w:t> </w:t>
            </w:r>
          </w:p>
        </w:tc>
      </w:tr>
      <w:tr>
        <w:trPr/>
        <w:tc>
          <w:tcPr>
            <w:tcW w:w="120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707"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Preferred Stock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2435"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Common Stock </w:t>
            </w:r>
          </w:p>
        </w:tc>
        <w:tc>
          <w:tcPr>
            <w:tcW w:w="12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in Excess </w:t>
            </w:r>
          </w:p>
        </w:tc>
        <w:tc>
          <w:tcPr>
            <w:tcW w:w="12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43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Comprehensive </w:t>
            </w:r>
          </w:p>
        </w:tc>
        <w:tc>
          <w:tcPr>
            <w:tcW w:w="12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75"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Accumulated </w:t>
            </w:r>
          </w:p>
        </w:tc>
        <w:tc>
          <w:tcPr>
            <w:tcW w:w="12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2535"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Treasury Stock </w:t>
            </w:r>
          </w:p>
        </w:tc>
        <w:tc>
          <w:tcPr>
            <w:tcW w:w="12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75"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0"/>
              <w:ind w:left="0" w:right="0" w:hanging="0"/>
              <w:rPr/>
            </w:pPr>
            <w:r>
              <w:rPr>
                <w:rStyle w:val="StrongEmphasis"/>
              </w:rPr>
              <w:t> </w:t>
            </w:r>
          </w:p>
        </w:tc>
      </w:tr>
      <w:tr>
        <w:trPr/>
        <w:tc>
          <w:tcPr>
            <w:tcW w:w="120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6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Shares </w:t>
            </w:r>
          </w:p>
        </w:tc>
        <w:tc>
          <w:tcPr>
            <w:tcW w:w="121" w:type="dxa"/>
            <w:tcBorders/>
            <w:shd w:fill="auto" w:val="clear"/>
            <w:vAlign w:val="center"/>
          </w:tcPr>
          <w:p>
            <w:pPr>
              <w:pStyle w:val="TableContents"/>
              <w:spacing w:before="0" w:after="0"/>
              <w:ind w:left="0" w:right="0" w:hanging="0"/>
              <w:rPr/>
            </w:pPr>
            <w:r>
              <w:rPr>
                <w:rStyle w:val="StrongEmphasis"/>
              </w:rPr>
              <w:t> </w:t>
            </w:r>
          </w:p>
        </w:tc>
        <w:tc>
          <w:tcPr>
            <w:tcW w:w="121" w:type="dxa"/>
            <w:tcBorders/>
            <w:shd w:fill="auto" w:val="clear"/>
            <w:vAlign w:val="center"/>
          </w:tcPr>
          <w:p>
            <w:pPr>
              <w:pStyle w:val="TableContents"/>
              <w:spacing w:before="0" w:after="0"/>
              <w:ind w:left="0" w:right="0" w:hanging="0"/>
              <w:rPr/>
            </w:pPr>
            <w:r>
              <w:rPr>
                <w:rStyle w:val="StrongEmphasis"/>
              </w:rPr>
              <w:t> </w:t>
            </w:r>
          </w:p>
        </w:tc>
        <w:tc>
          <w:tcPr>
            <w:tcW w:w="7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Amount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2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Shares </w:t>
            </w:r>
          </w:p>
        </w:tc>
        <w:tc>
          <w:tcPr>
            <w:tcW w:w="12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0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Amount </w:t>
            </w:r>
          </w:p>
        </w:tc>
        <w:tc>
          <w:tcPr>
            <w:tcW w:w="12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of Par </w:t>
            </w:r>
          </w:p>
        </w:tc>
        <w:tc>
          <w:tcPr>
            <w:tcW w:w="12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43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Income (Loss) </w:t>
            </w:r>
          </w:p>
        </w:tc>
        <w:tc>
          <w:tcPr>
            <w:tcW w:w="12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(Deficit) </w:t>
            </w:r>
          </w:p>
        </w:tc>
        <w:tc>
          <w:tcPr>
            <w:tcW w:w="12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1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Shares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25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Amount </w:t>
            </w:r>
          </w:p>
        </w:tc>
        <w:tc>
          <w:tcPr>
            <w:tcW w:w="12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Total </w:t>
            </w:r>
          </w:p>
        </w:tc>
        <w:tc>
          <w:tcPr>
            <w:tcW w:w="170" w:type="dxa"/>
            <w:tcBorders/>
            <w:shd w:fill="auto" w:val="clear"/>
            <w:vAlign w:val="center"/>
          </w:tcPr>
          <w:p>
            <w:pPr>
              <w:pStyle w:val="TableContents"/>
              <w:spacing w:before="0" w:after="0"/>
              <w:ind w:left="0" w:right="0" w:hanging="0"/>
              <w:rPr/>
            </w:pPr>
            <w:r>
              <w:rPr/>
              <w:t> </w:t>
            </w:r>
          </w:p>
        </w:tc>
      </w:tr>
      <w:tr>
        <w:trPr/>
        <w:tc>
          <w:tcPr>
            <w:tcW w:w="120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Balance, January 1, 2021</w:t>
            </w:r>
          </w:p>
        </w:tc>
        <w:tc>
          <w:tcPr>
            <w:tcW w:w="90" w:type="dxa"/>
            <w:tcBorders/>
            <w:shd w:fill="CCEEFF" w:val="clear"/>
            <w:vAlign w:val="center"/>
          </w:tcPr>
          <w:p>
            <w:pPr>
              <w:pStyle w:val="TableContents"/>
              <w:spacing w:before="0" w:after="0"/>
              <w:ind w:left="0" w:right="0" w:hanging="0"/>
              <w:rPr/>
            </w:pPr>
            <w:r>
              <w:rPr/>
              <w:t> </w:t>
            </w:r>
          </w:p>
        </w:tc>
        <w:tc>
          <w:tcPr>
            <w:tcW w:w="283" w:type="dxa"/>
            <w:tcBorders/>
            <w:shd w:fill="CCEEFF" w:val="clear"/>
            <w:vAlign w:val="center"/>
          </w:tcPr>
          <w:p>
            <w:pPr>
              <w:pStyle w:val="TableContents"/>
              <w:spacing w:before="0" w:after="0"/>
              <w:ind w:left="0" w:right="0" w:hanging="0"/>
              <w:rPr/>
            </w:pPr>
            <w:r>
              <w:rPr/>
              <w:t> </w:t>
            </w:r>
          </w:p>
        </w:tc>
        <w:tc>
          <w:tcPr>
            <w:tcW w:w="397" w:type="dxa"/>
            <w:tcBorders/>
            <w:shd w:fill="CCEEFF" w:val="clear"/>
            <w:vAlign w:val="center"/>
          </w:tcPr>
          <w:p>
            <w:pPr>
              <w:pStyle w:val="TableContents"/>
              <w:spacing w:before="0" w:after="283"/>
              <w:jc w:val="right"/>
              <w:rPr/>
            </w:pPr>
            <w:r>
              <w:rPr/>
              <w:t>-</w:t>
            </w:r>
          </w:p>
        </w:tc>
        <w:tc>
          <w:tcPr>
            <w:tcW w:w="121" w:type="dxa"/>
            <w:tcBorders/>
            <w:shd w:fill="CCEEFF" w:val="clear"/>
            <w:vAlign w:val="center"/>
          </w:tcPr>
          <w:p>
            <w:pPr>
              <w:pStyle w:val="TableContents"/>
              <w:spacing w:before="0" w:after="0"/>
              <w:ind w:left="0" w:right="0" w:hanging="0"/>
              <w:rPr/>
            </w:pPr>
            <w:r>
              <w:rPr/>
              <w:t> </w:t>
            </w:r>
          </w:p>
        </w:tc>
        <w:tc>
          <w:tcPr>
            <w:tcW w:w="121" w:type="dxa"/>
            <w:tcBorders/>
            <w:shd w:fill="CCEEFF" w:val="clear"/>
            <w:vAlign w:val="center"/>
          </w:tcPr>
          <w:p>
            <w:pPr>
              <w:pStyle w:val="TableContents"/>
              <w:spacing w:before="0" w:after="0"/>
              <w:ind w:left="0" w:right="0" w:hanging="0"/>
              <w:rPr/>
            </w:pPr>
            <w:r>
              <w:rPr/>
              <w:t> </w:t>
            </w:r>
          </w:p>
        </w:tc>
        <w:tc>
          <w:tcPr>
            <w:tcW w:w="448" w:type="dxa"/>
            <w:tcBorders/>
            <w:shd w:fill="CCEEFF" w:val="clear"/>
            <w:vAlign w:val="center"/>
          </w:tcPr>
          <w:p>
            <w:pPr>
              <w:pStyle w:val="TableContents"/>
              <w:spacing w:before="0" w:after="283"/>
              <w:rPr/>
            </w:pPr>
            <w:r>
              <w:rPr/>
              <w:t>$</w:t>
            </w:r>
          </w:p>
        </w:tc>
        <w:tc>
          <w:tcPr>
            <w:tcW w:w="337"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11,871,307</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830" w:type="dxa"/>
            <w:tcBorders/>
            <w:shd w:fill="CCEEFF" w:val="clear"/>
            <w:vAlign w:val="center"/>
          </w:tcPr>
          <w:p>
            <w:pPr>
              <w:pStyle w:val="TableContents"/>
              <w:spacing w:before="0" w:after="283"/>
              <w:jc w:val="right"/>
              <w:rPr/>
            </w:pPr>
            <w:r>
              <w:rPr/>
              <w:t>118,713</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70,769,165</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6" w:type="dxa"/>
            <w:tcBorders/>
            <w:shd w:fill="CCEEFF" w:val="clear"/>
            <w:vAlign w:val="center"/>
          </w:tcPr>
          <w:p>
            <w:pPr>
              <w:pStyle w:val="TableContents"/>
              <w:spacing w:before="0" w:after="283"/>
              <w:rPr/>
            </w:pPr>
            <w:r>
              <w:rPr/>
              <w:t>$</w:t>
            </w:r>
          </w:p>
        </w:tc>
        <w:tc>
          <w:tcPr>
            <w:tcW w:w="1254" w:type="dxa"/>
            <w:tcBorders/>
            <w:shd w:fill="CCEEFF" w:val="clear"/>
            <w:vAlign w:val="center"/>
          </w:tcPr>
          <w:p>
            <w:pPr>
              <w:pStyle w:val="TableContents"/>
              <w:spacing w:before="0" w:after="283"/>
              <w:jc w:val="right"/>
              <w:rPr/>
            </w:pPr>
            <w:r>
              <w:rPr/>
              <w:t>9,880,062</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05" w:type="dxa"/>
            <w:tcBorders/>
            <w:shd w:fill="CCEEFF" w:val="clear"/>
            <w:vAlign w:val="center"/>
          </w:tcPr>
          <w:p>
            <w:pPr>
              <w:pStyle w:val="TableContents"/>
              <w:spacing w:before="0" w:after="283"/>
              <w:jc w:val="right"/>
              <w:rPr/>
            </w:pPr>
            <w:r>
              <w:rPr/>
              <w:t>15,928,345</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1,254,492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85" w:type="dxa"/>
            <w:tcBorders/>
            <w:shd w:fill="CCEEFF" w:val="clear"/>
            <w:vAlign w:val="center"/>
          </w:tcPr>
          <w:p>
            <w:pPr>
              <w:pStyle w:val="TableContents"/>
              <w:spacing w:before="0" w:after="283"/>
              <w:jc w:val="right"/>
              <w:rPr/>
            </w:pPr>
            <w:r>
              <w:rPr/>
              <w:t>(3,895,883</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05" w:type="dxa"/>
            <w:tcBorders/>
            <w:shd w:fill="CCEEFF" w:val="clear"/>
            <w:vAlign w:val="center"/>
          </w:tcPr>
          <w:p>
            <w:pPr>
              <w:pStyle w:val="TableContents"/>
              <w:spacing w:before="0" w:after="283"/>
              <w:jc w:val="right"/>
              <w:rPr/>
            </w:pPr>
            <w:r>
              <w:rPr/>
              <w:t>92,800,402</w:t>
            </w:r>
          </w:p>
        </w:tc>
        <w:tc>
          <w:tcPr>
            <w:tcW w:w="170" w:type="dxa"/>
            <w:tcBorders/>
            <w:shd w:fill="CCEEFF" w:val="clear"/>
            <w:vAlign w:val="center"/>
          </w:tcPr>
          <w:p>
            <w:pPr>
              <w:pStyle w:val="TableContents"/>
              <w:spacing w:before="0" w:after="0"/>
              <w:ind w:left="0" w:right="0" w:hanging="0"/>
              <w:rPr/>
            </w:pPr>
            <w:r>
              <w:rPr/>
              <w:t> </w:t>
            </w:r>
          </w:p>
        </w:tc>
      </w:tr>
      <w:tr>
        <w:trPr/>
        <w:tc>
          <w:tcPr>
            <w:tcW w:w="120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Stock-based compensation</w:t>
            </w:r>
          </w:p>
        </w:tc>
        <w:tc>
          <w:tcPr>
            <w:tcW w:w="90" w:type="dxa"/>
            <w:tcBorders/>
            <w:shd w:fill="FFFFFF" w:val="clear"/>
            <w:vAlign w:val="center"/>
          </w:tcPr>
          <w:p>
            <w:pPr>
              <w:pStyle w:val="TableContents"/>
              <w:spacing w:before="0" w:after="0"/>
              <w:ind w:left="0" w:right="0" w:hanging="0"/>
              <w:rPr/>
            </w:pPr>
            <w:r>
              <w:rPr/>
              <w:t> </w:t>
            </w:r>
          </w:p>
        </w:tc>
        <w:tc>
          <w:tcPr>
            <w:tcW w:w="283" w:type="dxa"/>
            <w:tcBorders/>
            <w:shd w:fill="FFFFFF" w:val="clear"/>
            <w:vAlign w:val="center"/>
          </w:tcPr>
          <w:p>
            <w:pPr>
              <w:pStyle w:val="TableContents"/>
              <w:spacing w:before="0" w:after="0"/>
              <w:ind w:left="0" w:right="0" w:hanging="0"/>
              <w:rPr/>
            </w:pPr>
            <w:r>
              <w:rPr/>
              <w:t> </w:t>
            </w:r>
          </w:p>
        </w:tc>
        <w:tc>
          <w:tcPr>
            <w:tcW w:w="397" w:type="dxa"/>
            <w:tcBorders/>
            <w:shd w:fill="FFFFFF" w:val="clear"/>
            <w:vAlign w:val="center"/>
          </w:tcPr>
          <w:p>
            <w:pPr>
              <w:pStyle w:val="TableContents"/>
              <w:spacing w:before="0" w:after="283"/>
              <w:jc w:val="right"/>
              <w:rPr/>
            </w:pPr>
            <w:r>
              <w:rPr/>
              <w:t>-</w:t>
            </w:r>
          </w:p>
        </w:tc>
        <w:tc>
          <w:tcPr>
            <w:tcW w:w="121" w:type="dxa"/>
            <w:tcBorders/>
            <w:shd w:fill="FFFFFF" w:val="clear"/>
            <w:vAlign w:val="center"/>
          </w:tcPr>
          <w:p>
            <w:pPr>
              <w:pStyle w:val="TableContents"/>
              <w:spacing w:before="0" w:after="0"/>
              <w:ind w:left="0" w:right="0" w:hanging="0"/>
              <w:rPr/>
            </w:pPr>
            <w:r>
              <w:rPr/>
              <w:t> </w:t>
            </w:r>
          </w:p>
        </w:tc>
        <w:tc>
          <w:tcPr>
            <w:tcW w:w="121" w:type="dxa"/>
            <w:tcBorders/>
            <w:shd w:fill="FFFFFF" w:val="clear"/>
            <w:vAlign w:val="center"/>
          </w:tcPr>
          <w:p>
            <w:pPr>
              <w:pStyle w:val="TableContents"/>
              <w:spacing w:before="0" w:after="0"/>
              <w:ind w:left="0" w:right="0" w:hanging="0"/>
              <w:rPr/>
            </w:pPr>
            <w:r>
              <w:rPr/>
              <w:t> </w:t>
            </w:r>
          </w:p>
        </w:tc>
        <w:tc>
          <w:tcPr>
            <w:tcW w:w="448" w:type="dxa"/>
            <w:tcBorders/>
            <w:shd w:fill="FFFFFF" w:val="clear"/>
            <w:vAlign w:val="center"/>
          </w:tcPr>
          <w:p>
            <w:pPr>
              <w:pStyle w:val="TableContents"/>
              <w:spacing w:before="0" w:after="0"/>
              <w:ind w:left="0" w:right="0" w:hanging="0"/>
              <w:rPr/>
            </w:pPr>
            <w:r>
              <w:rPr/>
              <w:t> </w:t>
            </w:r>
          </w:p>
        </w:tc>
        <w:tc>
          <w:tcPr>
            <w:tcW w:w="337" w:type="dxa"/>
            <w:tcBorders/>
            <w:shd w:fill="FFFFFF" w:val="cle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1,904,935</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6" w:type="dxa"/>
            <w:tcBorders/>
            <w:shd w:fill="FFFFFF" w:val="clear"/>
            <w:vAlign w:val="center"/>
          </w:tcPr>
          <w:p>
            <w:pPr>
              <w:pStyle w:val="TableContents"/>
              <w:spacing w:before="0" w:after="0"/>
              <w:ind w:left="0" w:right="0" w:hanging="0"/>
              <w:rPr/>
            </w:pPr>
            <w:r>
              <w:rPr/>
              <w:t> </w:t>
            </w:r>
          </w:p>
        </w:tc>
        <w:tc>
          <w:tcPr>
            <w:tcW w:w="1254"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85"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1,904,935</w:t>
            </w:r>
          </w:p>
        </w:tc>
        <w:tc>
          <w:tcPr>
            <w:tcW w:w="170" w:type="dxa"/>
            <w:tcBorders/>
            <w:shd w:fill="FFFFFF" w:val="clear"/>
            <w:vAlign w:val="center"/>
          </w:tcPr>
          <w:p>
            <w:pPr>
              <w:pStyle w:val="TableContents"/>
              <w:spacing w:before="0" w:after="0"/>
              <w:ind w:left="0" w:right="0" w:hanging="0"/>
              <w:rPr/>
            </w:pPr>
            <w:r>
              <w:rPr/>
              <w:t> </w:t>
            </w:r>
          </w:p>
        </w:tc>
      </w:tr>
      <w:tr>
        <w:trPr/>
        <w:tc>
          <w:tcPr>
            <w:tcW w:w="120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Vesting of restricted stock awards</w:t>
            </w:r>
          </w:p>
        </w:tc>
        <w:tc>
          <w:tcPr>
            <w:tcW w:w="90" w:type="dxa"/>
            <w:tcBorders/>
            <w:shd w:fill="CCEEFF" w:val="clear"/>
            <w:vAlign w:val="center"/>
          </w:tcPr>
          <w:p>
            <w:pPr>
              <w:pStyle w:val="TableContents"/>
              <w:spacing w:before="0" w:after="0"/>
              <w:ind w:left="0" w:right="0" w:hanging="0"/>
              <w:rPr/>
            </w:pPr>
            <w:r>
              <w:rPr/>
              <w:t> </w:t>
            </w:r>
          </w:p>
        </w:tc>
        <w:tc>
          <w:tcPr>
            <w:tcW w:w="283" w:type="dxa"/>
            <w:tcBorders/>
            <w:shd w:fill="CCEEFF" w:val="clear"/>
            <w:vAlign w:val="center"/>
          </w:tcPr>
          <w:p>
            <w:pPr>
              <w:pStyle w:val="TableContents"/>
              <w:spacing w:before="0" w:after="0"/>
              <w:ind w:left="0" w:right="0" w:hanging="0"/>
              <w:rPr/>
            </w:pPr>
            <w:r>
              <w:rPr/>
              <w:t> </w:t>
            </w:r>
          </w:p>
        </w:tc>
        <w:tc>
          <w:tcPr>
            <w:tcW w:w="397" w:type="dxa"/>
            <w:tcBorders/>
            <w:shd w:fill="CCEEFF" w:val="clear"/>
            <w:vAlign w:val="center"/>
          </w:tcPr>
          <w:p>
            <w:pPr>
              <w:pStyle w:val="TableContents"/>
              <w:spacing w:before="0" w:after="283"/>
              <w:jc w:val="right"/>
              <w:rPr/>
            </w:pPr>
            <w:r>
              <w:rPr/>
              <w:t>-</w:t>
            </w:r>
          </w:p>
        </w:tc>
        <w:tc>
          <w:tcPr>
            <w:tcW w:w="121" w:type="dxa"/>
            <w:tcBorders/>
            <w:shd w:fill="CCEEFF" w:val="clear"/>
            <w:vAlign w:val="center"/>
          </w:tcPr>
          <w:p>
            <w:pPr>
              <w:pStyle w:val="TableContents"/>
              <w:spacing w:before="0" w:after="0"/>
              <w:ind w:left="0" w:right="0" w:hanging="0"/>
              <w:rPr/>
            </w:pPr>
            <w:r>
              <w:rPr/>
              <w:t> </w:t>
            </w:r>
          </w:p>
        </w:tc>
        <w:tc>
          <w:tcPr>
            <w:tcW w:w="121" w:type="dxa"/>
            <w:tcBorders/>
            <w:shd w:fill="CCEEFF" w:val="clear"/>
            <w:vAlign w:val="center"/>
          </w:tcPr>
          <w:p>
            <w:pPr>
              <w:pStyle w:val="TableContents"/>
              <w:spacing w:before="0" w:after="0"/>
              <w:ind w:left="0" w:right="0" w:hanging="0"/>
              <w:rPr/>
            </w:pPr>
            <w:r>
              <w:rPr/>
              <w:t> </w:t>
            </w:r>
          </w:p>
        </w:tc>
        <w:tc>
          <w:tcPr>
            <w:tcW w:w="448" w:type="dxa"/>
            <w:tcBorders/>
            <w:shd w:fill="CCEEFF" w:val="clear"/>
            <w:vAlign w:val="center"/>
          </w:tcPr>
          <w:p>
            <w:pPr>
              <w:pStyle w:val="TableContents"/>
              <w:spacing w:before="0" w:after="0"/>
              <w:ind w:left="0" w:right="0" w:hanging="0"/>
              <w:rPr/>
            </w:pPr>
            <w:r>
              <w:rPr/>
              <w:t> </w:t>
            </w:r>
          </w:p>
        </w:tc>
        <w:tc>
          <w:tcPr>
            <w:tcW w:w="337"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114,432</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1,144</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(1,144</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6" w:type="dxa"/>
            <w:tcBorders/>
            <w:shd w:fill="CCEEFF" w:val="clear"/>
            <w:vAlign w:val="center"/>
          </w:tcPr>
          <w:p>
            <w:pPr>
              <w:pStyle w:val="TableContents"/>
              <w:spacing w:before="0" w:after="0"/>
              <w:ind w:left="0" w:right="0" w:hanging="0"/>
              <w:rPr/>
            </w:pPr>
            <w:r>
              <w:rPr/>
              <w:t> </w:t>
            </w:r>
          </w:p>
        </w:tc>
        <w:tc>
          <w:tcPr>
            <w:tcW w:w="1254"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85"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w:t>
            </w:r>
          </w:p>
        </w:tc>
        <w:tc>
          <w:tcPr>
            <w:tcW w:w="170" w:type="dxa"/>
            <w:tcBorders/>
            <w:shd w:fill="CCEEFF" w:val="clear"/>
            <w:vAlign w:val="center"/>
          </w:tcPr>
          <w:p>
            <w:pPr>
              <w:pStyle w:val="TableContents"/>
              <w:spacing w:before="0" w:after="0"/>
              <w:ind w:left="0" w:right="0" w:hanging="0"/>
              <w:rPr/>
            </w:pPr>
            <w:r>
              <w:rPr/>
              <w:t> </w:t>
            </w:r>
          </w:p>
        </w:tc>
      </w:tr>
      <w:tr>
        <w:trPr/>
        <w:tc>
          <w:tcPr>
            <w:tcW w:w="1205" w:type="dxa"/>
            <w:tcBorders/>
            <w:shd w:fill="FFFFFF" w:val="clear"/>
            <w:vAlign w:val="center"/>
          </w:tcPr>
          <w:p>
            <w:pPr>
              <w:pStyle w:val="TableContents"/>
              <w:rPr/>
            </w:pPr>
            <w:r>
              <w:rPr/>
              <w:t xml:space="preserve">Shares deducted from restricted stock </w:t>
            </w:r>
          </w:p>
          <w:p>
            <w:pPr>
              <w:pStyle w:val="TableContents"/>
              <w:spacing w:before="0" w:after="0"/>
              <w:ind w:left="0" w:right="0" w:hanging="0"/>
              <w:rPr>
                <w:rFonts w:ascii="times new roman" w:hAnsi="times new roman"/>
                <w:sz w:val="20"/>
              </w:rPr>
            </w:pPr>
            <w:r>
              <w:rPr>
                <w:rFonts w:ascii="times new roman" w:hAnsi="times new roman"/>
                <w:sz w:val="20"/>
              </w:rPr>
              <w:t>awards for payment of withholding taxes</w:t>
            </w:r>
          </w:p>
        </w:tc>
        <w:tc>
          <w:tcPr>
            <w:tcW w:w="90" w:type="dxa"/>
            <w:tcBorders/>
            <w:shd w:fill="FFFFFF" w:val="clear"/>
            <w:vAlign w:val="center"/>
          </w:tcPr>
          <w:p>
            <w:pPr>
              <w:pStyle w:val="TableContents"/>
              <w:spacing w:before="0" w:after="0"/>
              <w:ind w:left="0" w:right="0" w:hanging="0"/>
              <w:rPr/>
            </w:pPr>
            <w:r>
              <w:rPr/>
              <w:t> </w:t>
            </w:r>
          </w:p>
        </w:tc>
        <w:tc>
          <w:tcPr>
            <w:tcW w:w="283" w:type="dxa"/>
            <w:tcBorders/>
            <w:shd w:fill="FFFFFF" w:val="clear"/>
            <w:vAlign w:val="center"/>
          </w:tcPr>
          <w:p>
            <w:pPr>
              <w:pStyle w:val="TableContents"/>
              <w:spacing w:before="0" w:after="0"/>
              <w:ind w:left="0" w:right="0" w:hanging="0"/>
              <w:rPr/>
            </w:pPr>
            <w:r>
              <w:rPr/>
              <w:t> </w:t>
            </w:r>
          </w:p>
        </w:tc>
        <w:tc>
          <w:tcPr>
            <w:tcW w:w="397" w:type="dxa"/>
            <w:tcBorders/>
            <w:shd w:fill="FFFFFF" w:val="clear"/>
            <w:vAlign w:val="center"/>
          </w:tcPr>
          <w:p>
            <w:pPr>
              <w:pStyle w:val="TableContents"/>
              <w:spacing w:before="0" w:after="283"/>
              <w:jc w:val="right"/>
              <w:rPr/>
            </w:pPr>
            <w:r>
              <w:rPr/>
              <w:t>-</w:t>
            </w:r>
          </w:p>
        </w:tc>
        <w:tc>
          <w:tcPr>
            <w:tcW w:w="121" w:type="dxa"/>
            <w:tcBorders/>
            <w:shd w:fill="FFFFFF" w:val="clear"/>
            <w:vAlign w:val="center"/>
          </w:tcPr>
          <w:p>
            <w:pPr>
              <w:pStyle w:val="TableContents"/>
              <w:spacing w:before="0" w:after="0"/>
              <w:ind w:left="0" w:right="0" w:hanging="0"/>
              <w:rPr/>
            </w:pPr>
            <w:r>
              <w:rPr/>
              <w:t> </w:t>
            </w:r>
          </w:p>
        </w:tc>
        <w:tc>
          <w:tcPr>
            <w:tcW w:w="121" w:type="dxa"/>
            <w:tcBorders/>
            <w:shd w:fill="FFFFFF" w:val="clear"/>
            <w:vAlign w:val="center"/>
          </w:tcPr>
          <w:p>
            <w:pPr>
              <w:pStyle w:val="TableContents"/>
              <w:spacing w:before="0" w:after="0"/>
              <w:ind w:left="0" w:right="0" w:hanging="0"/>
              <w:rPr/>
            </w:pPr>
            <w:r>
              <w:rPr/>
              <w:t> </w:t>
            </w:r>
          </w:p>
        </w:tc>
        <w:tc>
          <w:tcPr>
            <w:tcW w:w="448" w:type="dxa"/>
            <w:tcBorders/>
            <w:shd w:fill="FFFFFF" w:val="clear"/>
            <w:vAlign w:val="center"/>
          </w:tcPr>
          <w:p>
            <w:pPr>
              <w:pStyle w:val="TableContents"/>
              <w:spacing w:before="0" w:after="0"/>
              <w:ind w:left="0" w:right="0" w:hanging="0"/>
              <w:rPr/>
            </w:pPr>
            <w:r>
              <w:rPr/>
              <w:t> </w:t>
            </w:r>
          </w:p>
        </w:tc>
        <w:tc>
          <w:tcPr>
            <w:tcW w:w="337" w:type="dxa"/>
            <w:tcBorders/>
            <w:shd w:fill="FFFFFF" w:val="cle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(30,079</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(300</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(205,473</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6" w:type="dxa"/>
            <w:tcBorders/>
            <w:shd w:fill="FFFFFF" w:val="clear"/>
            <w:vAlign w:val="center"/>
          </w:tcPr>
          <w:p>
            <w:pPr>
              <w:pStyle w:val="TableContents"/>
              <w:spacing w:before="0" w:after="0"/>
              <w:ind w:left="0" w:right="0" w:hanging="0"/>
              <w:rPr/>
            </w:pPr>
            <w:r>
              <w:rPr/>
              <w:t> </w:t>
            </w:r>
          </w:p>
        </w:tc>
        <w:tc>
          <w:tcPr>
            <w:tcW w:w="1254"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85"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(205,773</w:t>
            </w:r>
          </w:p>
        </w:tc>
        <w:tc>
          <w:tcPr>
            <w:tcW w:w="170" w:type="dxa"/>
            <w:tcBorders/>
            <w:shd w:fill="FFFFFF" w:val="clear"/>
            <w:vAlign w:val="center"/>
          </w:tcPr>
          <w:p>
            <w:pPr>
              <w:pStyle w:val="TableContents"/>
              <w:spacing w:before="0" w:after="283"/>
              <w:rPr/>
            </w:pPr>
            <w:r>
              <w:rPr/>
              <w:t>)</w:t>
            </w:r>
          </w:p>
        </w:tc>
      </w:tr>
      <w:tr>
        <w:trPr/>
        <w:tc>
          <w:tcPr>
            <w:tcW w:w="120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Acquisition of treasury stock</w:t>
            </w:r>
          </w:p>
        </w:tc>
        <w:tc>
          <w:tcPr>
            <w:tcW w:w="90" w:type="dxa"/>
            <w:tcBorders/>
            <w:shd w:fill="CCEEFF" w:val="clear"/>
            <w:vAlign w:val="center"/>
          </w:tcPr>
          <w:p>
            <w:pPr>
              <w:pStyle w:val="TableContents"/>
              <w:spacing w:before="0" w:after="0"/>
              <w:ind w:left="0" w:right="0" w:hanging="0"/>
              <w:rPr/>
            </w:pPr>
            <w:r>
              <w:rPr/>
              <w:t> </w:t>
            </w:r>
          </w:p>
        </w:tc>
        <w:tc>
          <w:tcPr>
            <w:tcW w:w="283" w:type="dxa"/>
            <w:tcBorders/>
            <w:shd w:fill="CCEEFF" w:val="clear"/>
            <w:vAlign w:val="center"/>
          </w:tcPr>
          <w:p>
            <w:pPr>
              <w:pStyle w:val="TableContents"/>
              <w:spacing w:before="0" w:after="0"/>
              <w:ind w:left="0" w:right="0" w:hanging="0"/>
              <w:rPr/>
            </w:pPr>
            <w:r>
              <w:rPr/>
              <w:t> </w:t>
            </w:r>
          </w:p>
        </w:tc>
        <w:tc>
          <w:tcPr>
            <w:tcW w:w="397" w:type="dxa"/>
            <w:tcBorders/>
            <w:shd w:fill="CCEEFF" w:val="clear"/>
            <w:vAlign w:val="center"/>
          </w:tcPr>
          <w:p>
            <w:pPr>
              <w:pStyle w:val="TableContents"/>
              <w:spacing w:before="0" w:after="283"/>
              <w:jc w:val="right"/>
              <w:rPr/>
            </w:pPr>
            <w:r>
              <w:rPr/>
              <w:t>-</w:t>
            </w:r>
          </w:p>
        </w:tc>
        <w:tc>
          <w:tcPr>
            <w:tcW w:w="121" w:type="dxa"/>
            <w:tcBorders/>
            <w:shd w:fill="CCEEFF" w:val="clear"/>
            <w:vAlign w:val="center"/>
          </w:tcPr>
          <w:p>
            <w:pPr>
              <w:pStyle w:val="TableContents"/>
              <w:spacing w:before="0" w:after="0"/>
              <w:ind w:left="0" w:right="0" w:hanging="0"/>
              <w:rPr/>
            </w:pPr>
            <w:r>
              <w:rPr/>
              <w:t> </w:t>
            </w:r>
          </w:p>
        </w:tc>
        <w:tc>
          <w:tcPr>
            <w:tcW w:w="121" w:type="dxa"/>
            <w:tcBorders/>
            <w:shd w:fill="CCEEFF" w:val="clear"/>
            <w:vAlign w:val="center"/>
          </w:tcPr>
          <w:p>
            <w:pPr>
              <w:pStyle w:val="TableContents"/>
              <w:spacing w:before="0" w:after="0"/>
              <w:ind w:left="0" w:right="0" w:hanging="0"/>
              <w:rPr/>
            </w:pPr>
            <w:r>
              <w:rPr/>
              <w:t> </w:t>
            </w:r>
          </w:p>
        </w:tc>
        <w:tc>
          <w:tcPr>
            <w:tcW w:w="448" w:type="dxa"/>
            <w:tcBorders/>
            <w:shd w:fill="CCEEFF" w:val="clear"/>
            <w:vAlign w:val="center"/>
          </w:tcPr>
          <w:p>
            <w:pPr>
              <w:pStyle w:val="TableContents"/>
              <w:spacing w:before="0" w:after="0"/>
              <w:ind w:left="0" w:right="0" w:hanging="0"/>
              <w:rPr/>
            </w:pPr>
            <w:r>
              <w:rPr/>
              <w:t> </w:t>
            </w:r>
          </w:p>
        </w:tc>
        <w:tc>
          <w:tcPr>
            <w:tcW w:w="337"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6" w:type="dxa"/>
            <w:tcBorders/>
            <w:shd w:fill="CCEEFF" w:val="clear"/>
            <w:vAlign w:val="center"/>
          </w:tcPr>
          <w:p>
            <w:pPr>
              <w:pStyle w:val="TableContents"/>
              <w:spacing w:before="0" w:after="0"/>
              <w:ind w:left="0" w:right="0" w:hanging="0"/>
              <w:rPr/>
            </w:pPr>
            <w:r>
              <w:rPr/>
              <w:t> </w:t>
            </w:r>
          </w:p>
        </w:tc>
        <w:tc>
          <w:tcPr>
            <w:tcW w:w="1254"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216,914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85" w:type="dxa"/>
            <w:tcBorders/>
            <w:shd w:fill="CCEEFF" w:val="clear"/>
            <w:vAlign w:val="center"/>
          </w:tcPr>
          <w:p>
            <w:pPr>
              <w:pStyle w:val="TableContents"/>
              <w:spacing w:before="0" w:after="283"/>
              <w:jc w:val="right"/>
              <w:rPr/>
            </w:pPr>
            <w:r>
              <w:rPr/>
              <w:t>(1,671,598</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(1,671,598</w:t>
            </w:r>
          </w:p>
        </w:tc>
        <w:tc>
          <w:tcPr>
            <w:tcW w:w="170" w:type="dxa"/>
            <w:tcBorders/>
            <w:shd w:fill="CCEEFF" w:val="clear"/>
            <w:vAlign w:val="center"/>
          </w:tcPr>
          <w:p>
            <w:pPr>
              <w:pStyle w:val="TableContents"/>
              <w:spacing w:before="0" w:after="283"/>
              <w:rPr/>
            </w:pPr>
            <w:r>
              <w:rPr/>
              <w:t>)</w:t>
            </w:r>
          </w:p>
        </w:tc>
      </w:tr>
      <w:tr>
        <w:trPr/>
        <w:tc>
          <w:tcPr>
            <w:tcW w:w="120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Dividends</w:t>
            </w:r>
          </w:p>
        </w:tc>
        <w:tc>
          <w:tcPr>
            <w:tcW w:w="90" w:type="dxa"/>
            <w:tcBorders/>
            <w:shd w:fill="FFFFFF" w:val="clear"/>
            <w:vAlign w:val="center"/>
          </w:tcPr>
          <w:p>
            <w:pPr>
              <w:pStyle w:val="TableContents"/>
              <w:spacing w:before="0" w:after="0"/>
              <w:ind w:left="0" w:right="0" w:hanging="0"/>
              <w:rPr/>
            </w:pPr>
            <w:r>
              <w:rPr/>
              <w:t> </w:t>
            </w:r>
          </w:p>
        </w:tc>
        <w:tc>
          <w:tcPr>
            <w:tcW w:w="283" w:type="dxa"/>
            <w:tcBorders/>
            <w:shd w:fill="FFFFFF" w:val="clear"/>
            <w:vAlign w:val="center"/>
          </w:tcPr>
          <w:p>
            <w:pPr>
              <w:pStyle w:val="TableContents"/>
              <w:spacing w:before="0" w:after="0"/>
              <w:ind w:left="0" w:right="0" w:hanging="0"/>
              <w:rPr/>
            </w:pPr>
            <w:r>
              <w:rPr/>
              <w:t> </w:t>
            </w:r>
          </w:p>
        </w:tc>
        <w:tc>
          <w:tcPr>
            <w:tcW w:w="397" w:type="dxa"/>
            <w:tcBorders/>
            <w:shd w:fill="FFFFFF" w:val="clear"/>
            <w:vAlign w:val="center"/>
          </w:tcPr>
          <w:p>
            <w:pPr>
              <w:pStyle w:val="TableContents"/>
              <w:spacing w:before="0" w:after="283"/>
              <w:jc w:val="right"/>
              <w:rPr/>
            </w:pPr>
            <w:r>
              <w:rPr/>
              <w:t>-</w:t>
            </w:r>
          </w:p>
        </w:tc>
        <w:tc>
          <w:tcPr>
            <w:tcW w:w="121" w:type="dxa"/>
            <w:tcBorders/>
            <w:shd w:fill="FFFFFF" w:val="clear"/>
            <w:vAlign w:val="center"/>
          </w:tcPr>
          <w:p>
            <w:pPr>
              <w:pStyle w:val="TableContents"/>
              <w:spacing w:before="0" w:after="0"/>
              <w:ind w:left="0" w:right="0" w:hanging="0"/>
              <w:rPr/>
            </w:pPr>
            <w:r>
              <w:rPr/>
              <w:t> </w:t>
            </w:r>
          </w:p>
        </w:tc>
        <w:tc>
          <w:tcPr>
            <w:tcW w:w="121" w:type="dxa"/>
            <w:tcBorders/>
            <w:shd w:fill="FFFFFF" w:val="clear"/>
            <w:vAlign w:val="center"/>
          </w:tcPr>
          <w:p>
            <w:pPr>
              <w:pStyle w:val="TableContents"/>
              <w:spacing w:before="0" w:after="0"/>
              <w:ind w:left="0" w:right="0" w:hanging="0"/>
              <w:rPr/>
            </w:pPr>
            <w:r>
              <w:rPr/>
              <w:t> </w:t>
            </w:r>
          </w:p>
        </w:tc>
        <w:tc>
          <w:tcPr>
            <w:tcW w:w="448" w:type="dxa"/>
            <w:tcBorders/>
            <w:shd w:fill="FFFFFF" w:val="clear"/>
            <w:vAlign w:val="center"/>
          </w:tcPr>
          <w:p>
            <w:pPr>
              <w:pStyle w:val="TableContents"/>
              <w:spacing w:before="0" w:after="0"/>
              <w:ind w:left="0" w:right="0" w:hanging="0"/>
              <w:rPr/>
            </w:pPr>
            <w:r>
              <w:rPr/>
              <w:t> </w:t>
            </w:r>
          </w:p>
        </w:tc>
        <w:tc>
          <w:tcPr>
            <w:tcW w:w="337" w:type="dxa"/>
            <w:tcBorders/>
            <w:shd w:fill="FFFFFF" w:val="cle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6" w:type="dxa"/>
            <w:tcBorders/>
            <w:shd w:fill="FFFFFF" w:val="clear"/>
            <w:vAlign w:val="center"/>
          </w:tcPr>
          <w:p>
            <w:pPr>
              <w:pStyle w:val="TableContents"/>
              <w:spacing w:before="0" w:after="0"/>
              <w:ind w:left="0" w:right="0" w:hanging="0"/>
              <w:rPr/>
            </w:pPr>
            <w:r>
              <w:rPr/>
              <w:t> </w:t>
            </w:r>
          </w:p>
        </w:tc>
        <w:tc>
          <w:tcPr>
            <w:tcW w:w="1254"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(1,694,148</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85"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(1,694,148</w:t>
            </w:r>
          </w:p>
        </w:tc>
        <w:tc>
          <w:tcPr>
            <w:tcW w:w="170" w:type="dxa"/>
            <w:tcBorders/>
            <w:shd w:fill="FFFFFF" w:val="clear"/>
            <w:vAlign w:val="center"/>
          </w:tcPr>
          <w:p>
            <w:pPr>
              <w:pStyle w:val="TableContents"/>
              <w:spacing w:before="0" w:after="283"/>
              <w:rPr/>
            </w:pPr>
            <w:r>
              <w:rPr/>
              <w:t>)</w:t>
            </w:r>
          </w:p>
        </w:tc>
      </w:tr>
      <w:tr>
        <w:trPr/>
        <w:tc>
          <w:tcPr>
            <w:tcW w:w="120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Net loss</w:t>
            </w:r>
          </w:p>
        </w:tc>
        <w:tc>
          <w:tcPr>
            <w:tcW w:w="90" w:type="dxa"/>
            <w:tcBorders/>
            <w:shd w:fill="CCEEFF" w:val="clear"/>
            <w:vAlign w:val="center"/>
          </w:tcPr>
          <w:p>
            <w:pPr>
              <w:pStyle w:val="TableContents"/>
              <w:spacing w:before="0" w:after="0"/>
              <w:ind w:left="0" w:right="0" w:hanging="0"/>
              <w:rPr/>
            </w:pPr>
            <w:r>
              <w:rPr/>
              <w:t> </w:t>
            </w:r>
          </w:p>
        </w:tc>
        <w:tc>
          <w:tcPr>
            <w:tcW w:w="283" w:type="dxa"/>
            <w:tcBorders/>
            <w:shd w:fill="CCEEFF" w:val="clear"/>
            <w:vAlign w:val="center"/>
          </w:tcPr>
          <w:p>
            <w:pPr>
              <w:pStyle w:val="TableContents"/>
              <w:spacing w:before="0" w:after="0"/>
              <w:ind w:left="0" w:right="0" w:hanging="0"/>
              <w:rPr/>
            </w:pPr>
            <w:r>
              <w:rPr/>
              <w:t> </w:t>
            </w:r>
          </w:p>
        </w:tc>
        <w:tc>
          <w:tcPr>
            <w:tcW w:w="397" w:type="dxa"/>
            <w:tcBorders/>
            <w:shd w:fill="CCEEFF" w:val="clear"/>
            <w:vAlign w:val="center"/>
          </w:tcPr>
          <w:p>
            <w:pPr>
              <w:pStyle w:val="TableContents"/>
              <w:spacing w:before="0" w:after="283"/>
              <w:jc w:val="right"/>
              <w:rPr/>
            </w:pPr>
            <w:r>
              <w:rPr/>
              <w:t>-</w:t>
            </w:r>
          </w:p>
        </w:tc>
        <w:tc>
          <w:tcPr>
            <w:tcW w:w="121" w:type="dxa"/>
            <w:tcBorders/>
            <w:shd w:fill="CCEEFF" w:val="clear"/>
            <w:vAlign w:val="center"/>
          </w:tcPr>
          <w:p>
            <w:pPr>
              <w:pStyle w:val="TableContents"/>
              <w:spacing w:before="0" w:after="0"/>
              <w:ind w:left="0" w:right="0" w:hanging="0"/>
              <w:rPr/>
            </w:pPr>
            <w:r>
              <w:rPr/>
              <w:t> </w:t>
            </w:r>
          </w:p>
        </w:tc>
        <w:tc>
          <w:tcPr>
            <w:tcW w:w="121" w:type="dxa"/>
            <w:tcBorders/>
            <w:shd w:fill="CCEEFF" w:val="clear"/>
            <w:vAlign w:val="center"/>
          </w:tcPr>
          <w:p>
            <w:pPr>
              <w:pStyle w:val="TableContents"/>
              <w:spacing w:before="0" w:after="0"/>
              <w:ind w:left="0" w:right="0" w:hanging="0"/>
              <w:rPr/>
            </w:pPr>
            <w:r>
              <w:rPr/>
              <w:t> </w:t>
            </w:r>
          </w:p>
        </w:tc>
        <w:tc>
          <w:tcPr>
            <w:tcW w:w="448" w:type="dxa"/>
            <w:tcBorders/>
            <w:shd w:fill="CCEEFF" w:val="clear"/>
            <w:vAlign w:val="center"/>
          </w:tcPr>
          <w:p>
            <w:pPr>
              <w:pStyle w:val="TableContents"/>
              <w:spacing w:before="0" w:after="0"/>
              <w:ind w:left="0" w:right="0" w:hanging="0"/>
              <w:rPr/>
            </w:pPr>
            <w:r>
              <w:rPr/>
              <w:t> </w:t>
            </w:r>
          </w:p>
        </w:tc>
        <w:tc>
          <w:tcPr>
            <w:tcW w:w="337"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6" w:type="dxa"/>
            <w:tcBorders/>
            <w:shd w:fill="CCEEFF" w:val="clear"/>
            <w:vAlign w:val="center"/>
          </w:tcPr>
          <w:p>
            <w:pPr>
              <w:pStyle w:val="TableContents"/>
              <w:spacing w:before="0" w:after="0"/>
              <w:ind w:left="0" w:right="0" w:hanging="0"/>
              <w:rPr/>
            </w:pPr>
            <w:r>
              <w:rPr/>
              <w:t> </w:t>
            </w:r>
          </w:p>
        </w:tc>
        <w:tc>
          <w:tcPr>
            <w:tcW w:w="1254"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(7,378,301</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85"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(7,378,301</w:t>
            </w:r>
          </w:p>
        </w:tc>
        <w:tc>
          <w:tcPr>
            <w:tcW w:w="170" w:type="dxa"/>
            <w:tcBorders/>
            <w:shd w:fill="CCEEFF" w:val="clear"/>
            <w:vAlign w:val="center"/>
          </w:tcPr>
          <w:p>
            <w:pPr>
              <w:pStyle w:val="TableContents"/>
              <w:spacing w:before="0" w:after="283"/>
              <w:rPr/>
            </w:pPr>
            <w:r>
              <w:rPr/>
              <w:t>)</w:t>
            </w:r>
          </w:p>
        </w:tc>
      </w:tr>
      <w:tr>
        <w:trPr/>
        <w:tc>
          <w:tcPr>
            <w:tcW w:w="1205" w:type="dxa"/>
            <w:tcBorders/>
            <w:shd w:fill="FFFFFF" w:val="clear"/>
            <w:vAlign w:val="center"/>
          </w:tcPr>
          <w:p>
            <w:pPr>
              <w:pStyle w:val="TableContents"/>
              <w:rPr/>
            </w:pPr>
            <w:r>
              <w:rPr/>
              <w:t xml:space="preserve">Change in unrealized losses on available- </w:t>
            </w:r>
          </w:p>
          <w:p>
            <w:pPr>
              <w:pStyle w:val="TableContents"/>
              <w:spacing w:before="0" w:after="0"/>
              <w:ind w:left="0" w:right="0" w:hanging="0"/>
              <w:rPr>
                <w:rFonts w:ascii="times new roman" w:hAnsi="times new roman"/>
                <w:sz w:val="20"/>
              </w:rPr>
            </w:pPr>
            <w:r>
              <w:rPr>
                <w:rFonts w:ascii="times new roman" w:hAnsi="times new roman"/>
                <w:sz w:val="20"/>
              </w:rPr>
              <w:t>for-sale securities, net of tax</w:t>
            </w:r>
          </w:p>
        </w:tc>
        <w:tc>
          <w:tcPr>
            <w:tcW w:w="90" w:type="dxa"/>
            <w:tcBorders/>
            <w:shd w:fill="FFFFFF" w:val="clear"/>
            <w:vAlign w:val="center"/>
          </w:tcPr>
          <w:p>
            <w:pPr>
              <w:pStyle w:val="TableContents"/>
              <w:spacing w:before="0" w:after="0"/>
              <w:ind w:left="0" w:right="0" w:hanging="0"/>
              <w:rPr/>
            </w:pPr>
            <w:r>
              <w:rPr/>
              <w:t> </w:t>
            </w:r>
          </w:p>
        </w:tc>
        <w:tc>
          <w:tcPr>
            <w:tcW w:w="283"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397"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121" w:type="dxa"/>
            <w:tcBorders/>
            <w:shd w:fill="FFFFFF" w:val="clear"/>
            <w:vAlign w:val="center"/>
          </w:tcPr>
          <w:p>
            <w:pPr>
              <w:pStyle w:val="TableContents"/>
              <w:spacing w:before="0" w:after="0"/>
              <w:ind w:left="0" w:right="0" w:hanging="0"/>
              <w:rPr/>
            </w:pPr>
            <w:r>
              <w:rPr/>
              <w:t> </w:t>
            </w:r>
          </w:p>
        </w:tc>
        <w:tc>
          <w:tcPr>
            <w:tcW w:w="121" w:type="dxa"/>
            <w:tcBorders/>
            <w:shd w:fill="FFFFFF" w:val="clear"/>
            <w:vAlign w:val="center"/>
          </w:tcPr>
          <w:p>
            <w:pPr>
              <w:pStyle w:val="TableContents"/>
              <w:spacing w:before="0" w:after="0"/>
              <w:ind w:left="0" w:right="0" w:hanging="0"/>
              <w:rPr/>
            </w:pPr>
            <w:r>
              <w:rPr/>
              <w:t> </w:t>
            </w:r>
          </w:p>
        </w:tc>
        <w:tc>
          <w:tcPr>
            <w:tcW w:w="448"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337"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6"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4" w:type="dxa"/>
            <w:tcBorders>
              <w:bottom w:val="single" w:sz="2" w:space="0" w:color="000000"/>
            </w:tcBorders>
            <w:shd w:fill="FFFFFF" w:val="clear"/>
            <w:tcMar>
              <w:bottom w:w="28" w:type="dxa"/>
            </w:tcMar>
            <w:vAlign w:val="center"/>
          </w:tcPr>
          <w:p>
            <w:pPr>
              <w:pStyle w:val="TableContents"/>
              <w:spacing w:before="0" w:after="283"/>
              <w:jc w:val="right"/>
              <w:rPr/>
            </w:pPr>
            <w:r>
              <w:rPr/>
              <w:t>(8,083,323</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85"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(8,083,323</w:t>
            </w:r>
          </w:p>
        </w:tc>
        <w:tc>
          <w:tcPr>
            <w:tcW w:w="170" w:type="dxa"/>
            <w:tcBorders/>
            <w:shd w:fill="FFFFFF" w:val="clear"/>
            <w:vAlign w:val="center"/>
          </w:tcPr>
          <w:p>
            <w:pPr>
              <w:pStyle w:val="TableContents"/>
              <w:spacing w:before="0" w:after="283"/>
              <w:rPr/>
            </w:pPr>
            <w:r>
              <w:rPr/>
              <w:t>)</w:t>
            </w:r>
          </w:p>
        </w:tc>
      </w:tr>
      <w:tr>
        <w:trPr/>
        <w:tc>
          <w:tcPr>
            <w:tcW w:w="120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Balance, December 31, 2021</w:t>
            </w:r>
          </w:p>
        </w:tc>
        <w:tc>
          <w:tcPr>
            <w:tcW w:w="90" w:type="dxa"/>
            <w:tcBorders/>
            <w:shd w:fill="CCEEFF" w:val="clear"/>
            <w:vAlign w:val="center"/>
          </w:tcPr>
          <w:p>
            <w:pPr>
              <w:pStyle w:val="TableContents"/>
              <w:spacing w:before="0" w:after="0"/>
              <w:ind w:left="0" w:right="0" w:hanging="0"/>
              <w:rPr/>
            </w:pPr>
            <w:r>
              <w:rPr/>
              <w:t> </w:t>
            </w:r>
          </w:p>
        </w:tc>
        <w:tc>
          <w:tcPr>
            <w:tcW w:w="283" w:type="dxa"/>
            <w:tcBorders/>
            <w:shd w:fill="CCEEFF" w:val="clear"/>
            <w:vAlign w:val="center"/>
          </w:tcPr>
          <w:p>
            <w:pPr>
              <w:pStyle w:val="TableContents"/>
              <w:spacing w:before="0" w:after="0"/>
              <w:ind w:left="0" w:right="0" w:hanging="0"/>
              <w:rPr/>
            </w:pPr>
            <w:r>
              <w:rPr/>
              <w:t> </w:t>
            </w:r>
          </w:p>
        </w:tc>
        <w:tc>
          <w:tcPr>
            <w:tcW w:w="397" w:type="dxa"/>
            <w:tcBorders/>
            <w:shd w:fill="CCEEFF" w:val="clear"/>
            <w:vAlign w:val="center"/>
          </w:tcPr>
          <w:p>
            <w:pPr>
              <w:pStyle w:val="TableContents"/>
              <w:spacing w:before="0" w:after="283"/>
              <w:jc w:val="right"/>
              <w:rPr/>
            </w:pPr>
            <w:r>
              <w:rPr/>
              <w:t>-</w:t>
            </w:r>
          </w:p>
        </w:tc>
        <w:tc>
          <w:tcPr>
            <w:tcW w:w="121" w:type="dxa"/>
            <w:tcBorders/>
            <w:shd w:fill="CCEEFF" w:val="clear"/>
            <w:vAlign w:val="center"/>
          </w:tcPr>
          <w:p>
            <w:pPr>
              <w:pStyle w:val="TableContents"/>
              <w:spacing w:before="0" w:after="0"/>
              <w:ind w:left="0" w:right="0" w:hanging="0"/>
              <w:rPr/>
            </w:pPr>
            <w:r>
              <w:rPr/>
              <w:t> </w:t>
            </w:r>
          </w:p>
        </w:tc>
        <w:tc>
          <w:tcPr>
            <w:tcW w:w="121" w:type="dxa"/>
            <w:tcBorders/>
            <w:shd w:fill="CCEEFF" w:val="clear"/>
            <w:vAlign w:val="center"/>
          </w:tcPr>
          <w:p>
            <w:pPr>
              <w:pStyle w:val="TableContents"/>
              <w:spacing w:before="0" w:after="0"/>
              <w:ind w:left="0" w:right="0" w:hanging="0"/>
              <w:rPr/>
            </w:pPr>
            <w:r>
              <w:rPr/>
              <w:t> </w:t>
            </w:r>
          </w:p>
        </w:tc>
        <w:tc>
          <w:tcPr>
            <w:tcW w:w="448" w:type="dxa"/>
            <w:tcBorders/>
            <w:shd w:fill="CCEEFF" w:val="clear"/>
            <w:vAlign w:val="center"/>
          </w:tcPr>
          <w:p>
            <w:pPr>
              <w:pStyle w:val="TableContents"/>
              <w:spacing w:before="0" w:after="0"/>
              <w:ind w:left="0" w:right="0" w:hanging="0"/>
              <w:rPr/>
            </w:pPr>
            <w:r>
              <w:rPr/>
              <w:t> </w:t>
            </w:r>
          </w:p>
        </w:tc>
        <w:tc>
          <w:tcPr>
            <w:tcW w:w="337"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11,955,660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119,557</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72,467,483</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6" w:type="dxa"/>
            <w:tcBorders/>
            <w:shd w:fill="CCEEFF" w:val="clear"/>
            <w:vAlign w:val="center"/>
          </w:tcPr>
          <w:p>
            <w:pPr>
              <w:pStyle w:val="TableContents"/>
              <w:spacing w:before="0" w:after="0"/>
              <w:ind w:left="0" w:right="0" w:hanging="0"/>
              <w:rPr/>
            </w:pPr>
            <w:r>
              <w:rPr/>
              <w:t> </w:t>
            </w:r>
          </w:p>
        </w:tc>
        <w:tc>
          <w:tcPr>
            <w:tcW w:w="1254" w:type="dxa"/>
            <w:tcBorders/>
            <w:shd w:fill="CCEEFF" w:val="clear"/>
            <w:vAlign w:val="center"/>
          </w:tcPr>
          <w:p>
            <w:pPr>
              <w:pStyle w:val="TableContents"/>
              <w:spacing w:before="0" w:after="283"/>
              <w:jc w:val="right"/>
              <w:rPr/>
            </w:pPr>
            <w:r>
              <w:rPr/>
              <w:t>1,796,739</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6,855,896</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1,471,406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85" w:type="dxa"/>
            <w:tcBorders/>
            <w:shd w:fill="CCEEFF" w:val="clear"/>
            <w:vAlign w:val="center"/>
          </w:tcPr>
          <w:p>
            <w:pPr>
              <w:pStyle w:val="TableContents"/>
              <w:spacing w:before="0" w:after="283"/>
              <w:jc w:val="right"/>
              <w:rPr/>
            </w:pPr>
            <w:r>
              <w:rPr/>
              <w:t>(5,567,481</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75,672,194</w:t>
            </w:r>
          </w:p>
        </w:tc>
        <w:tc>
          <w:tcPr>
            <w:tcW w:w="170" w:type="dxa"/>
            <w:tcBorders/>
            <w:shd w:fill="CCEEFF" w:val="clear"/>
            <w:vAlign w:val="center"/>
          </w:tcPr>
          <w:p>
            <w:pPr>
              <w:pStyle w:val="TableContents"/>
              <w:spacing w:before="0" w:after="0"/>
              <w:ind w:left="0" w:right="0" w:hanging="0"/>
              <w:rPr/>
            </w:pPr>
            <w:r>
              <w:rPr/>
              <w:t> </w:t>
            </w:r>
          </w:p>
        </w:tc>
      </w:tr>
      <w:tr>
        <w:trPr/>
        <w:tc>
          <w:tcPr>
            <w:tcW w:w="120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Stock-based compensation</w:t>
            </w:r>
          </w:p>
        </w:tc>
        <w:tc>
          <w:tcPr>
            <w:tcW w:w="90" w:type="dxa"/>
            <w:tcBorders/>
            <w:shd w:fill="FFFFFF" w:val="clear"/>
            <w:vAlign w:val="center"/>
          </w:tcPr>
          <w:p>
            <w:pPr>
              <w:pStyle w:val="TableContents"/>
              <w:spacing w:before="0" w:after="0"/>
              <w:ind w:left="0" w:right="0" w:hanging="0"/>
              <w:rPr/>
            </w:pPr>
            <w:r>
              <w:rPr/>
              <w:t> </w:t>
            </w:r>
          </w:p>
        </w:tc>
        <w:tc>
          <w:tcPr>
            <w:tcW w:w="283" w:type="dxa"/>
            <w:tcBorders/>
            <w:shd w:fill="FFFFFF" w:val="clear"/>
            <w:vAlign w:val="center"/>
          </w:tcPr>
          <w:p>
            <w:pPr>
              <w:pStyle w:val="TableContents"/>
              <w:spacing w:before="0" w:after="0"/>
              <w:ind w:left="0" w:right="0" w:hanging="0"/>
              <w:rPr/>
            </w:pPr>
            <w:r>
              <w:rPr/>
              <w:t> </w:t>
            </w:r>
          </w:p>
        </w:tc>
        <w:tc>
          <w:tcPr>
            <w:tcW w:w="397" w:type="dxa"/>
            <w:tcBorders/>
            <w:shd w:fill="FFFFFF" w:val="clear"/>
            <w:vAlign w:val="center"/>
          </w:tcPr>
          <w:p>
            <w:pPr>
              <w:pStyle w:val="TableContents"/>
              <w:spacing w:before="0" w:after="283"/>
              <w:jc w:val="right"/>
              <w:rPr/>
            </w:pPr>
            <w:r>
              <w:rPr/>
              <w:t>-</w:t>
            </w:r>
          </w:p>
        </w:tc>
        <w:tc>
          <w:tcPr>
            <w:tcW w:w="121" w:type="dxa"/>
            <w:tcBorders/>
            <w:shd w:fill="FFFFFF" w:val="clear"/>
            <w:vAlign w:val="center"/>
          </w:tcPr>
          <w:p>
            <w:pPr>
              <w:pStyle w:val="TableContents"/>
              <w:spacing w:before="0" w:after="0"/>
              <w:ind w:left="0" w:right="0" w:hanging="0"/>
              <w:rPr/>
            </w:pPr>
            <w:r>
              <w:rPr/>
              <w:t> </w:t>
            </w:r>
          </w:p>
        </w:tc>
        <w:tc>
          <w:tcPr>
            <w:tcW w:w="121" w:type="dxa"/>
            <w:tcBorders/>
            <w:shd w:fill="FFFFFF" w:val="clear"/>
            <w:vAlign w:val="center"/>
          </w:tcPr>
          <w:p>
            <w:pPr>
              <w:pStyle w:val="TableContents"/>
              <w:spacing w:before="0" w:after="0"/>
              <w:ind w:left="0" w:right="0" w:hanging="0"/>
              <w:rPr/>
            </w:pPr>
            <w:r>
              <w:rPr/>
              <w:t> </w:t>
            </w:r>
          </w:p>
        </w:tc>
        <w:tc>
          <w:tcPr>
            <w:tcW w:w="448" w:type="dxa"/>
            <w:tcBorders/>
            <w:shd w:fill="FFFFFF" w:val="clear"/>
            <w:vAlign w:val="center"/>
          </w:tcPr>
          <w:p>
            <w:pPr>
              <w:pStyle w:val="TableContents"/>
              <w:spacing w:before="0" w:after="0"/>
              <w:ind w:left="0" w:right="0" w:hanging="0"/>
              <w:rPr/>
            </w:pPr>
            <w:r>
              <w:rPr/>
              <w:t> </w:t>
            </w:r>
          </w:p>
        </w:tc>
        <w:tc>
          <w:tcPr>
            <w:tcW w:w="337" w:type="dxa"/>
            <w:tcBorders/>
            <w:shd w:fill="FFFFFF" w:val="cle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1,392,612</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6" w:type="dxa"/>
            <w:tcBorders/>
            <w:shd w:fill="FFFFFF" w:val="clear"/>
            <w:vAlign w:val="center"/>
          </w:tcPr>
          <w:p>
            <w:pPr>
              <w:pStyle w:val="TableContents"/>
              <w:spacing w:before="0" w:after="0"/>
              <w:ind w:left="0" w:right="0" w:hanging="0"/>
              <w:rPr/>
            </w:pPr>
            <w:r>
              <w:rPr/>
              <w:t> </w:t>
            </w:r>
          </w:p>
        </w:tc>
        <w:tc>
          <w:tcPr>
            <w:tcW w:w="1254"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85"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1,392,612</w:t>
            </w:r>
          </w:p>
        </w:tc>
        <w:tc>
          <w:tcPr>
            <w:tcW w:w="170" w:type="dxa"/>
            <w:tcBorders/>
            <w:shd w:fill="FFFFFF" w:val="clear"/>
            <w:vAlign w:val="center"/>
          </w:tcPr>
          <w:p>
            <w:pPr>
              <w:pStyle w:val="TableContents"/>
              <w:spacing w:before="0" w:after="0"/>
              <w:ind w:left="0" w:right="0" w:hanging="0"/>
              <w:rPr/>
            </w:pPr>
            <w:r>
              <w:rPr/>
              <w:t> </w:t>
            </w:r>
          </w:p>
        </w:tc>
      </w:tr>
      <w:tr>
        <w:trPr/>
        <w:tc>
          <w:tcPr>
            <w:tcW w:w="120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Vesting of restricted stock awards</w:t>
            </w:r>
          </w:p>
        </w:tc>
        <w:tc>
          <w:tcPr>
            <w:tcW w:w="90" w:type="dxa"/>
            <w:tcBorders/>
            <w:shd w:fill="CCEEFF" w:val="clear"/>
            <w:vAlign w:val="center"/>
          </w:tcPr>
          <w:p>
            <w:pPr>
              <w:pStyle w:val="TableContents"/>
              <w:spacing w:before="0" w:after="0"/>
              <w:ind w:left="0" w:right="0" w:hanging="0"/>
              <w:rPr/>
            </w:pPr>
            <w:r>
              <w:rPr/>
              <w:t> </w:t>
            </w:r>
          </w:p>
        </w:tc>
        <w:tc>
          <w:tcPr>
            <w:tcW w:w="283" w:type="dxa"/>
            <w:tcBorders/>
            <w:shd w:fill="CCEEFF" w:val="clear"/>
            <w:vAlign w:val="center"/>
          </w:tcPr>
          <w:p>
            <w:pPr>
              <w:pStyle w:val="TableContents"/>
              <w:spacing w:before="0" w:after="0"/>
              <w:ind w:left="0" w:right="0" w:hanging="0"/>
              <w:rPr/>
            </w:pPr>
            <w:r>
              <w:rPr/>
              <w:t> </w:t>
            </w:r>
          </w:p>
        </w:tc>
        <w:tc>
          <w:tcPr>
            <w:tcW w:w="397" w:type="dxa"/>
            <w:tcBorders/>
            <w:shd w:fill="CCEEFF" w:val="clear"/>
            <w:vAlign w:val="center"/>
          </w:tcPr>
          <w:p>
            <w:pPr>
              <w:pStyle w:val="TableContents"/>
              <w:spacing w:before="0" w:after="283"/>
              <w:jc w:val="right"/>
              <w:rPr/>
            </w:pPr>
            <w:r>
              <w:rPr/>
              <w:t>-</w:t>
            </w:r>
          </w:p>
        </w:tc>
        <w:tc>
          <w:tcPr>
            <w:tcW w:w="121" w:type="dxa"/>
            <w:tcBorders/>
            <w:shd w:fill="CCEEFF" w:val="clear"/>
            <w:vAlign w:val="center"/>
          </w:tcPr>
          <w:p>
            <w:pPr>
              <w:pStyle w:val="TableContents"/>
              <w:spacing w:before="0" w:after="0"/>
              <w:ind w:left="0" w:right="0" w:hanging="0"/>
              <w:rPr/>
            </w:pPr>
            <w:r>
              <w:rPr/>
              <w:t> </w:t>
            </w:r>
          </w:p>
        </w:tc>
        <w:tc>
          <w:tcPr>
            <w:tcW w:w="121" w:type="dxa"/>
            <w:tcBorders/>
            <w:shd w:fill="CCEEFF" w:val="clear"/>
            <w:vAlign w:val="center"/>
          </w:tcPr>
          <w:p>
            <w:pPr>
              <w:pStyle w:val="TableContents"/>
              <w:spacing w:before="0" w:after="0"/>
              <w:ind w:left="0" w:right="0" w:hanging="0"/>
              <w:rPr/>
            </w:pPr>
            <w:r>
              <w:rPr/>
              <w:t> </w:t>
            </w:r>
          </w:p>
        </w:tc>
        <w:tc>
          <w:tcPr>
            <w:tcW w:w="448" w:type="dxa"/>
            <w:tcBorders/>
            <w:shd w:fill="CCEEFF" w:val="clear"/>
            <w:vAlign w:val="center"/>
          </w:tcPr>
          <w:p>
            <w:pPr>
              <w:pStyle w:val="TableContents"/>
              <w:spacing w:before="0" w:after="0"/>
              <w:ind w:left="0" w:right="0" w:hanging="0"/>
              <w:rPr/>
            </w:pPr>
            <w:r>
              <w:rPr/>
              <w:t> </w:t>
            </w:r>
          </w:p>
        </w:tc>
        <w:tc>
          <w:tcPr>
            <w:tcW w:w="337"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262,490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2,625</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(2,625</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6" w:type="dxa"/>
            <w:tcBorders/>
            <w:shd w:fill="CCEEFF" w:val="clear"/>
            <w:vAlign w:val="center"/>
          </w:tcPr>
          <w:p>
            <w:pPr>
              <w:pStyle w:val="TableContents"/>
              <w:spacing w:before="0" w:after="0"/>
              <w:ind w:left="0" w:right="0" w:hanging="0"/>
              <w:rPr/>
            </w:pPr>
            <w:r>
              <w:rPr/>
              <w:t> </w:t>
            </w:r>
          </w:p>
        </w:tc>
        <w:tc>
          <w:tcPr>
            <w:tcW w:w="1254"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85"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w:t>
            </w:r>
          </w:p>
        </w:tc>
        <w:tc>
          <w:tcPr>
            <w:tcW w:w="170" w:type="dxa"/>
            <w:tcBorders/>
            <w:shd w:fill="CCEEFF" w:val="clear"/>
            <w:vAlign w:val="center"/>
          </w:tcPr>
          <w:p>
            <w:pPr>
              <w:pStyle w:val="TableContents"/>
              <w:spacing w:before="0" w:after="0"/>
              <w:ind w:left="0" w:right="0" w:hanging="0"/>
              <w:rPr/>
            </w:pPr>
            <w:r>
              <w:rPr/>
              <w:t> </w:t>
            </w:r>
          </w:p>
        </w:tc>
      </w:tr>
      <w:tr>
        <w:trPr/>
        <w:tc>
          <w:tcPr>
            <w:tcW w:w="1205" w:type="dxa"/>
            <w:tcBorders/>
            <w:shd w:fill="FFFFFF" w:val="clear"/>
            <w:vAlign w:val="center"/>
          </w:tcPr>
          <w:p>
            <w:pPr>
              <w:pStyle w:val="TableContents"/>
              <w:rPr/>
            </w:pPr>
            <w:r>
              <w:rPr/>
              <w:t xml:space="preserve">Issuance of common stock - employee </w:t>
            </w:r>
          </w:p>
          <w:p>
            <w:pPr>
              <w:pStyle w:val="TableContents"/>
              <w:spacing w:before="0" w:after="0"/>
              <w:ind w:left="0" w:right="0" w:hanging="0"/>
              <w:rPr>
                <w:rFonts w:ascii="times new roman" w:hAnsi="times new roman"/>
                <w:sz w:val="20"/>
              </w:rPr>
            </w:pPr>
            <w:r>
              <w:rPr>
                <w:rFonts w:ascii="times new roman" w:hAnsi="times new roman"/>
                <w:sz w:val="20"/>
              </w:rPr>
              <w:t>stock purchase plan</w:t>
            </w:r>
          </w:p>
        </w:tc>
        <w:tc>
          <w:tcPr>
            <w:tcW w:w="90" w:type="dxa"/>
            <w:tcBorders/>
            <w:shd w:fill="FFFFFF" w:val="clear"/>
            <w:vAlign w:val="center"/>
          </w:tcPr>
          <w:p>
            <w:pPr>
              <w:pStyle w:val="TableContents"/>
              <w:spacing w:before="0" w:after="0"/>
              <w:ind w:left="0" w:right="0" w:hanging="0"/>
              <w:rPr/>
            </w:pPr>
            <w:r>
              <w:rPr/>
              <w:t> </w:t>
            </w:r>
          </w:p>
        </w:tc>
        <w:tc>
          <w:tcPr>
            <w:tcW w:w="283" w:type="dxa"/>
            <w:tcBorders/>
            <w:shd w:fill="FFFFFF" w:val="clear"/>
            <w:vAlign w:val="center"/>
          </w:tcPr>
          <w:p>
            <w:pPr>
              <w:pStyle w:val="TableContents"/>
              <w:spacing w:before="0" w:after="0"/>
              <w:ind w:left="0" w:right="0" w:hanging="0"/>
              <w:rPr/>
            </w:pPr>
            <w:r>
              <w:rPr/>
              <w:t> </w:t>
            </w:r>
          </w:p>
        </w:tc>
        <w:tc>
          <w:tcPr>
            <w:tcW w:w="397" w:type="dxa"/>
            <w:tcBorders/>
            <w:shd w:fill="FFFFFF" w:val="clear"/>
            <w:vAlign w:val="center"/>
          </w:tcPr>
          <w:p>
            <w:pPr>
              <w:pStyle w:val="TableContents"/>
              <w:spacing w:before="0" w:after="283"/>
              <w:jc w:val="right"/>
              <w:rPr/>
            </w:pPr>
            <w:r>
              <w:rPr/>
              <w:t>-</w:t>
            </w:r>
          </w:p>
        </w:tc>
        <w:tc>
          <w:tcPr>
            <w:tcW w:w="121" w:type="dxa"/>
            <w:tcBorders/>
            <w:shd w:fill="FFFFFF" w:val="clear"/>
            <w:vAlign w:val="center"/>
          </w:tcPr>
          <w:p>
            <w:pPr>
              <w:pStyle w:val="TableContents"/>
              <w:spacing w:before="0" w:after="0"/>
              <w:ind w:left="0" w:right="0" w:hanging="0"/>
              <w:rPr/>
            </w:pPr>
            <w:r>
              <w:rPr/>
              <w:t> </w:t>
            </w:r>
          </w:p>
        </w:tc>
        <w:tc>
          <w:tcPr>
            <w:tcW w:w="121" w:type="dxa"/>
            <w:tcBorders/>
            <w:shd w:fill="FFFFFF" w:val="clear"/>
            <w:vAlign w:val="center"/>
          </w:tcPr>
          <w:p>
            <w:pPr>
              <w:pStyle w:val="TableContents"/>
              <w:spacing w:before="0" w:after="0"/>
              <w:ind w:left="0" w:right="0" w:hanging="0"/>
              <w:rPr/>
            </w:pPr>
            <w:r>
              <w:rPr/>
              <w:t> </w:t>
            </w:r>
          </w:p>
        </w:tc>
        <w:tc>
          <w:tcPr>
            <w:tcW w:w="448" w:type="dxa"/>
            <w:tcBorders/>
            <w:shd w:fill="FFFFFF" w:val="clear"/>
            <w:vAlign w:val="center"/>
          </w:tcPr>
          <w:p>
            <w:pPr>
              <w:pStyle w:val="TableContents"/>
              <w:spacing w:before="0" w:after="0"/>
              <w:ind w:left="0" w:right="0" w:hanging="0"/>
              <w:rPr/>
            </w:pPr>
            <w:r>
              <w:rPr/>
              <w:t> </w:t>
            </w:r>
          </w:p>
        </w:tc>
        <w:tc>
          <w:tcPr>
            <w:tcW w:w="337" w:type="dxa"/>
            <w:tcBorders/>
            <w:shd w:fill="FFFFFF" w:val="cle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33,222</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332</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60,132</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6" w:type="dxa"/>
            <w:tcBorders/>
            <w:shd w:fill="FFFFFF" w:val="clear"/>
            <w:vAlign w:val="center"/>
          </w:tcPr>
          <w:p>
            <w:pPr>
              <w:pStyle w:val="TableContents"/>
              <w:spacing w:before="0" w:after="0"/>
              <w:ind w:left="0" w:right="0" w:hanging="0"/>
              <w:rPr/>
            </w:pPr>
            <w:r>
              <w:rPr/>
              <w:t> </w:t>
            </w:r>
          </w:p>
        </w:tc>
        <w:tc>
          <w:tcPr>
            <w:tcW w:w="1254"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85"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60,464</w:t>
            </w:r>
          </w:p>
        </w:tc>
        <w:tc>
          <w:tcPr>
            <w:tcW w:w="170" w:type="dxa"/>
            <w:tcBorders/>
            <w:shd w:fill="FFFFFF" w:val="clear"/>
            <w:vAlign w:val="center"/>
          </w:tcPr>
          <w:p>
            <w:pPr>
              <w:pStyle w:val="TableContents"/>
              <w:spacing w:before="0" w:after="0"/>
              <w:ind w:left="0" w:right="0" w:hanging="0"/>
              <w:rPr/>
            </w:pPr>
            <w:r>
              <w:rPr/>
              <w:t> </w:t>
            </w:r>
          </w:p>
        </w:tc>
      </w:tr>
      <w:tr>
        <w:trPr/>
        <w:tc>
          <w:tcPr>
            <w:tcW w:w="120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83" w:type="dxa"/>
            <w:tcBorders/>
            <w:shd w:fill="CCEEFF" w:val="clear"/>
            <w:vAlign w:val="center"/>
          </w:tcPr>
          <w:p>
            <w:pPr>
              <w:pStyle w:val="TableContents"/>
              <w:spacing w:before="0" w:after="0"/>
              <w:ind w:left="0" w:right="0" w:hanging="0"/>
              <w:rPr/>
            </w:pPr>
            <w:r>
              <w:rPr/>
              <w:t> </w:t>
            </w:r>
          </w:p>
        </w:tc>
        <w:tc>
          <w:tcPr>
            <w:tcW w:w="397" w:type="dxa"/>
            <w:tcBorders/>
            <w:shd w:fill="CCEEFF" w:val="clear"/>
            <w:vAlign w:val="center"/>
          </w:tcPr>
          <w:p>
            <w:pPr>
              <w:pStyle w:val="TableContents"/>
              <w:spacing w:before="0" w:after="0"/>
              <w:ind w:left="0" w:right="0" w:hanging="0"/>
              <w:rPr/>
            </w:pPr>
            <w:r>
              <w:rPr/>
              <w:t> </w:t>
            </w:r>
          </w:p>
        </w:tc>
        <w:tc>
          <w:tcPr>
            <w:tcW w:w="121" w:type="dxa"/>
            <w:tcBorders/>
            <w:shd w:fill="CCEEFF" w:val="clear"/>
            <w:vAlign w:val="center"/>
          </w:tcPr>
          <w:p>
            <w:pPr>
              <w:pStyle w:val="TableContents"/>
              <w:spacing w:before="0" w:after="0"/>
              <w:ind w:left="0" w:right="0" w:hanging="0"/>
              <w:rPr/>
            </w:pPr>
            <w:r>
              <w:rPr/>
              <w:t> </w:t>
            </w:r>
          </w:p>
        </w:tc>
        <w:tc>
          <w:tcPr>
            <w:tcW w:w="121" w:type="dxa"/>
            <w:tcBorders/>
            <w:shd w:fill="CCEEFF" w:val="clear"/>
            <w:vAlign w:val="center"/>
          </w:tcPr>
          <w:p>
            <w:pPr>
              <w:pStyle w:val="TableContents"/>
              <w:spacing w:before="0" w:after="0"/>
              <w:ind w:left="0" w:right="0" w:hanging="0"/>
              <w:rPr/>
            </w:pPr>
            <w:r>
              <w:rPr/>
              <w:t> </w:t>
            </w:r>
          </w:p>
        </w:tc>
        <w:tc>
          <w:tcPr>
            <w:tcW w:w="448" w:type="dxa"/>
            <w:tcBorders/>
            <w:shd w:fill="CCEEFF" w:val="clear"/>
            <w:vAlign w:val="center"/>
          </w:tcPr>
          <w:p>
            <w:pPr>
              <w:pStyle w:val="TableContents"/>
              <w:spacing w:before="0" w:after="0"/>
              <w:ind w:left="0" w:right="0" w:hanging="0"/>
              <w:rPr/>
            </w:pPr>
            <w:r>
              <w:rPr/>
              <w:t> </w:t>
            </w:r>
          </w:p>
        </w:tc>
        <w:tc>
          <w:tcPr>
            <w:tcW w:w="337"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6" w:type="dxa"/>
            <w:tcBorders/>
            <w:shd w:fill="CCEEFF" w:val="clear"/>
            <w:vAlign w:val="center"/>
          </w:tcPr>
          <w:p>
            <w:pPr>
              <w:pStyle w:val="TableContents"/>
              <w:spacing w:before="0" w:after="0"/>
              <w:ind w:left="0" w:right="0" w:hanging="0"/>
              <w:rPr/>
            </w:pPr>
            <w:r>
              <w:rPr/>
              <w:t> </w:t>
            </w:r>
          </w:p>
        </w:tc>
        <w:tc>
          <w:tcPr>
            <w:tcW w:w="1254"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8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1205" w:type="dxa"/>
            <w:tcBorders/>
            <w:shd w:fill="FFFFFF" w:val="clear"/>
            <w:vAlign w:val="center"/>
          </w:tcPr>
          <w:p>
            <w:pPr>
              <w:pStyle w:val="TableContents"/>
              <w:rPr/>
            </w:pPr>
            <w:r>
              <w:rPr/>
              <w:t xml:space="preserve">Shares deducted from restricted stock </w:t>
            </w:r>
          </w:p>
          <w:p>
            <w:pPr>
              <w:pStyle w:val="TableContents"/>
              <w:spacing w:before="0" w:after="0"/>
              <w:ind w:left="0" w:right="0" w:hanging="0"/>
              <w:rPr>
                <w:rFonts w:ascii="times new roman" w:hAnsi="times new roman"/>
                <w:sz w:val="20"/>
              </w:rPr>
            </w:pPr>
            <w:r>
              <w:rPr>
                <w:rFonts w:ascii="times new roman" w:hAnsi="times new roman"/>
                <w:sz w:val="20"/>
              </w:rPr>
              <w:t>awards for payment of withholding taxes</w:t>
            </w:r>
          </w:p>
        </w:tc>
        <w:tc>
          <w:tcPr>
            <w:tcW w:w="90" w:type="dxa"/>
            <w:tcBorders/>
            <w:shd w:fill="FFFFFF" w:val="clear"/>
            <w:vAlign w:val="center"/>
          </w:tcPr>
          <w:p>
            <w:pPr>
              <w:pStyle w:val="TableContents"/>
              <w:spacing w:before="0" w:after="0"/>
              <w:ind w:left="0" w:right="0" w:hanging="0"/>
              <w:rPr/>
            </w:pPr>
            <w:r>
              <w:rPr/>
              <w:t> </w:t>
            </w:r>
          </w:p>
        </w:tc>
        <w:tc>
          <w:tcPr>
            <w:tcW w:w="283" w:type="dxa"/>
            <w:tcBorders/>
            <w:shd w:fill="FFFFFF" w:val="clear"/>
            <w:vAlign w:val="center"/>
          </w:tcPr>
          <w:p>
            <w:pPr>
              <w:pStyle w:val="TableContents"/>
              <w:spacing w:before="0" w:after="0"/>
              <w:ind w:left="0" w:right="0" w:hanging="0"/>
              <w:rPr/>
            </w:pPr>
            <w:r>
              <w:rPr/>
              <w:t> </w:t>
            </w:r>
          </w:p>
        </w:tc>
        <w:tc>
          <w:tcPr>
            <w:tcW w:w="397" w:type="dxa"/>
            <w:tcBorders/>
            <w:shd w:fill="FFFFFF" w:val="clear"/>
            <w:vAlign w:val="center"/>
          </w:tcPr>
          <w:p>
            <w:pPr>
              <w:pStyle w:val="TableContents"/>
              <w:spacing w:before="0" w:after="283"/>
              <w:jc w:val="right"/>
              <w:rPr/>
            </w:pPr>
            <w:r>
              <w:rPr/>
              <w:t>-</w:t>
            </w:r>
          </w:p>
        </w:tc>
        <w:tc>
          <w:tcPr>
            <w:tcW w:w="121" w:type="dxa"/>
            <w:tcBorders/>
            <w:shd w:fill="FFFFFF" w:val="clear"/>
            <w:vAlign w:val="center"/>
          </w:tcPr>
          <w:p>
            <w:pPr>
              <w:pStyle w:val="TableContents"/>
              <w:spacing w:before="0" w:after="0"/>
              <w:ind w:left="0" w:right="0" w:hanging="0"/>
              <w:rPr/>
            </w:pPr>
            <w:r>
              <w:rPr/>
              <w:t> </w:t>
            </w:r>
          </w:p>
        </w:tc>
        <w:tc>
          <w:tcPr>
            <w:tcW w:w="121" w:type="dxa"/>
            <w:tcBorders/>
            <w:shd w:fill="FFFFFF" w:val="clear"/>
            <w:vAlign w:val="center"/>
          </w:tcPr>
          <w:p>
            <w:pPr>
              <w:pStyle w:val="TableContents"/>
              <w:spacing w:before="0" w:after="0"/>
              <w:ind w:left="0" w:right="0" w:hanging="0"/>
              <w:rPr/>
            </w:pPr>
            <w:r>
              <w:rPr/>
              <w:t> </w:t>
            </w:r>
          </w:p>
        </w:tc>
        <w:tc>
          <w:tcPr>
            <w:tcW w:w="448" w:type="dxa"/>
            <w:tcBorders/>
            <w:shd w:fill="FFFFFF" w:val="clear"/>
            <w:vAlign w:val="center"/>
          </w:tcPr>
          <w:p>
            <w:pPr>
              <w:pStyle w:val="TableContents"/>
              <w:spacing w:before="0" w:after="0"/>
              <w:ind w:left="0" w:right="0" w:hanging="0"/>
              <w:rPr/>
            </w:pPr>
            <w:r>
              <w:rPr/>
              <w:t> </w:t>
            </w:r>
          </w:p>
        </w:tc>
        <w:tc>
          <w:tcPr>
            <w:tcW w:w="337" w:type="dxa"/>
            <w:tcBorders/>
            <w:shd w:fill="FFFFFF" w:val="cle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(79,860</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(799</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(391,212</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6" w:type="dxa"/>
            <w:tcBorders/>
            <w:shd w:fill="FFFFFF" w:val="clear"/>
            <w:vAlign w:val="center"/>
          </w:tcPr>
          <w:p>
            <w:pPr>
              <w:pStyle w:val="TableContents"/>
              <w:spacing w:before="0" w:after="0"/>
              <w:ind w:left="0" w:right="0" w:hanging="0"/>
              <w:rPr/>
            </w:pPr>
            <w:r>
              <w:rPr/>
              <w:t> </w:t>
            </w:r>
          </w:p>
        </w:tc>
        <w:tc>
          <w:tcPr>
            <w:tcW w:w="1254"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85"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(392,011</w:t>
            </w:r>
          </w:p>
        </w:tc>
        <w:tc>
          <w:tcPr>
            <w:tcW w:w="170" w:type="dxa"/>
            <w:tcBorders/>
            <w:shd w:fill="FFFFFF" w:val="clear"/>
            <w:vAlign w:val="center"/>
          </w:tcPr>
          <w:p>
            <w:pPr>
              <w:pStyle w:val="TableContents"/>
              <w:spacing w:before="0" w:after="283"/>
              <w:rPr/>
            </w:pPr>
            <w:r>
              <w:rPr/>
              <w:t>)</w:t>
            </w:r>
          </w:p>
        </w:tc>
      </w:tr>
      <w:tr>
        <w:trPr/>
        <w:tc>
          <w:tcPr>
            <w:tcW w:w="120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Warrants issued with exchange of debt</w:t>
            </w:r>
          </w:p>
        </w:tc>
        <w:tc>
          <w:tcPr>
            <w:tcW w:w="90" w:type="dxa"/>
            <w:tcBorders/>
            <w:shd w:fill="CCEEFF" w:val="clear"/>
            <w:vAlign w:val="center"/>
          </w:tcPr>
          <w:p>
            <w:pPr>
              <w:pStyle w:val="TableContents"/>
              <w:spacing w:before="0" w:after="0"/>
              <w:ind w:left="0" w:right="0" w:hanging="0"/>
              <w:rPr/>
            </w:pPr>
            <w:r>
              <w:rPr/>
              <w:t> </w:t>
            </w:r>
          </w:p>
        </w:tc>
        <w:tc>
          <w:tcPr>
            <w:tcW w:w="283" w:type="dxa"/>
            <w:tcBorders/>
            <w:shd w:fill="CCEEFF" w:val="clear"/>
            <w:vAlign w:val="center"/>
          </w:tcPr>
          <w:p>
            <w:pPr>
              <w:pStyle w:val="TableContents"/>
              <w:spacing w:before="0" w:after="0"/>
              <w:ind w:left="0" w:right="0" w:hanging="0"/>
              <w:rPr/>
            </w:pPr>
            <w:r>
              <w:rPr/>
              <w:t> </w:t>
            </w:r>
          </w:p>
        </w:tc>
        <w:tc>
          <w:tcPr>
            <w:tcW w:w="397" w:type="dxa"/>
            <w:tcBorders/>
            <w:shd w:fill="CCEEFF" w:val="clear"/>
            <w:vAlign w:val="center"/>
          </w:tcPr>
          <w:p>
            <w:pPr>
              <w:pStyle w:val="TableContents"/>
              <w:spacing w:before="0" w:after="283"/>
              <w:jc w:val="right"/>
              <w:rPr/>
            </w:pPr>
            <w:r>
              <w:rPr/>
              <w:t>-</w:t>
            </w:r>
          </w:p>
        </w:tc>
        <w:tc>
          <w:tcPr>
            <w:tcW w:w="121" w:type="dxa"/>
            <w:tcBorders/>
            <w:shd w:fill="CCEEFF" w:val="clear"/>
            <w:vAlign w:val="center"/>
          </w:tcPr>
          <w:p>
            <w:pPr>
              <w:pStyle w:val="TableContents"/>
              <w:spacing w:before="0" w:after="0"/>
              <w:ind w:left="0" w:right="0" w:hanging="0"/>
              <w:rPr/>
            </w:pPr>
            <w:r>
              <w:rPr/>
              <w:t> </w:t>
            </w:r>
          </w:p>
        </w:tc>
        <w:tc>
          <w:tcPr>
            <w:tcW w:w="121" w:type="dxa"/>
            <w:tcBorders/>
            <w:shd w:fill="CCEEFF" w:val="clear"/>
            <w:vAlign w:val="center"/>
          </w:tcPr>
          <w:p>
            <w:pPr>
              <w:pStyle w:val="TableContents"/>
              <w:spacing w:before="0" w:after="0"/>
              <w:ind w:left="0" w:right="0" w:hanging="0"/>
              <w:rPr/>
            </w:pPr>
            <w:r>
              <w:rPr/>
              <w:t> </w:t>
            </w:r>
          </w:p>
        </w:tc>
        <w:tc>
          <w:tcPr>
            <w:tcW w:w="448" w:type="dxa"/>
            <w:tcBorders/>
            <w:shd w:fill="CCEEFF" w:val="clear"/>
            <w:vAlign w:val="center"/>
          </w:tcPr>
          <w:p>
            <w:pPr>
              <w:pStyle w:val="TableContents"/>
              <w:spacing w:before="0" w:after="0"/>
              <w:ind w:left="0" w:right="0" w:hanging="0"/>
              <w:rPr/>
            </w:pPr>
            <w:r>
              <w:rPr/>
              <w:t> </w:t>
            </w:r>
          </w:p>
        </w:tc>
        <w:tc>
          <w:tcPr>
            <w:tcW w:w="337"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993,200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6" w:type="dxa"/>
            <w:tcBorders/>
            <w:shd w:fill="CCEEFF" w:val="clear"/>
            <w:vAlign w:val="center"/>
          </w:tcPr>
          <w:p>
            <w:pPr>
              <w:pStyle w:val="TableContents"/>
              <w:spacing w:before="0" w:after="0"/>
              <w:ind w:left="0" w:right="0" w:hanging="0"/>
              <w:rPr/>
            </w:pPr>
            <w:r>
              <w:rPr/>
              <w:t> </w:t>
            </w:r>
          </w:p>
        </w:tc>
        <w:tc>
          <w:tcPr>
            <w:tcW w:w="1254"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85"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993,200</w:t>
            </w:r>
          </w:p>
        </w:tc>
        <w:tc>
          <w:tcPr>
            <w:tcW w:w="170" w:type="dxa"/>
            <w:tcBorders/>
            <w:shd w:fill="CCEEFF" w:val="clear"/>
            <w:vAlign w:val="center"/>
          </w:tcPr>
          <w:p>
            <w:pPr>
              <w:pStyle w:val="TableContents"/>
              <w:spacing w:before="0" w:after="0"/>
              <w:ind w:left="0" w:right="0" w:hanging="0"/>
              <w:rPr/>
            </w:pPr>
            <w:r>
              <w:rPr/>
              <w:t> </w:t>
            </w:r>
          </w:p>
        </w:tc>
      </w:tr>
      <w:tr>
        <w:trPr/>
        <w:tc>
          <w:tcPr>
            <w:tcW w:w="120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Dividends</w:t>
            </w:r>
          </w:p>
        </w:tc>
        <w:tc>
          <w:tcPr>
            <w:tcW w:w="90" w:type="dxa"/>
            <w:tcBorders/>
            <w:shd w:fill="FFFFFF" w:val="clear"/>
            <w:vAlign w:val="center"/>
          </w:tcPr>
          <w:p>
            <w:pPr>
              <w:pStyle w:val="TableContents"/>
              <w:spacing w:before="0" w:after="0"/>
              <w:ind w:left="0" w:right="0" w:hanging="0"/>
              <w:rPr/>
            </w:pPr>
            <w:r>
              <w:rPr/>
              <w:t> </w:t>
            </w:r>
          </w:p>
        </w:tc>
        <w:tc>
          <w:tcPr>
            <w:tcW w:w="283" w:type="dxa"/>
            <w:tcBorders/>
            <w:shd w:fill="FFFFFF" w:val="clear"/>
            <w:vAlign w:val="center"/>
          </w:tcPr>
          <w:p>
            <w:pPr>
              <w:pStyle w:val="TableContents"/>
              <w:spacing w:before="0" w:after="0"/>
              <w:ind w:left="0" w:right="0" w:hanging="0"/>
              <w:rPr/>
            </w:pPr>
            <w:r>
              <w:rPr/>
              <w:t> </w:t>
            </w:r>
          </w:p>
        </w:tc>
        <w:tc>
          <w:tcPr>
            <w:tcW w:w="397" w:type="dxa"/>
            <w:tcBorders/>
            <w:shd w:fill="FFFFFF" w:val="clear"/>
            <w:vAlign w:val="center"/>
          </w:tcPr>
          <w:p>
            <w:pPr>
              <w:pStyle w:val="TableContents"/>
              <w:spacing w:before="0" w:after="283"/>
              <w:jc w:val="right"/>
              <w:rPr/>
            </w:pPr>
            <w:r>
              <w:rPr/>
              <w:t>-</w:t>
            </w:r>
          </w:p>
        </w:tc>
        <w:tc>
          <w:tcPr>
            <w:tcW w:w="121" w:type="dxa"/>
            <w:tcBorders/>
            <w:shd w:fill="FFFFFF" w:val="clear"/>
            <w:vAlign w:val="center"/>
          </w:tcPr>
          <w:p>
            <w:pPr>
              <w:pStyle w:val="TableContents"/>
              <w:spacing w:before="0" w:after="0"/>
              <w:ind w:left="0" w:right="0" w:hanging="0"/>
              <w:rPr/>
            </w:pPr>
            <w:r>
              <w:rPr/>
              <w:t> </w:t>
            </w:r>
          </w:p>
        </w:tc>
        <w:tc>
          <w:tcPr>
            <w:tcW w:w="121" w:type="dxa"/>
            <w:tcBorders/>
            <w:shd w:fill="FFFFFF" w:val="clear"/>
            <w:vAlign w:val="center"/>
          </w:tcPr>
          <w:p>
            <w:pPr>
              <w:pStyle w:val="TableContents"/>
              <w:spacing w:before="0" w:after="0"/>
              <w:ind w:left="0" w:right="0" w:hanging="0"/>
              <w:rPr/>
            </w:pPr>
            <w:r>
              <w:rPr/>
              <w:t> </w:t>
            </w:r>
          </w:p>
        </w:tc>
        <w:tc>
          <w:tcPr>
            <w:tcW w:w="448" w:type="dxa"/>
            <w:tcBorders/>
            <w:shd w:fill="FFFFFF" w:val="clear"/>
            <w:vAlign w:val="center"/>
          </w:tcPr>
          <w:p>
            <w:pPr>
              <w:pStyle w:val="TableContents"/>
              <w:spacing w:before="0" w:after="0"/>
              <w:ind w:left="0" w:right="0" w:hanging="0"/>
              <w:rPr/>
            </w:pPr>
            <w:r>
              <w:rPr/>
              <w:t> </w:t>
            </w:r>
          </w:p>
        </w:tc>
        <w:tc>
          <w:tcPr>
            <w:tcW w:w="337" w:type="dxa"/>
            <w:tcBorders/>
            <w:shd w:fill="FFFFFF" w:val="cle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6" w:type="dxa"/>
            <w:tcBorders/>
            <w:shd w:fill="FFFFFF" w:val="clear"/>
            <w:vAlign w:val="center"/>
          </w:tcPr>
          <w:p>
            <w:pPr>
              <w:pStyle w:val="TableContents"/>
              <w:spacing w:before="0" w:after="0"/>
              <w:ind w:left="0" w:right="0" w:hanging="0"/>
              <w:rPr/>
            </w:pPr>
            <w:r>
              <w:rPr/>
              <w:t> </w:t>
            </w:r>
          </w:p>
        </w:tc>
        <w:tc>
          <w:tcPr>
            <w:tcW w:w="1254"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(1,277,066</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85"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(1,277,066</w:t>
            </w:r>
          </w:p>
        </w:tc>
        <w:tc>
          <w:tcPr>
            <w:tcW w:w="170" w:type="dxa"/>
            <w:tcBorders/>
            <w:shd w:fill="FFFFFF" w:val="clear"/>
            <w:vAlign w:val="center"/>
          </w:tcPr>
          <w:p>
            <w:pPr>
              <w:pStyle w:val="TableContents"/>
              <w:spacing w:before="0" w:after="283"/>
              <w:rPr/>
            </w:pPr>
            <w:r>
              <w:rPr/>
              <w:t>)</w:t>
            </w:r>
          </w:p>
        </w:tc>
      </w:tr>
      <w:tr>
        <w:trPr/>
        <w:tc>
          <w:tcPr>
            <w:tcW w:w="120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Net loss</w:t>
            </w:r>
          </w:p>
        </w:tc>
        <w:tc>
          <w:tcPr>
            <w:tcW w:w="90" w:type="dxa"/>
            <w:tcBorders/>
            <w:shd w:fill="CCEEFF" w:val="clear"/>
            <w:vAlign w:val="center"/>
          </w:tcPr>
          <w:p>
            <w:pPr>
              <w:pStyle w:val="TableContents"/>
              <w:spacing w:before="0" w:after="0"/>
              <w:ind w:left="0" w:right="0" w:hanging="0"/>
              <w:rPr/>
            </w:pPr>
            <w:r>
              <w:rPr/>
              <w:t> </w:t>
            </w:r>
          </w:p>
        </w:tc>
        <w:tc>
          <w:tcPr>
            <w:tcW w:w="283" w:type="dxa"/>
            <w:tcBorders/>
            <w:shd w:fill="CCEEFF" w:val="clear"/>
            <w:vAlign w:val="center"/>
          </w:tcPr>
          <w:p>
            <w:pPr>
              <w:pStyle w:val="TableContents"/>
              <w:spacing w:before="0" w:after="0"/>
              <w:ind w:left="0" w:right="0" w:hanging="0"/>
              <w:rPr/>
            </w:pPr>
            <w:r>
              <w:rPr/>
              <w:t> </w:t>
            </w:r>
          </w:p>
        </w:tc>
        <w:tc>
          <w:tcPr>
            <w:tcW w:w="397" w:type="dxa"/>
            <w:tcBorders/>
            <w:shd w:fill="CCEEFF" w:val="clear"/>
            <w:vAlign w:val="center"/>
          </w:tcPr>
          <w:p>
            <w:pPr>
              <w:pStyle w:val="TableContents"/>
              <w:spacing w:before="0" w:after="283"/>
              <w:jc w:val="right"/>
              <w:rPr/>
            </w:pPr>
            <w:r>
              <w:rPr/>
              <w:t>-</w:t>
            </w:r>
          </w:p>
        </w:tc>
        <w:tc>
          <w:tcPr>
            <w:tcW w:w="121" w:type="dxa"/>
            <w:tcBorders/>
            <w:shd w:fill="CCEEFF" w:val="clear"/>
            <w:vAlign w:val="center"/>
          </w:tcPr>
          <w:p>
            <w:pPr>
              <w:pStyle w:val="TableContents"/>
              <w:spacing w:before="0" w:after="0"/>
              <w:ind w:left="0" w:right="0" w:hanging="0"/>
              <w:rPr/>
            </w:pPr>
            <w:r>
              <w:rPr/>
              <w:t> </w:t>
            </w:r>
          </w:p>
        </w:tc>
        <w:tc>
          <w:tcPr>
            <w:tcW w:w="121" w:type="dxa"/>
            <w:tcBorders/>
            <w:shd w:fill="CCEEFF" w:val="clear"/>
            <w:vAlign w:val="center"/>
          </w:tcPr>
          <w:p>
            <w:pPr>
              <w:pStyle w:val="TableContents"/>
              <w:spacing w:before="0" w:after="0"/>
              <w:ind w:left="0" w:right="0" w:hanging="0"/>
              <w:rPr/>
            </w:pPr>
            <w:r>
              <w:rPr/>
              <w:t> </w:t>
            </w:r>
          </w:p>
        </w:tc>
        <w:tc>
          <w:tcPr>
            <w:tcW w:w="448" w:type="dxa"/>
            <w:tcBorders/>
            <w:shd w:fill="CCEEFF" w:val="clear"/>
            <w:vAlign w:val="center"/>
          </w:tcPr>
          <w:p>
            <w:pPr>
              <w:pStyle w:val="TableContents"/>
              <w:spacing w:before="0" w:after="0"/>
              <w:ind w:left="0" w:right="0" w:hanging="0"/>
              <w:rPr/>
            </w:pPr>
            <w:r>
              <w:rPr/>
              <w:t> </w:t>
            </w:r>
          </w:p>
        </w:tc>
        <w:tc>
          <w:tcPr>
            <w:tcW w:w="337"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6" w:type="dxa"/>
            <w:tcBorders/>
            <w:shd w:fill="CCEEFF" w:val="clear"/>
            <w:vAlign w:val="center"/>
          </w:tcPr>
          <w:p>
            <w:pPr>
              <w:pStyle w:val="TableContents"/>
              <w:spacing w:before="0" w:after="0"/>
              <w:ind w:left="0" w:right="0" w:hanging="0"/>
              <w:rPr/>
            </w:pPr>
            <w:r>
              <w:rPr/>
              <w:t> </w:t>
            </w:r>
          </w:p>
        </w:tc>
        <w:tc>
          <w:tcPr>
            <w:tcW w:w="1254"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(22,524,794</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85"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(22,524,794</w:t>
            </w:r>
          </w:p>
        </w:tc>
        <w:tc>
          <w:tcPr>
            <w:tcW w:w="170" w:type="dxa"/>
            <w:tcBorders/>
            <w:shd w:fill="CCEEFF" w:val="clear"/>
            <w:vAlign w:val="center"/>
          </w:tcPr>
          <w:p>
            <w:pPr>
              <w:pStyle w:val="TableContents"/>
              <w:spacing w:before="0" w:after="283"/>
              <w:rPr/>
            </w:pPr>
            <w:r>
              <w:rPr/>
              <w:t>)</w:t>
            </w:r>
          </w:p>
        </w:tc>
      </w:tr>
      <w:tr>
        <w:trPr/>
        <w:tc>
          <w:tcPr>
            <w:tcW w:w="1205" w:type="dxa"/>
            <w:tcBorders/>
            <w:shd w:fill="FFFFFF" w:val="clear"/>
            <w:vAlign w:val="center"/>
          </w:tcPr>
          <w:p>
            <w:pPr>
              <w:pStyle w:val="TableContents"/>
              <w:rPr/>
            </w:pPr>
            <w:r>
              <w:rPr/>
              <w:t xml:space="preserve">Change in unrealized losses on available- </w:t>
            </w:r>
          </w:p>
          <w:p>
            <w:pPr>
              <w:pStyle w:val="TableContents"/>
              <w:spacing w:before="0" w:after="0"/>
              <w:ind w:left="0" w:right="0" w:hanging="0"/>
              <w:rPr>
                <w:rFonts w:ascii="times new roman" w:hAnsi="times new roman"/>
                <w:sz w:val="20"/>
              </w:rPr>
            </w:pPr>
            <w:r>
              <w:rPr>
                <w:rFonts w:ascii="times new roman" w:hAnsi="times new roman"/>
                <w:sz w:val="20"/>
              </w:rPr>
              <w:t>for-sale securities, net of tax</w:t>
            </w:r>
          </w:p>
        </w:tc>
        <w:tc>
          <w:tcPr>
            <w:tcW w:w="90" w:type="dxa"/>
            <w:tcBorders/>
            <w:shd w:fill="FFFFFF" w:val="clear"/>
            <w:vAlign w:val="center"/>
          </w:tcPr>
          <w:p>
            <w:pPr>
              <w:pStyle w:val="TableContents"/>
              <w:spacing w:before="0" w:after="0"/>
              <w:ind w:left="0" w:right="0" w:hanging="0"/>
              <w:rPr/>
            </w:pPr>
            <w:r>
              <w:rPr/>
              <w:t> </w:t>
            </w:r>
          </w:p>
        </w:tc>
        <w:tc>
          <w:tcPr>
            <w:tcW w:w="283"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397"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121" w:type="dxa"/>
            <w:tcBorders/>
            <w:shd w:fill="FFFFFF" w:val="clear"/>
            <w:vAlign w:val="center"/>
          </w:tcPr>
          <w:p>
            <w:pPr>
              <w:pStyle w:val="TableContents"/>
              <w:spacing w:before="0" w:after="0"/>
              <w:ind w:left="0" w:right="0" w:hanging="0"/>
              <w:rPr/>
            </w:pPr>
            <w:r>
              <w:rPr/>
              <w:t> </w:t>
            </w:r>
          </w:p>
        </w:tc>
        <w:tc>
          <w:tcPr>
            <w:tcW w:w="121" w:type="dxa"/>
            <w:tcBorders/>
            <w:shd w:fill="FFFFFF" w:val="clear"/>
            <w:vAlign w:val="center"/>
          </w:tcPr>
          <w:p>
            <w:pPr>
              <w:pStyle w:val="TableContents"/>
              <w:spacing w:before="0" w:after="0"/>
              <w:ind w:left="0" w:right="0" w:hanging="0"/>
              <w:rPr/>
            </w:pPr>
            <w:r>
              <w:rPr/>
              <w:t> </w:t>
            </w:r>
          </w:p>
        </w:tc>
        <w:tc>
          <w:tcPr>
            <w:tcW w:w="448"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337"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6"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4" w:type="dxa"/>
            <w:tcBorders>
              <w:bottom w:val="single" w:sz="2" w:space="0" w:color="000000"/>
            </w:tcBorders>
            <w:shd w:fill="FFFFFF" w:val="clear"/>
            <w:tcMar>
              <w:bottom w:w="28" w:type="dxa"/>
            </w:tcMar>
            <w:vAlign w:val="center"/>
          </w:tcPr>
          <w:p>
            <w:pPr>
              <w:pStyle w:val="TableContents"/>
              <w:spacing w:before="0" w:after="283"/>
              <w:jc w:val="right"/>
              <w:rPr/>
            </w:pPr>
            <w:r>
              <w:rPr/>
              <w:t>(17,755,167</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85"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(17,755,167</w:t>
            </w:r>
          </w:p>
        </w:tc>
        <w:tc>
          <w:tcPr>
            <w:tcW w:w="170" w:type="dxa"/>
            <w:tcBorders/>
            <w:shd w:fill="FFFFFF" w:val="clear"/>
            <w:vAlign w:val="center"/>
          </w:tcPr>
          <w:p>
            <w:pPr>
              <w:pStyle w:val="TableContents"/>
              <w:spacing w:before="0" w:after="283"/>
              <w:rPr/>
            </w:pPr>
            <w:r>
              <w:rPr/>
              <w:t>)</w:t>
            </w:r>
          </w:p>
        </w:tc>
      </w:tr>
      <w:tr>
        <w:trPr/>
        <w:tc>
          <w:tcPr>
            <w:tcW w:w="120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Balance, December 31, 2022</w:t>
            </w:r>
          </w:p>
        </w:tc>
        <w:tc>
          <w:tcPr>
            <w:tcW w:w="90" w:type="dxa"/>
            <w:tcBorders/>
            <w:shd w:fill="CCEEFF" w:val="clear"/>
            <w:vAlign w:val="center"/>
          </w:tcPr>
          <w:p>
            <w:pPr>
              <w:pStyle w:val="TableContents"/>
              <w:spacing w:before="0" w:after="0"/>
              <w:ind w:left="0" w:right="0" w:hanging="0"/>
              <w:rPr/>
            </w:pPr>
            <w:r>
              <w:rPr/>
              <w:t> </w:t>
            </w:r>
          </w:p>
        </w:tc>
        <w:tc>
          <w:tcPr>
            <w:tcW w:w="283"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397" w:type="dxa"/>
            <w:tcBorders>
              <w:bottom w:val="double" w:sz="6" w:space="0" w:color="000000"/>
            </w:tcBorders>
            <w:shd w:fill="CCEEFF" w:val="clear"/>
            <w:tcMar>
              <w:bottom w:w="28" w:type="dxa"/>
            </w:tcMar>
            <w:vAlign w:val="center"/>
          </w:tcPr>
          <w:p>
            <w:pPr>
              <w:pStyle w:val="TableContents"/>
              <w:spacing w:before="0" w:after="283"/>
              <w:jc w:val="right"/>
              <w:rPr/>
            </w:pPr>
            <w:r>
              <w:rPr/>
              <w:t>-</w:t>
            </w:r>
          </w:p>
        </w:tc>
        <w:tc>
          <w:tcPr>
            <w:tcW w:w="121" w:type="dxa"/>
            <w:tcBorders/>
            <w:shd w:fill="CCEEFF" w:val="clear"/>
            <w:vAlign w:val="center"/>
          </w:tcPr>
          <w:p>
            <w:pPr>
              <w:pStyle w:val="TableContents"/>
              <w:spacing w:before="0" w:after="0"/>
              <w:ind w:left="0" w:right="0" w:hanging="0"/>
              <w:rPr/>
            </w:pPr>
            <w:r>
              <w:rPr/>
              <w:t> </w:t>
            </w:r>
          </w:p>
        </w:tc>
        <w:tc>
          <w:tcPr>
            <w:tcW w:w="121" w:type="dxa"/>
            <w:tcBorders/>
            <w:shd w:fill="CCEEFF" w:val="clear"/>
            <w:vAlign w:val="center"/>
          </w:tcPr>
          <w:p>
            <w:pPr>
              <w:pStyle w:val="TableContents"/>
              <w:spacing w:before="0" w:after="0"/>
              <w:ind w:left="0" w:right="0" w:hanging="0"/>
              <w:rPr/>
            </w:pPr>
            <w:r>
              <w:rPr/>
              <w:t> </w:t>
            </w:r>
          </w:p>
        </w:tc>
        <w:tc>
          <w:tcPr>
            <w:tcW w:w="448" w:type="dxa"/>
            <w:tcBorders>
              <w:bottom w:val="double" w:sz="6" w:space="0" w:color="000000"/>
            </w:tcBorders>
            <w:shd w:fill="CCEEFF" w:val="clear"/>
            <w:tcMar>
              <w:bottom w:w="28" w:type="dxa"/>
            </w:tcMar>
            <w:vAlign w:val="center"/>
          </w:tcPr>
          <w:p>
            <w:pPr>
              <w:pStyle w:val="TableContents"/>
              <w:spacing w:before="0" w:after="283"/>
              <w:rPr/>
            </w:pPr>
            <w:r>
              <w:rPr/>
              <w:t>$</w:t>
            </w:r>
          </w:p>
        </w:tc>
        <w:tc>
          <w:tcPr>
            <w:tcW w:w="337" w:type="dxa"/>
            <w:tcBorders>
              <w:bottom w:val="double" w:sz="6" w:space="0" w:color="000000"/>
            </w:tcBorders>
            <w:shd w:fill="CCEEFF" w:val="clear"/>
            <w:tcMar>
              <w:bottom w:w="28" w:type="dxa"/>
            </w:tcM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1130" w:type="dxa"/>
            <w:tcBorders>
              <w:bottom w:val="double" w:sz="6" w:space="0" w:color="000000"/>
            </w:tcBorders>
            <w:shd w:fill="CCEEFF" w:val="clear"/>
            <w:tcMar>
              <w:bottom w:w="28" w:type="dxa"/>
            </w:tcMar>
            <w:vAlign w:val="center"/>
          </w:tcPr>
          <w:p>
            <w:pPr>
              <w:pStyle w:val="TableContents"/>
              <w:spacing w:before="0" w:after="283"/>
              <w:jc w:val="right"/>
              <w:rPr/>
            </w:pPr>
            <w:r>
              <w:rPr/>
              <w:t>12,171,512</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830" w:type="dxa"/>
            <w:tcBorders>
              <w:bottom w:val="double" w:sz="6" w:space="0" w:color="000000"/>
            </w:tcBorders>
            <w:shd w:fill="CCEEFF" w:val="clear"/>
            <w:tcMar>
              <w:bottom w:w="28" w:type="dxa"/>
            </w:tcMar>
            <w:vAlign w:val="center"/>
          </w:tcPr>
          <w:p>
            <w:pPr>
              <w:pStyle w:val="TableContents"/>
              <w:spacing w:before="0" w:after="283"/>
              <w:jc w:val="right"/>
              <w:rPr/>
            </w:pPr>
            <w:r>
              <w:rPr/>
              <w:t>121,715</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130" w:type="dxa"/>
            <w:tcBorders>
              <w:bottom w:val="double" w:sz="6" w:space="0" w:color="000000"/>
            </w:tcBorders>
            <w:shd w:fill="CCEEFF" w:val="clear"/>
            <w:tcMar>
              <w:bottom w:w="28" w:type="dxa"/>
            </w:tcMar>
            <w:vAlign w:val="center"/>
          </w:tcPr>
          <w:p>
            <w:pPr>
              <w:pStyle w:val="TableContents"/>
              <w:spacing w:before="0" w:after="283"/>
              <w:jc w:val="right"/>
              <w:rPr/>
            </w:pPr>
            <w:r>
              <w:rPr/>
              <w:t>74,519,590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6" w:type="dxa"/>
            <w:tcBorders>
              <w:bottom w:val="double" w:sz="6" w:space="0" w:color="000000"/>
            </w:tcBorders>
            <w:shd w:fill="CCEEFF" w:val="clear"/>
            <w:tcMar>
              <w:bottom w:w="28" w:type="dxa"/>
            </w:tcMar>
            <w:vAlign w:val="center"/>
          </w:tcPr>
          <w:p>
            <w:pPr>
              <w:pStyle w:val="TableContents"/>
              <w:spacing w:before="0" w:after="283"/>
              <w:rPr/>
            </w:pPr>
            <w:r>
              <w:rPr/>
              <w:t>$</w:t>
            </w:r>
          </w:p>
        </w:tc>
        <w:tc>
          <w:tcPr>
            <w:tcW w:w="1254" w:type="dxa"/>
            <w:tcBorders>
              <w:bottom w:val="double" w:sz="6" w:space="0" w:color="000000"/>
            </w:tcBorders>
            <w:shd w:fill="CCEEFF" w:val="clear"/>
            <w:tcMar>
              <w:bottom w:w="28" w:type="dxa"/>
            </w:tcMar>
            <w:vAlign w:val="center"/>
          </w:tcPr>
          <w:p>
            <w:pPr>
              <w:pStyle w:val="TableContents"/>
              <w:spacing w:before="0" w:after="283"/>
              <w:jc w:val="right"/>
              <w:rPr/>
            </w:pPr>
            <w:r>
              <w:rPr/>
              <w:t>(15,958,428</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05" w:type="dxa"/>
            <w:tcBorders>
              <w:bottom w:val="double" w:sz="6" w:space="0" w:color="000000"/>
            </w:tcBorders>
            <w:shd w:fill="CCEEFF" w:val="clear"/>
            <w:tcMar>
              <w:bottom w:w="28" w:type="dxa"/>
            </w:tcMar>
            <w:vAlign w:val="center"/>
          </w:tcPr>
          <w:p>
            <w:pPr>
              <w:pStyle w:val="TableContents"/>
              <w:spacing w:before="0" w:after="283"/>
              <w:jc w:val="right"/>
              <w:rPr/>
            </w:pPr>
            <w:r>
              <w:rPr/>
              <w:t>(16,945,964</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1010" w:type="dxa"/>
            <w:tcBorders>
              <w:bottom w:val="double" w:sz="6" w:space="0" w:color="000000"/>
            </w:tcBorders>
            <w:shd w:fill="CCEEFF" w:val="clear"/>
            <w:tcMar>
              <w:bottom w:w="28" w:type="dxa"/>
            </w:tcMar>
            <w:vAlign w:val="center"/>
          </w:tcPr>
          <w:p>
            <w:pPr>
              <w:pStyle w:val="TableContents"/>
              <w:spacing w:before="0" w:after="283"/>
              <w:jc w:val="right"/>
              <w:rPr/>
            </w:pPr>
            <w:r>
              <w:rPr/>
              <w:t>1,471,406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085" w:type="dxa"/>
            <w:tcBorders>
              <w:bottom w:val="double" w:sz="6" w:space="0" w:color="000000"/>
            </w:tcBorders>
            <w:shd w:fill="CCEEFF" w:val="clear"/>
            <w:tcMar>
              <w:bottom w:w="28" w:type="dxa"/>
            </w:tcMar>
            <w:vAlign w:val="center"/>
          </w:tcPr>
          <w:p>
            <w:pPr>
              <w:pStyle w:val="TableContents"/>
              <w:spacing w:before="0" w:after="283"/>
              <w:jc w:val="right"/>
              <w:rPr/>
            </w:pPr>
            <w:r>
              <w:rPr/>
              <w:t>(5,567,481</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05" w:type="dxa"/>
            <w:tcBorders>
              <w:bottom w:val="double" w:sz="6" w:space="0" w:color="000000"/>
            </w:tcBorders>
            <w:shd w:fill="CCEEFF" w:val="clear"/>
            <w:tcMar>
              <w:bottom w:w="28" w:type="dxa"/>
            </w:tcMar>
            <w:vAlign w:val="center"/>
          </w:tcPr>
          <w:p>
            <w:pPr>
              <w:pStyle w:val="TableContents"/>
              <w:spacing w:before="0" w:after="283"/>
              <w:jc w:val="right"/>
              <w:rPr/>
            </w:pPr>
            <w:r>
              <w:rPr/>
              <w:t>36,169,432</w:t>
            </w:r>
          </w:p>
        </w:tc>
        <w:tc>
          <w:tcPr>
            <w:tcW w:w="170"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rPr/>
      </w:pPr>
      <w:r>
        <w:rPr/>
        <w:t xml:space="preserve">   </w:t>
      </w:r>
    </w:p>
    <w:p>
      <w:pPr>
        <w:pStyle w:val="TextBody"/>
        <w:spacing w:before="0" w:after="0"/>
        <w:ind w:left="0" w:right="0" w:hanging="0"/>
        <w:rPr/>
      </w:pPr>
      <w:r>
        <w:rPr>
          <w:rStyle w:val="Emphasis"/>
          <w:rFonts w:ascii="times new roman" w:hAnsi="times new roman"/>
          <w:sz w:val="20"/>
        </w:rPr>
        <w:t>See accompanying notes to these consolidated financial statements.</w:t>
      </w:r>
    </w:p>
    <w:p>
      <w:pPr>
        <w:pStyle w:val="TextBody"/>
        <w:spacing w:before="0" w:after="0"/>
        <w:ind w:left="0" w:right="0" w:hanging="0"/>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F-6</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980"/>
        <w:gridCol w:w="90"/>
        <w:gridCol w:w="170"/>
        <w:gridCol w:w="1205"/>
        <w:gridCol w:w="125"/>
        <w:gridCol w:w="90"/>
        <w:gridCol w:w="170"/>
        <w:gridCol w:w="1205"/>
        <w:gridCol w:w="170"/>
      </w:tblGrid>
      <w:tr>
        <w:trPr/>
        <w:tc>
          <w:tcPr>
            <w:tcW w:w="10205" w:type="dxa"/>
            <w:gridSpan w:val="9"/>
            <w:tcBorders/>
            <w:shd w:fill="auto" w:val="clear"/>
            <w:vAlign w:val="center"/>
          </w:tcPr>
          <w:p>
            <w:pPr>
              <w:pStyle w:val="TableContents"/>
              <w:spacing w:before="0" w:after="0"/>
              <w:ind w:left="0" w:right="0" w:hanging="0"/>
              <w:jc w:val="right"/>
              <w:rPr/>
            </w:pPr>
            <w:r>
              <w:rPr>
                <w:rStyle w:val="StrongEmphasis"/>
                <w:rFonts w:ascii="times new roman" w:hAnsi="times new roman"/>
                <w:sz w:val="20"/>
              </w:rPr>
              <w:t xml:space="preserve">KINGSTONE COMPANIES, INC. AND SUBSIDIARIES </w:t>
            </w:r>
          </w:p>
        </w:tc>
      </w:tr>
      <w:tr>
        <w:trPr/>
        <w:tc>
          <w:tcPr>
            <w:tcW w:w="698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r>
      <w:tr>
        <w:trPr/>
        <w:tc>
          <w:tcPr>
            <w:tcW w:w="6980"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Fonts w:ascii="times new roman" w:hAnsi="times new roman"/>
                <w:sz w:val="20"/>
              </w:rPr>
              <w:t>Consolidated Statements of Cash Flows</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r>
      <w:tr>
        <w:trPr/>
        <w:tc>
          <w:tcPr>
            <w:tcW w:w="6980" w:type="dxa"/>
            <w:tcBorders/>
            <w:shd w:fill="CCEEFF" w:val="clear"/>
            <w:vAlign w:val="center"/>
          </w:tcPr>
          <w:p>
            <w:pPr>
              <w:pStyle w:val="TableContents"/>
              <w:spacing w:before="0" w:after="0"/>
              <w:ind w:left="0" w:right="0" w:hanging="0"/>
              <w:rPr/>
            </w:pPr>
            <w:r>
              <w:rPr>
                <w:rStyle w:val="Emphasis"/>
                <w:rFonts w:ascii="times new roman" w:hAnsi="times new roman"/>
                <w:sz w:val="20"/>
              </w:rPr>
              <w:t>Years ended December 31,</w:t>
            </w:r>
          </w:p>
        </w:tc>
        <w:tc>
          <w:tcPr>
            <w:tcW w:w="90" w:type="dxa"/>
            <w:tcBorders/>
            <w:shd w:fill="CCEEFF" w:val="clear"/>
            <w:vAlign w:val="center"/>
          </w:tcPr>
          <w:p>
            <w:pPr>
              <w:pStyle w:val="TableContents"/>
              <w:spacing w:before="0" w:after="0"/>
              <w:ind w:left="0" w:right="0" w:hanging="0"/>
              <w:rPr/>
            </w:pPr>
            <w:r>
              <w:rPr/>
              <w:t> </w:t>
            </w:r>
          </w:p>
        </w:tc>
        <w:tc>
          <w:tcPr>
            <w:tcW w:w="1375" w:type="dxa"/>
            <w:gridSpan w:val="2"/>
            <w:tcBorders>
              <w:bottom w:val="single" w:sz="2" w:space="0" w:color="000000"/>
            </w:tcBorders>
            <w:shd w:fill="CCEEFF"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2022</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375" w:type="dxa"/>
            <w:gridSpan w:val="2"/>
            <w:tcBorders>
              <w:bottom w:val="single" w:sz="2" w:space="0" w:color="000000"/>
            </w:tcBorders>
            <w:shd w:fill="CCEEFF"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2021</w:t>
            </w:r>
          </w:p>
        </w:tc>
        <w:tc>
          <w:tcPr>
            <w:tcW w:w="170" w:type="dxa"/>
            <w:tcBorders/>
            <w:shd w:fill="CCEEFF" w:val="clear"/>
            <w:vAlign w:val="center"/>
          </w:tcPr>
          <w:p>
            <w:pPr>
              <w:pStyle w:val="TableContents"/>
              <w:spacing w:before="0" w:after="0"/>
              <w:ind w:left="0" w:right="0" w:hanging="0"/>
              <w:rPr/>
            </w:pPr>
            <w:r>
              <w:rPr/>
              <w:t> </w:t>
            </w:r>
          </w:p>
        </w:tc>
      </w:tr>
      <w:tr>
        <w:trPr/>
        <w:tc>
          <w:tcPr>
            <w:tcW w:w="698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375" w:type="dxa"/>
            <w:gridSpan w:val="2"/>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375" w:type="dxa"/>
            <w:gridSpan w:val="2"/>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6980" w:type="dxa"/>
            <w:tcBorders/>
            <w:shd w:fill="CCEEFF" w:val="clear"/>
            <w:vAlign w:val="center"/>
          </w:tcPr>
          <w:p>
            <w:pPr>
              <w:pStyle w:val="TableContents"/>
              <w:spacing w:before="0" w:after="0"/>
              <w:ind w:left="0" w:right="0" w:hanging="0"/>
              <w:rPr/>
            </w:pPr>
            <w:r>
              <w:rPr>
                <w:rStyle w:val="StrongEmphasis"/>
                <w:rFonts w:ascii="times new roman" w:hAnsi="times new roman"/>
                <w:sz w:val="20"/>
              </w:rPr>
              <w:t xml:space="preserve">Cash flows from operating activities: </w:t>
            </w:r>
          </w:p>
        </w:tc>
        <w:tc>
          <w:tcPr>
            <w:tcW w:w="90" w:type="dxa"/>
            <w:tcBorders/>
            <w:shd w:fill="CCEEFF" w:val="clear"/>
            <w:vAlign w:val="center"/>
          </w:tcPr>
          <w:p>
            <w:pPr>
              <w:pStyle w:val="TableContents"/>
              <w:spacing w:before="0" w:after="0"/>
              <w:ind w:left="0" w:right="0" w:hanging="0"/>
              <w:rPr/>
            </w:pPr>
            <w:r>
              <w:rPr/>
              <w:t> </w:t>
            </w:r>
          </w:p>
        </w:tc>
        <w:tc>
          <w:tcPr>
            <w:tcW w:w="1375" w:type="dxa"/>
            <w:gridSpan w:val="2"/>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375" w:type="dxa"/>
            <w:gridSpan w:val="2"/>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698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Net loss</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05" w:type="dxa"/>
            <w:tcBorders/>
            <w:shd w:fill="FFFFFF" w:val="clear"/>
            <w:vAlign w:val="center"/>
          </w:tcPr>
          <w:p>
            <w:pPr>
              <w:pStyle w:val="TableContents"/>
              <w:spacing w:before="0" w:after="283"/>
              <w:jc w:val="right"/>
              <w:rPr/>
            </w:pPr>
            <w:r>
              <w:rPr/>
              <w:t>(22,524,794</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05" w:type="dxa"/>
            <w:tcBorders/>
            <w:shd w:fill="FFFFFF" w:val="clear"/>
            <w:vAlign w:val="center"/>
          </w:tcPr>
          <w:p>
            <w:pPr>
              <w:pStyle w:val="TableContents"/>
              <w:spacing w:before="0" w:after="283"/>
              <w:jc w:val="right"/>
              <w:rPr/>
            </w:pPr>
            <w:r>
              <w:rPr/>
              <w:t>(7,378,301</w:t>
            </w:r>
          </w:p>
        </w:tc>
        <w:tc>
          <w:tcPr>
            <w:tcW w:w="170" w:type="dxa"/>
            <w:tcBorders/>
            <w:shd w:fill="FFFFFF" w:val="clear"/>
            <w:vAlign w:val="center"/>
          </w:tcPr>
          <w:p>
            <w:pPr>
              <w:pStyle w:val="TableContents"/>
              <w:spacing w:before="0" w:after="283"/>
              <w:rPr/>
            </w:pPr>
            <w:r>
              <w:rPr/>
              <w:t>)</w:t>
            </w:r>
          </w:p>
        </w:tc>
      </w:tr>
      <w:tr>
        <w:trPr/>
        <w:tc>
          <w:tcPr>
            <w:tcW w:w="698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698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Adjustments to reconcile net loss to net cash flows (used in) provided by operating activities:</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6980" w:type="dxa"/>
            <w:tcBorders/>
            <w:shd w:fill="CCEE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Net losses (gains) on investments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140,063</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(7,234,028</w:t>
            </w:r>
          </w:p>
        </w:tc>
        <w:tc>
          <w:tcPr>
            <w:tcW w:w="170" w:type="dxa"/>
            <w:tcBorders/>
            <w:shd w:fill="CCEEFF" w:val="clear"/>
            <w:vAlign w:val="center"/>
          </w:tcPr>
          <w:p>
            <w:pPr>
              <w:pStyle w:val="TableContents"/>
              <w:spacing w:before="0" w:after="283"/>
              <w:rPr/>
            </w:pPr>
            <w:r>
              <w:rPr/>
              <w:t>)</w:t>
            </w:r>
          </w:p>
        </w:tc>
      </w:tr>
      <w:tr>
        <w:trPr/>
        <w:tc>
          <w:tcPr>
            <w:tcW w:w="6980" w:type="dxa"/>
            <w:tcBorders/>
            <w:shd w:fill="FFFF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Net unrealized losses (gains) on equity investments</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6,494,380</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(276,340</w:t>
            </w:r>
          </w:p>
        </w:tc>
        <w:tc>
          <w:tcPr>
            <w:tcW w:w="170" w:type="dxa"/>
            <w:tcBorders/>
            <w:shd w:fill="FFFFFF" w:val="clear"/>
            <w:vAlign w:val="center"/>
          </w:tcPr>
          <w:p>
            <w:pPr>
              <w:pStyle w:val="TableContents"/>
              <w:spacing w:before="0" w:after="283"/>
              <w:rPr/>
            </w:pPr>
            <w:r>
              <w:rPr/>
              <w:t>)</w:t>
            </w:r>
          </w:p>
        </w:tc>
      </w:tr>
      <w:tr>
        <w:trPr/>
        <w:tc>
          <w:tcPr>
            <w:tcW w:w="6980" w:type="dxa"/>
            <w:tcBorders/>
            <w:shd w:fill="CCEE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Net unrealized losses (gains) on other investments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2,757,422</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(2,276,587</w:t>
            </w:r>
          </w:p>
        </w:tc>
        <w:tc>
          <w:tcPr>
            <w:tcW w:w="170" w:type="dxa"/>
            <w:tcBorders/>
            <w:shd w:fill="CCEEFF" w:val="clear"/>
            <w:vAlign w:val="center"/>
          </w:tcPr>
          <w:p>
            <w:pPr>
              <w:pStyle w:val="TableContents"/>
              <w:spacing w:before="0" w:after="283"/>
              <w:rPr/>
            </w:pPr>
            <w:r>
              <w:rPr/>
              <w:t>)</w:t>
            </w:r>
          </w:p>
        </w:tc>
      </w:tr>
      <w:tr>
        <w:trPr/>
        <w:tc>
          <w:tcPr>
            <w:tcW w:w="6980" w:type="dxa"/>
            <w:tcBorders/>
            <w:shd w:fill="FFFF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Depreciation and amortization</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3,300,445</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3,290,445</w:t>
            </w:r>
          </w:p>
        </w:tc>
        <w:tc>
          <w:tcPr>
            <w:tcW w:w="170" w:type="dxa"/>
            <w:tcBorders/>
            <w:shd w:fill="FFFFFF" w:val="clear"/>
            <w:vAlign w:val="center"/>
          </w:tcPr>
          <w:p>
            <w:pPr>
              <w:pStyle w:val="TableContents"/>
              <w:spacing w:before="0" w:after="0"/>
              <w:ind w:left="0" w:right="0" w:hanging="0"/>
              <w:rPr/>
            </w:pPr>
            <w:r>
              <w:rPr/>
              <w:t> </w:t>
            </w:r>
          </w:p>
        </w:tc>
      </w:tr>
      <w:tr>
        <w:trPr/>
        <w:tc>
          <w:tcPr>
            <w:tcW w:w="6980" w:type="dxa"/>
            <w:tcBorders/>
            <w:shd w:fill="CCEE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Bad debt expense</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132,577</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160,369</w:t>
            </w:r>
          </w:p>
        </w:tc>
        <w:tc>
          <w:tcPr>
            <w:tcW w:w="170" w:type="dxa"/>
            <w:tcBorders/>
            <w:shd w:fill="CCEEFF" w:val="clear"/>
            <w:vAlign w:val="center"/>
          </w:tcPr>
          <w:p>
            <w:pPr>
              <w:pStyle w:val="TableContents"/>
              <w:spacing w:before="0" w:after="0"/>
              <w:ind w:left="0" w:right="0" w:hanging="0"/>
              <w:rPr/>
            </w:pPr>
            <w:r>
              <w:rPr/>
              <w:t> </w:t>
            </w:r>
          </w:p>
        </w:tc>
      </w:tr>
      <w:tr>
        <w:trPr/>
        <w:tc>
          <w:tcPr>
            <w:tcW w:w="6980" w:type="dxa"/>
            <w:tcBorders/>
            <w:shd w:fill="FFFF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Amortization of bond premium, net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3,995,751</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260,343</w:t>
            </w:r>
          </w:p>
        </w:tc>
        <w:tc>
          <w:tcPr>
            <w:tcW w:w="170" w:type="dxa"/>
            <w:tcBorders/>
            <w:shd w:fill="FFFFFF" w:val="clear"/>
            <w:vAlign w:val="center"/>
          </w:tcPr>
          <w:p>
            <w:pPr>
              <w:pStyle w:val="TableContents"/>
              <w:spacing w:before="0" w:after="0"/>
              <w:ind w:left="0" w:right="0" w:hanging="0"/>
              <w:rPr/>
            </w:pPr>
            <w:r>
              <w:rPr/>
              <w:t> </w:t>
            </w:r>
          </w:p>
        </w:tc>
      </w:tr>
      <w:tr>
        <w:trPr/>
        <w:tc>
          <w:tcPr>
            <w:tcW w:w="6980" w:type="dxa"/>
            <w:tcBorders/>
            <w:shd w:fill="CCEE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Amortization of discount and issuance costs on debt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230,389</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176,180</w:t>
            </w:r>
          </w:p>
        </w:tc>
        <w:tc>
          <w:tcPr>
            <w:tcW w:w="170" w:type="dxa"/>
            <w:tcBorders/>
            <w:shd w:fill="CCEEFF" w:val="clear"/>
            <w:vAlign w:val="center"/>
          </w:tcPr>
          <w:p>
            <w:pPr>
              <w:pStyle w:val="TableContents"/>
              <w:spacing w:before="0" w:after="0"/>
              <w:ind w:left="0" w:right="0" w:hanging="0"/>
              <w:rPr/>
            </w:pPr>
            <w:r>
              <w:rPr/>
              <w:t> </w:t>
            </w:r>
          </w:p>
        </w:tc>
      </w:tr>
      <w:tr>
        <w:trPr/>
        <w:tc>
          <w:tcPr>
            <w:tcW w:w="6980" w:type="dxa"/>
            <w:tcBorders/>
            <w:shd w:fill="FFFF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Stock-based compensation</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1,392,612</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1,904,935</w:t>
            </w:r>
          </w:p>
        </w:tc>
        <w:tc>
          <w:tcPr>
            <w:tcW w:w="170" w:type="dxa"/>
            <w:tcBorders/>
            <w:shd w:fill="FFFFFF" w:val="clear"/>
            <w:vAlign w:val="center"/>
          </w:tcPr>
          <w:p>
            <w:pPr>
              <w:pStyle w:val="TableContents"/>
              <w:spacing w:before="0" w:after="0"/>
              <w:ind w:left="0" w:right="0" w:hanging="0"/>
              <w:rPr/>
            </w:pPr>
            <w:r>
              <w:rPr/>
              <w:t> </w:t>
            </w:r>
          </w:p>
        </w:tc>
      </w:tr>
      <w:tr>
        <w:trPr/>
        <w:tc>
          <w:tcPr>
            <w:tcW w:w="6980" w:type="dxa"/>
            <w:tcBorders/>
            <w:shd w:fill="CCEE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Deferred income tax benefit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(5,419,176</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(2,200,433</w:t>
            </w:r>
          </w:p>
        </w:tc>
        <w:tc>
          <w:tcPr>
            <w:tcW w:w="170" w:type="dxa"/>
            <w:tcBorders/>
            <w:shd w:fill="CCEEFF" w:val="clear"/>
            <w:vAlign w:val="center"/>
          </w:tcPr>
          <w:p>
            <w:pPr>
              <w:pStyle w:val="TableContents"/>
              <w:spacing w:before="0" w:after="283"/>
              <w:rPr/>
            </w:pPr>
            <w:r>
              <w:rPr/>
              <w:t>)</w:t>
            </w:r>
          </w:p>
        </w:tc>
      </w:tr>
      <w:tr>
        <w:trPr/>
        <w:tc>
          <w:tcPr>
            <w:tcW w:w="698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Decrease (increase) in operating assets:</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6980" w:type="dxa"/>
            <w:tcBorders/>
            <w:shd w:fill="CCEE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Premiums receivable, net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(1,694,745</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(659,066</w:t>
            </w:r>
          </w:p>
        </w:tc>
        <w:tc>
          <w:tcPr>
            <w:tcW w:w="170" w:type="dxa"/>
            <w:tcBorders/>
            <w:shd w:fill="CCEEFF" w:val="clear"/>
            <w:vAlign w:val="center"/>
          </w:tcPr>
          <w:p>
            <w:pPr>
              <w:pStyle w:val="TableContents"/>
              <w:spacing w:before="0" w:after="283"/>
              <w:rPr/>
            </w:pPr>
            <w:r>
              <w:rPr/>
              <w:t>)</w:t>
            </w:r>
          </w:p>
        </w:tc>
      </w:tr>
      <w:tr>
        <w:trPr/>
        <w:tc>
          <w:tcPr>
            <w:tcW w:w="6980" w:type="dxa"/>
            <w:tcBorders/>
            <w:shd w:fill="FFFF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Reinsurance receivables, net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(26,172,623</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5,168,291</w:t>
            </w:r>
          </w:p>
        </w:tc>
        <w:tc>
          <w:tcPr>
            <w:tcW w:w="170" w:type="dxa"/>
            <w:tcBorders/>
            <w:shd w:fill="FFFFFF" w:val="clear"/>
            <w:vAlign w:val="center"/>
          </w:tcPr>
          <w:p>
            <w:pPr>
              <w:pStyle w:val="TableContents"/>
              <w:spacing w:before="0" w:after="0"/>
              <w:ind w:left="0" w:right="0" w:hanging="0"/>
              <w:rPr/>
            </w:pPr>
            <w:r>
              <w:rPr/>
              <w:t> </w:t>
            </w:r>
          </w:p>
        </w:tc>
      </w:tr>
      <w:tr>
        <w:trPr/>
        <w:tc>
          <w:tcPr>
            <w:tcW w:w="6980" w:type="dxa"/>
            <w:tcBorders/>
            <w:shd w:fill="CCEE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Deferred policy acquisition costs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(1,580,466</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(2,096,472</w:t>
            </w:r>
          </w:p>
        </w:tc>
        <w:tc>
          <w:tcPr>
            <w:tcW w:w="170" w:type="dxa"/>
            <w:tcBorders/>
            <w:shd w:fill="CCEEFF" w:val="clear"/>
            <w:vAlign w:val="center"/>
          </w:tcPr>
          <w:p>
            <w:pPr>
              <w:pStyle w:val="TableContents"/>
              <w:spacing w:before="0" w:after="283"/>
              <w:rPr/>
            </w:pPr>
            <w:r>
              <w:rPr/>
              <w:t>)</w:t>
            </w:r>
          </w:p>
        </w:tc>
      </w:tr>
      <w:tr>
        <w:trPr/>
        <w:tc>
          <w:tcPr>
            <w:tcW w:w="6980" w:type="dxa"/>
            <w:tcBorders/>
            <w:shd w:fill="FFFF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Other assets</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4,844,358</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667,952</w:t>
            </w:r>
          </w:p>
        </w:tc>
        <w:tc>
          <w:tcPr>
            <w:tcW w:w="170" w:type="dxa"/>
            <w:tcBorders/>
            <w:shd w:fill="FFFFFF" w:val="clear"/>
            <w:vAlign w:val="center"/>
          </w:tcPr>
          <w:p>
            <w:pPr>
              <w:pStyle w:val="TableContents"/>
              <w:spacing w:before="0" w:after="0"/>
              <w:ind w:left="0" w:right="0" w:hanging="0"/>
              <w:rPr/>
            </w:pPr>
            <w:r>
              <w:rPr/>
              <w:t> </w:t>
            </w:r>
          </w:p>
        </w:tc>
      </w:tr>
      <w:tr>
        <w:trPr/>
        <w:tc>
          <w:tcPr>
            <w:tcW w:w="698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Increase (decrease) in operating liabilities: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6980" w:type="dxa"/>
            <w:tcBorders/>
            <w:shd w:fill="FFFF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Loss and loss adjustment expense reserves</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23,390,768</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12,147,517</w:t>
            </w:r>
          </w:p>
        </w:tc>
        <w:tc>
          <w:tcPr>
            <w:tcW w:w="170" w:type="dxa"/>
            <w:tcBorders/>
            <w:shd w:fill="FFFFFF" w:val="clear"/>
            <w:vAlign w:val="center"/>
          </w:tcPr>
          <w:p>
            <w:pPr>
              <w:pStyle w:val="TableContents"/>
              <w:spacing w:before="0" w:after="0"/>
              <w:ind w:left="0" w:right="0" w:hanging="0"/>
              <w:rPr/>
            </w:pPr>
            <w:r>
              <w:rPr/>
              <w:t> </w:t>
            </w:r>
          </w:p>
        </w:tc>
      </w:tr>
      <w:tr>
        <w:trPr/>
        <w:tc>
          <w:tcPr>
            <w:tcW w:w="6980" w:type="dxa"/>
            <w:tcBorders/>
            <w:shd w:fill="CCEE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Unearned premiums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9,733,170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7,750,335</w:t>
            </w:r>
          </w:p>
        </w:tc>
        <w:tc>
          <w:tcPr>
            <w:tcW w:w="170" w:type="dxa"/>
            <w:tcBorders/>
            <w:shd w:fill="CCEEFF" w:val="clear"/>
            <w:vAlign w:val="center"/>
          </w:tcPr>
          <w:p>
            <w:pPr>
              <w:pStyle w:val="TableContents"/>
              <w:spacing w:before="0" w:after="0"/>
              <w:ind w:left="0" w:right="0" w:hanging="0"/>
              <w:rPr/>
            </w:pPr>
            <w:r>
              <w:rPr/>
              <w:t> </w:t>
            </w:r>
          </w:p>
        </w:tc>
      </w:tr>
      <w:tr>
        <w:trPr/>
        <w:tc>
          <w:tcPr>
            <w:tcW w:w="6980" w:type="dxa"/>
            <w:tcBorders/>
            <w:shd w:fill="FFFF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Advance premiums</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145,562</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33,112</w:t>
            </w:r>
          </w:p>
        </w:tc>
        <w:tc>
          <w:tcPr>
            <w:tcW w:w="170" w:type="dxa"/>
            <w:tcBorders/>
            <w:shd w:fill="FFFFFF" w:val="clear"/>
            <w:vAlign w:val="center"/>
          </w:tcPr>
          <w:p>
            <w:pPr>
              <w:pStyle w:val="TableContents"/>
              <w:spacing w:before="0" w:after="0"/>
              <w:ind w:left="0" w:right="0" w:hanging="0"/>
              <w:rPr/>
            </w:pPr>
            <w:r>
              <w:rPr/>
              <w:t> </w:t>
            </w:r>
          </w:p>
        </w:tc>
      </w:tr>
      <w:tr>
        <w:trPr/>
        <w:tc>
          <w:tcPr>
            <w:tcW w:w="6980" w:type="dxa"/>
            <w:tcBorders/>
            <w:shd w:fill="CCEE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Reinsurance balances payable</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100,398</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5,981,833</w:t>
            </w:r>
          </w:p>
        </w:tc>
        <w:tc>
          <w:tcPr>
            <w:tcW w:w="170" w:type="dxa"/>
            <w:tcBorders/>
            <w:shd w:fill="CCEEFF" w:val="clear"/>
            <w:vAlign w:val="center"/>
          </w:tcPr>
          <w:p>
            <w:pPr>
              <w:pStyle w:val="TableContents"/>
              <w:spacing w:before="0" w:after="0"/>
              <w:ind w:left="0" w:right="0" w:hanging="0"/>
              <w:rPr/>
            </w:pPr>
            <w:r>
              <w:rPr/>
              <w:t> </w:t>
            </w:r>
          </w:p>
        </w:tc>
      </w:tr>
      <w:tr>
        <w:trPr/>
        <w:tc>
          <w:tcPr>
            <w:tcW w:w="6980" w:type="dxa"/>
            <w:tcBorders/>
            <w:shd w:fill="FFFF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Deferred ceding commission revenue</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871,061</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9,654,989</w:t>
            </w:r>
          </w:p>
        </w:tc>
        <w:tc>
          <w:tcPr>
            <w:tcW w:w="170" w:type="dxa"/>
            <w:tcBorders/>
            <w:shd w:fill="FFFFFF" w:val="clear"/>
            <w:vAlign w:val="center"/>
          </w:tcPr>
          <w:p>
            <w:pPr>
              <w:pStyle w:val="TableContents"/>
              <w:spacing w:before="0" w:after="0"/>
              <w:ind w:left="0" w:right="0" w:hanging="0"/>
              <w:rPr/>
            </w:pPr>
            <w:r>
              <w:rPr/>
              <w:t> </w:t>
            </w:r>
          </w:p>
        </w:tc>
      </w:tr>
      <w:tr>
        <w:trPr/>
        <w:tc>
          <w:tcPr>
            <w:tcW w:w="6980" w:type="dxa"/>
            <w:tcBorders/>
            <w:shd w:fill="CCEEFF" w:val="clear"/>
            <w:vAlign w:val="center"/>
          </w:tcPr>
          <w:p>
            <w:pPr>
              <w:pStyle w:val="TableContents"/>
              <w:spacing w:before="0" w:after="0"/>
              <w:ind w:left="0" w:right="0" w:firstLine="200"/>
              <w:rPr>
                <w:rFonts w:ascii="times new roman" w:hAnsi="times new roman"/>
                <w:sz w:val="20"/>
              </w:rPr>
            </w:pPr>
            <w:r>
              <w:rPr>
                <w:rFonts w:ascii="times new roman" w:hAnsi="times new roman"/>
                <w:sz w:val="20"/>
              </w:rPr>
              <w:t>Accounts payable, accrued expenses and other liabilities</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CCEEFF" w:val="clear"/>
            <w:tcMar>
              <w:bottom w:w="28" w:type="dxa"/>
            </w:tcMar>
            <w:vAlign w:val="center"/>
          </w:tcPr>
          <w:p>
            <w:pPr>
              <w:pStyle w:val="TableContents"/>
              <w:spacing w:before="0" w:after="283"/>
              <w:jc w:val="right"/>
              <w:rPr/>
            </w:pPr>
            <w:r>
              <w:rPr/>
              <w:t>(1,052,673</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CCEEFF" w:val="clear"/>
            <w:tcMar>
              <w:bottom w:w="28" w:type="dxa"/>
            </w:tcMar>
            <w:vAlign w:val="center"/>
          </w:tcPr>
          <w:p>
            <w:pPr>
              <w:pStyle w:val="TableContents"/>
              <w:spacing w:before="0" w:after="283"/>
              <w:jc w:val="right"/>
              <w:rPr/>
            </w:pPr>
            <w:r>
              <w:rPr/>
              <w:t>(728,837</w:t>
            </w:r>
          </w:p>
        </w:tc>
        <w:tc>
          <w:tcPr>
            <w:tcW w:w="170" w:type="dxa"/>
            <w:tcBorders/>
            <w:shd w:fill="CCEEFF" w:val="clear"/>
            <w:vAlign w:val="center"/>
          </w:tcPr>
          <w:p>
            <w:pPr>
              <w:pStyle w:val="TableContents"/>
              <w:spacing w:before="0" w:after="283"/>
              <w:rPr/>
            </w:pPr>
            <w:r>
              <w:rPr/>
              <w:t>)</w:t>
            </w:r>
          </w:p>
        </w:tc>
      </w:tr>
      <w:tr>
        <w:trPr/>
        <w:tc>
          <w:tcPr>
            <w:tcW w:w="6980" w:type="dxa"/>
            <w:tcBorders/>
            <w:shd w:fill="FFFFFF" w:val="clear"/>
            <w:vAlign w:val="center"/>
          </w:tcPr>
          <w:p>
            <w:pPr>
              <w:pStyle w:val="TableContents"/>
              <w:spacing w:before="0" w:after="0"/>
              <w:ind w:left="0" w:right="0" w:hanging="0"/>
              <w:rPr/>
            </w:pPr>
            <w:r>
              <w:rPr>
                <w:rStyle w:val="StrongEmphasis"/>
                <w:rFonts w:ascii="times new roman" w:hAnsi="times new roman"/>
                <w:sz w:val="20"/>
              </w:rPr>
              <w:t xml:space="preserve">Net cash flows (used in) provided by operating activities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(915,521</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24,346,237</w:t>
            </w:r>
          </w:p>
        </w:tc>
        <w:tc>
          <w:tcPr>
            <w:tcW w:w="170" w:type="dxa"/>
            <w:tcBorders/>
            <w:shd w:fill="FFFFFF" w:val="clear"/>
            <w:vAlign w:val="center"/>
          </w:tcPr>
          <w:p>
            <w:pPr>
              <w:pStyle w:val="TableContents"/>
              <w:spacing w:before="0" w:after="0"/>
              <w:ind w:left="0" w:right="0" w:hanging="0"/>
              <w:rPr/>
            </w:pPr>
            <w:r>
              <w:rPr/>
              <w:t> </w:t>
            </w:r>
          </w:p>
        </w:tc>
      </w:tr>
      <w:tr>
        <w:trPr/>
        <w:tc>
          <w:tcPr>
            <w:tcW w:w="698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6980" w:type="dxa"/>
            <w:tcBorders/>
            <w:shd w:fill="FFFFFF" w:val="clear"/>
            <w:vAlign w:val="center"/>
          </w:tcPr>
          <w:p>
            <w:pPr>
              <w:pStyle w:val="TableContents"/>
              <w:spacing w:before="0" w:after="0"/>
              <w:ind w:left="0" w:right="0" w:hanging="0"/>
              <w:rPr/>
            </w:pPr>
            <w:r>
              <w:rPr>
                <w:rStyle w:val="StrongEmphasis"/>
                <w:rFonts w:ascii="times new roman" w:hAnsi="times new roman"/>
                <w:sz w:val="20"/>
              </w:rPr>
              <w:t xml:space="preserve">Cash flows from investing activities: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698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Purchase - fixed-maturity securities held-to-maturity</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(498,711</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(3,175,686</w:t>
            </w:r>
          </w:p>
        </w:tc>
        <w:tc>
          <w:tcPr>
            <w:tcW w:w="170" w:type="dxa"/>
            <w:tcBorders/>
            <w:shd w:fill="CCEEFF" w:val="clear"/>
            <w:vAlign w:val="center"/>
          </w:tcPr>
          <w:p>
            <w:pPr>
              <w:pStyle w:val="TableContents"/>
              <w:spacing w:before="0" w:after="283"/>
              <w:rPr/>
            </w:pPr>
            <w:r>
              <w:rPr/>
              <w:t>)</w:t>
            </w:r>
          </w:p>
        </w:tc>
      </w:tr>
      <w:tr>
        <w:trPr/>
        <w:tc>
          <w:tcPr>
            <w:tcW w:w="698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Purchase - fixed-maturity securities available-for-sale</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(48,733,416</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(91,210,388</w:t>
            </w:r>
          </w:p>
        </w:tc>
        <w:tc>
          <w:tcPr>
            <w:tcW w:w="170" w:type="dxa"/>
            <w:tcBorders/>
            <w:shd w:fill="FFFFFF" w:val="clear"/>
            <w:vAlign w:val="center"/>
          </w:tcPr>
          <w:p>
            <w:pPr>
              <w:pStyle w:val="TableContents"/>
              <w:spacing w:before="0" w:after="283"/>
              <w:rPr/>
            </w:pPr>
            <w:r>
              <w:rPr/>
              <w:t>)</w:t>
            </w:r>
          </w:p>
        </w:tc>
      </w:tr>
      <w:tr>
        <w:trPr/>
        <w:tc>
          <w:tcPr>
            <w:tcW w:w="698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Purchase - equity securities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(684,778</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(19,195,630</w:t>
            </w:r>
          </w:p>
        </w:tc>
        <w:tc>
          <w:tcPr>
            <w:tcW w:w="170" w:type="dxa"/>
            <w:tcBorders/>
            <w:shd w:fill="CCEEFF" w:val="clear"/>
            <w:vAlign w:val="center"/>
          </w:tcPr>
          <w:p>
            <w:pPr>
              <w:pStyle w:val="TableContents"/>
              <w:spacing w:before="0" w:after="283"/>
              <w:rPr/>
            </w:pPr>
            <w:r>
              <w:rPr/>
              <w:t>)</w:t>
            </w:r>
          </w:p>
        </w:tc>
      </w:tr>
      <w:tr>
        <w:trPr/>
        <w:tc>
          <w:tcPr>
            <w:tcW w:w="698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Purchase - other investments</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(2,000,000</w:t>
            </w:r>
          </w:p>
        </w:tc>
        <w:tc>
          <w:tcPr>
            <w:tcW w:w="170" w:type="dxa"/>
            <w:tcBorders/>
            <w:shd w:fill="FFFFFF" w:val="clear"/>
            <w:vAlign w:val="center"/>
          </w:tcPr>
          <w:p>
            <w:pPr>
              <w:pStyle w:val="TableContents"/>
              <w:spacing w:before="0" w:after="283"/>
              <w:rPr/>
            </w:pPr>
            <w:r>
              <w:rPr/>
              <w:t>)</w:t>
            </w:r>
          </w:p>
        </w:tc>
      </w:tr>
      <w:tr>
        <w:trPr/>
        <w:tc>
          <w:tcPr>
            <w:tcW w:w="698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Redemption - fixed-maturity securities held-to-maturity</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1,000,000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2,217,428</w:t>
            </w:r>
          </w:p>
        </w:tc>
        <w:tc>
          <w:tcPr>
            <w:tcW w:w="170" w:type="dxa"/>
            <w:tcBorders/>
            <w:shd w:fill="CCEEFF" w:val="clear"/>
            <w:vAlign w:val="center"/>
          </w:tcPr>
          <w:p>
            <w:pPr>
              <w:pStyle w:val="TableContents"/>
              <w:spacing w:before="0" w:after="0"/>
              <w:ind w:left="0" w:right="0" w:hanging="0"/>
              <w:rPr/>
            </w:pPr>
            <w:r>
              <w:rPr/>
              <w:t> </w:t>
            </w:r>
          </w:p>
        </w:tc>
      </w:tr>
      <w:tr>
        <w:trPr/>
        <w:tc>
          <w:tcPr>
            <w:tcW w:w="698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Sale and maturity - fixed-maturity securities available-for-sale</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25,606,590</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85,347,589</w:t>
            </w:r>
          </w:p>
        </w:tc>
        <w:tc>
          <w:tcPr>
            <w:tcW w:w="170" w:type="dxa"/>
            <w:tcBorders/>
            <w:shd w:fill="FFFFFF" w:val="clear"/>
            <w:vAlign w:val="center"/>
          </w:tcPr>
          <w:p>
            <w:pPr>
              <w:pStyle w:val="TableContents"/>
              <w:spacing w:before="0" w:after="0"/>
              <w:ind w:left="0" w:right="0" w:hanging="0"/>
              <w:rPr/>
            </w:pPr>
            <w:r>
              <w:rPr/>
              <w:t> </w:t>
            </w:r>
          </w:p>
        </w:tc>
      </w:tr>
      <w:tr>
        <w:trPr/>
        <w:tc>
          <w:tcPr>
            <w:tcW w:w="698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Sale - equity securities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19,379,047</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16,333,946</w:t>
            </w:r>
          </w:p>
        </w:tc>
        <w:tc>
          <w:tcPr>
            <w:tcW w:w="170" w:type="dxa"/>
            <w:tcBorders/>
            <w:shd w:fill="CCEEFF" w:val="clear"/>
            <w:vAlign w:val="center"/>
          </w:tcPr>
          <w:p>
            <w:pPr>
              <w:pStyle w:val="TableContents"/>
              <w:spacing w:before="0" w:after="0"/>
              <w:ind w:left="0" w:right="0" w:hanging="0"/>
              <w:rPr/>
            </w:pPr>
            <w:r>
              <w:rPr/>
              <w:t> </w:t>
            </w:r>
          </w:p>
        </w:tc>
      </w:tr>
      <w:tr>
        <w:trPr/>
        <w:tc>
          <w:tcPr>
            <w:tcW w:w="698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Sale - real estate partnership</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233,798</w:t>
            </w:r>
          </w:p>
        </w:tc>
        <w:tc>
          <w:tcPr>
            <w:tcW w:w="170" w:type="dxa"/>
            <w:tcBorders/>
            <w:shd w:fill="FFFFFF" w:val="clear"/>
            <w:vAlign w:val="center"/>
          </w:tcPr>
          <w:p>
            <w:pPr>
              <w:pStyle w:val="TableContents"/>
              <w:spacing w:before="0" w:after="0"/>
              <w:ind w:left="0" w:right="0" w:hanging="0"/>
              <w:rPr/>
            </w:pPr>
            <w:r>
              <w:rPr/>
              <w:t> </w:t>
            </w:r>
          </w:p>
        </w:tc>
      </w:tr>
      <w:tr>
        <w:trPr/>
        <w:tc>
          <w:tcPr>
            <w:tcW w:w="698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Redemption - other investments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2,576,272</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w:t>
            </w:r>
          </w:p>
        </w:tc>
        <w:tc>
          <w:tcPr>
            <w:tcW w:w="170" w:type="dxa"/>
            <w:tcBorders/>
            <w:shd w:fill="CCEEFF" w:val="clear"/>
            <w:vAlign w:val="center"/>
          </w:tcPr>
          <w:p>
            <w:pPr>
              <w:pStyle w:val="TableContents"/>
              <w:spacing w:before="0" w:after="0"/>
              <w:ind w:left="0" w:right="0" w:hanging="0"/>
              <w:rPr/>
            </w:pPr>
            <w:r>
              <w:rPr/>
              <w:t> </w:t>
            </w:r>
          </w:p>
        </w:tc>
      </w:tr>
      <w:tr>
        <w:trPr/>
        <w:tc>
          <w:tcPr>
            <w:tcW w:w="698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Acquisition of property and equipment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(4,550,783</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(4,498,919</w:t>
            </w:r>
          </w:p>
        </w:tc>
        <w:tc>
          <w:tcPr>
            <w:tcW w:w="170" w:type="dxa"/>
            <w:tcBorders/>
            <w:shd w:fill="FFFFFF" w:val="clear"/>
            <w:vAlign w:val="center"/>
          </w:tcPr>
          <w:p>
            <w:pPr>
              <w:pStyle w:val="TableContents"/>
              <w:spacing w:before="0" w:after="283"/>
              <w:rPr/>
            </w:pPr>
            <w:r>
              <w:rPr/>
              <w:t>)</w:t>
            </w:r>
          </w:p>
        </w:tc>
      </w:tr>
      <w:tr>
        <w:trPr/>
        <w:tc>
          <w:tcPr>
            <w:tcW w:w="6980" w:type="dxa"/>
            <w:tcBorders/>
            <w:shd w:fill="CCEEFF" w:val="clear"/>
            <w:vAlign w:val="center"/>
          </w:tcPr>
          <w:p>
            <w:pPr>
              <w:pStyle w:val="TableContents"/>
              <w:spacing w:before="0" w:after="0"/>
              <w:ind w:left="0" w:right="0" w:hanging="0"/>
              <w:rPr/>
            </w:pPr>
            <w:r>
              <w:rPr>
                <w:rStyle w:val="StrongEmphasis"/>
                <w:rFonts w:ascii="times new roman" w:hAnsi="times new roman"/>
                <w:sz w:val="20"/>
              </w:rPr>
              <w:t xml:space="preserve">Net cash flows used in investing activities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CCEEFF" w:val="clear"/>
            <w:tcMar>
              <w:bottom w:w="28" w:type="dxa"/>
            </w:tcMar>
            <w:vAlign w:val="center"/>
          </w:tcPr>
          <w:p>
            <w:pPr>
              <w:pStyle w:val="TableContents"/>
              <w:spacing w:before="0" w:after="283"/>
              <w:jc w:val="right"/>
              <w:rPr/>
            </w:pPr>
            <w:r>
              <w:rPr/>
              <w:t>(5,905,779</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CCEEFF" w:val="clear"/>
            <w:tcMar>
              <w:bottom w:w="28" w:type="dxa"/>
            </w:tcMar>
            <w:vAlign w:val="center"/>
          </w:tcPr>
          <w:p>
            <w:pPr>
              <w:pStyle w:val="TableContents"/>
              <w:spacing w:before="0" w:after="283"/>
              <w:jc w:val="right"/>
              <w:rPr/>
            </w:pPr>
            <w:r>
              <w:rPr/>
              <w:t>(15,947,862</w:t>
            </w:r>
          </w:p>
        </w:tc>
        <w:tc>
          <w:tcPr>
            <w:tcW w:w="170" w:type="dxa"/>
            <w:tcBorders/>
            <w:shd w:fill="CCEEFF" w:val="clear"/>
            <w:vAlign w:val="center"/>
          </w:tcPr>
          <w:p>
            <w:pPr>
              <w:pStyle w:val="TableContents"/>
              <w:spacing w:before="0" w:after="283"/>
              <w:rPr/>
            </w:pPr>
            <w:r>
              <w:rPr/>
              <w:t>)</w:t>
            </w:r>
          </w:p>
        </w:tc>
      </w:tr>
      <w:tr>
        <w:trPr/>
        <w:tc>
          <w:tcPr>
            <w:tcW w:w="698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6980" w:type="dxa"/>
            <w:tcBorders/>
            <w:shd w:fill="CCEEFF" w:val="clear"/>
            <w:vAlign w:val="center"/>
          </w:tcPr>
          <w:p>
            <w:pPr>
              <w:pStyle w:val="TableContents"/>
              <w:spacing w:before="0" w:after="0"/>
              <w:ind w:left="0" w:right="0" w:hanging="0"/>
              <w:rPr/>
            </w:pPr>
            <w:r>
              <w:rPr>
                <w:rStyle w:val="StrongEmphasis"/>
                <w:rFonts w:ascii="times new roman" w:hAnsi="times new roman"/>
                <w:sz w:val="20"/>
              </w:rPr>
              <w:t xml:space="preserve">Cash flows from financing activities: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698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Proceeds from equipment financing</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8,096,824</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w:t>
            </w:r>
          </w:p>
        </w:tc>
        <w:tc>
          <w:tcPr>
            <w:tcW w:w="170" w:type="dxa"/>
            <w:tcBorders/>
            <w:shd w:fill="FFFFFF" w:val="clear"/>
            <w:vAlign w:val="center"/>
          </w:tcPr>
          <w:p>
            <w:pPr>
              <w:pStyle w:val="TableContents"/>
              <w:spacing w:before="0" w:after="0"/>
              <w:ind w:left="0" w:right="0" w:hanging="0"/>
              <w:rPr/>
            </w:pPr>
            <w:r>
              <w:rPr/>
              <w:t> </w:t>
            </w:r>
          </w:p>
        </w:tc>
      </w:tr>
      <w:tr>
        <w:trPr/>
        <w:tc>
          <w:tcPr>
            <w:tcW w:w="698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Principal payments on equipment financing</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(191,169</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w:t>
            </w:r>
          </w:p>
        </w:tc>
        <w:tc>
          <w:tcPr>
            <w:tcW w:w="170" w:type="dxa"/>
            <w:tcBorders/>
            <w:shd w:fill="CCEEFF" w:val="clear"/>
            <w:vAlign w:val="center"/>
          </w:tcPr>
          <w:p>
            <w:pPr>
              <w:pStyle w:val="TableContents"/>
              <w:spacing w:before="0" w:after="0"/>
              <w:ind w:left="0" w:right="0" w:hanging="0"/>
              <w:rPr/>
            </w:pPr>
            <w:r>
              <w:rPr/>
              <w:t> </w:t>
            </w:r>
          </w:p>
        </w:tc>
      </w:tr>
      <w:tr>
        <w:trPr/>
        <w:tc>
          <w:tcPr>
            <w:tcW w:w="698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Principal payment on 2017 Notes refinancing</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(10,050,000</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w:t>
            </w:r>
          </w:p>
        </w:tc>
        <w:tc>
          <w:tcPr>
            <w:tcW w:w="170" w:type="dxa"/>
            <w:tcBorders/>
            <w:shd w:fill="FFFFFF" w:val="clear"/>
            <w:vAlign w:val="center"/>
          </w:tcPr>
          <w:p>
            <w:pPr>
              <w:pStyle w:val="TableContents"/>
              <w:spacing w:before="0" w:after="0"/>
              <w:ind w:left="0" w:right="0" w:hanging="0"/>
              <w:rPr/>
            </w:pPr>
            <w:r>
              <w:rPr/>
              <w:t> </w:t>
            </w:r>
          </w:p>
        </w:tc>
      </w:tr>
      <w:tr>
        <w:trPr/>
        <w:tc>
          <w:tcPr>
            <w:tcW w:w="698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Bond issue costs on 2022 Notes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(1,758,112</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w:t>
            </w:r>
          </w:p>
        </w:tc>
        <w:tc>
          <w:tcPr>
            <w:tcW w:w="170" w:type="dxa"/>
            <w:tcBorders/>
            <w:shd w:fill="CCEEFF" w:val="clear"/>
            <w:vAlign w:val="center"/>
          </w:tcPr>
          <w:p>
            <w:pPr>
              <w:pStyle w:val="TableContents"/>
              <w:spacing w:before="0" w:after="0"/>
              <w:ind w:left="0" w:right="0" w:hanging="0"/>
              <w:rPr/>
            </w:pPr>
            <w:r>
              <w:rPr/>
              <w:t> </w:t>
            </w:r>
          </w:p>
        </w:tc>
      </w:tr>
      <w:tr>
        <w:trPr/>
        <w:tc>
          <w:tcPr>
            <w:tcW w:w="698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Withholding taxes paid on vested retricted stock awards</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(392,011</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(205,773</w:t>
            </w:r>
          </w:p>
        </w:tc>
        <w:tc>
          <w:tcPr>
            <w:tcW w:w="170" w:type="dxa"/>
            <w:tcBorders/>
            <w:shd w:fill="FFFFFF" w:val="clear"/>
            <w:vAlign w:val="center"/>
          </w:tcPr>
          <w:p>
            <w:pPr>
              <w:pStyle w:val="TableContents"/>
              <w:spacing w:before="0" w:after="283"/>
              <w:rPr/>
            </w:pPr>
            <w:r>
              <w:rPr/>
              <w:t>)</w:t>
            </w:r>
          </w:p>
        </w:tc>
      </w:tr>
      <w:tr>
        <w:trPr/>
        <w:tc>
          <w:tcPr>
            <w:tcW w:w="698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Net proceeds from issuance of common stock - employee stock purchase plan</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60,464</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w:t>
            </w:r>
          </w:p>
        </w:tc>
        <w:tc>
          <w:tcPr>
            <w:tcW w:w="170" w:type="dxa"/>
            <w:tcBorders/>
            <w:shd w:fill="CCEEFF" w:val="clear"/>
            <w:vAlign w:val="center"/>
          </w:tcPr>
          <w:p>
            <w:pPr>
              <w:pStyle w:val="TableContents"/>
              <w:spacing w:before="0" w:after="0"/>
              <w:ind w:left="0" w:right="0" w:hanging="0"/>
              <w:rPr/>
            </w:pPr>
            <w:r>
              <w:rPr/>
              <w:t> </w:t>
            </w:r>
          </w:p>
        </w:tc>
      </w:tr>
      <w:tr>
        <w:trPr/>
        <w:tc>
          <w:tcPr>
            <w:tcW w:w="698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Purchase of treasury stock</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(1,671,598</w:t>
            </w:r>
          </w:p>
        </w:tc>
        <w:tc>
          <w:tcPr>
            <w:tcW w:w="170" w:type="dxa"/>
            <w:tcBorders/>
            <w:shd w:fill="FFFFFF" w:val="clear"/>
            <w:vAlign w:val="center"/>
          </w:tcPr>
          <w:p>
            <w:pPr>
              <w:pStyle w:val="TableContents"/>
              <w:spacing w:before="0" w:after="283"/>
              <w:rPr/>
            </w:pPr>
            <w:r>
              <w:rPr/>
              <w:t>)</w:t>
            </w:r>
          </w:p>
        </w:tc>
      </w:tr>
      <w:tr>
        <w:trPr/>
        <w:tc>
          <w:tcPr>
            <w:tcW w:w="698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Dividends paid</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CCEEFF" w:val="clear"/>
            <w:tcMar>
              <w:bottom w:w="28" w:type="dxa"/>
            </w:tcMar>
            <w:vAlign w:val="center"/>
          </w:tcPr>
          <w:p>
            <w:pPr>
              <w:pStyle w:val="TableContents"/>
              <w:spacing w:before="0" w:after="283"/>
              <w:jc w:val="right"/>
              <w:rPr/>
            </w:pPr>
            <w:r>
              <w:rPr/>
              <w:t>(1,277,066</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CCEEFF" w:val="clear"/>
            <w:tcMar>
              <w:bottom w:w="28" w:type="dxa"/>
            </w:tcMar>
            <w:vAlign w:val="center"/>
          </w:tcPr>
          <w:p>
            <w:pPr>
              <w:pStyle w:val="TableContents"/>
              <w:spacing w:before="0" w:after="283"/>
              <w:jc w:val="right"/>
              <w:rPr/>
            </w:pPr>
            <w:r>
              <w:rPr/>
              <w:t>(1,694,148</w:t>
            </w:r>
          </w:p>
        </w:tc>
        <w:tc>
          <w:tcPr>
            <w:tcW w:w="170" w:type="dxa"/>
            <w:tcBorders/>
            <w:shd w:fill="CCEEFF" w:val="clear"/>
            <w:vAlign w:val="center"/>
          </w:tcPr>
          <w:p>
            <w:pPr>
              <w:pStyle w:val="TableContents"/>
              <w:spacing w:before="0" w:after="283"/>
              <w:rPr/>
            </w:pPr>
            <w:r>
              <w:rPr/>
              <w:t>)</w:t>
            </w:r>
          </w:p>
        </w:tc>
      </w:tr>
      <w:tr>
        <w:trPr/>
        <w:tc>
          <w:tcPr>
            <w:tcW w:w="6980" w:type="dxa"/>
            <w:tcBorders/>
            <w:shd w:fill="FFFFFF" w:val="clear"/>
            <w:vAlign w:val="center"/>
          </w:tcPr>
          <w:p>
            <w:pPr>
              <w:pStyle w:val="TableContents"/>
              <w:spacing w:before="0" w:after="0"/>
              <w:ind w:left="0" w:right="0" w:hanging="0"/>
              <w:rPr/>
            </w:pPr>
            <w:r>
              <w:rPr>
                <w:rStyle w:val="StrongEmphasis"/>
                <w:rFonts w:ascii="times new roman" w:hAnsi="times new roman"/>
                <w:sz w:val="20"/>
              </w:rPr>
              <w:t xml:space="preserve">Net cash flows used in financing activities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(5,511,070</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(3,571,519</w:t>
            </w:r>
          </w:p>
        </w:tc>
        <w:tc>
          <w:tcPr>
            <w:tcW w:w="170" w:type="dxa"/>
            <w:tcBorders/>
            <w:shd w:fill="FFFFFF" w:val="clear"/>
            <w:vAlign w:val="center"/>
          </w:tcPr>
          <w:p>
            <w:pPr>
              <w:pStyle w:val="TableContents"/>
              <w:spacing w:before="0" w:after="283"/>
              <w:rPr/>
            </w:pPr>
            <w:r>
              <w:rPr/>
              <w:t>)</w:t>
            </w:r>
          </w:p>
        </w:tc>
      </w:tr>
      <w:tr>
        <w:trPr/>
        <w:tc>
          <w:tcPr>
            <w:tcW w:w="698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698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(Decrease) increase in cash and cash equivalents</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05" w:type="dxa"/>
            <w:tcBorders/>
            <w:shd w:fill="FFFFFF" w:val="clear"/>
            <w:vAlign w:val="center"/>
          </w:tcPr>
          <w:p>
            <w:pPr>
              <w:pStyle w:val="TableContents"/>
              <w:spacing w:before="0" w:after="283"/>
              <w:jc w:val="right"/>
              <w:rPr/>
            </w:pPr>
            <w:r>
              <w:rPr/>
              <w:t>(12,332,370</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05" w:type="dxa"/>
            <w:tcBorders/>
            <w:shd w:fill="FFFFFF" w:val="clear"/>
            <w:vAlign w:val="center"/>
          </w:tcPr>
          <w:p>
            <w:pPr>
              <w:pStyle w:val="TableContents"/>
              <w:spacing w:before="0" w:after="283"/>
              <w:jc w:val="right"/>
              <w:rPr/>
            </w:pPr>
            <w:r>
              <w:rPr/>
              <w:t>4,826,856</w:t>
            </w:r>
          </w:p>
        </w:tc>
        <w:tc>
          <w:tcPr>
            <w:tcW w:w="170" w:type="dxa"/>
            <w:tcBorders/>
            <w:shd w:fill="FFFFFF" w:val="clear"/>
            <w:vAlign w:val="center"/>
          </w:tcPr>
          <w:p>
            <w:pPr>
              <w:pStyle w:val="TableContents"/>
              <w:spacing w:before="0" w:after="0"/>
              <w:ind w:left="0" w:right="0" w:hanging="0"/>
              <w:rPr/>
            </w:pPr>
            <w:r>
              <w:rPr/>
              <w:t> </w:t>
            </w:r>
          </w:p>
        </w:tc>
      </w:tr>
    </w:tbl>
    <w:p>
      <w:pPr>
        <w:pStyle w:val="TextBody"/>
        <w:spacing w:before="0" w:after="0"/>
        <w:ind w:left="0" w:right="0" w:hanging="0"/>
        <w:rPr/>
      </w:pPr>
      <w:r>
        <w:rPr/>
        <w:t xml:space="preserve">  </w:t>
      </w:r>
    </w:p>
    <w:p>
      <w:pPr>
        <w:pStyle w:val="TextBody"/>
        <w:spacing w:before="0" w:after="0"/>
        <w:ind w:left="0" w:right="0" w:hanging="0"/>
        <w:rPr/>
      </w:pPr>
      <w:r>
        <w:rPr>
          <w:rStyle w:val="Emphasis"/>
          <w:rFonts w:ascii="times new roman" w:hAnsi="times new roman"/>
          <w:sz w:val="20"/>
        </w:rPr>
        <w:t>See accompanying notes to these consolidated financial statements.</w:t>
      </w:r>
    </w:p>
    <w:p>
      <w:pPr>
        <w:pStyle w:val="TextBody"/>
        <w:spacing w:before="0" w:after="0"/>
        <w:ind w:left="0" w:right="0" w:hanging="0"/>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F-7</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w:t>
      </w:r>
    </w:p>
    <w:tbl>
      <w:tblPr>
        <w:tblW w:w="9065" w:type="dxa"/>
        <w:jc w:val="left"/>
        <w:tblInd w:w="0" w:type="dxa"/>
        <w:tblCellMar>
          <w:top w:w="0" w:type="dxa"/>
          <w:left w:w="0" w:type="dxa"/>
          <w:bottom w:w="0" w:type="dxa"/>
          <w:right w:w="0" w:type="dxa"/>
        </w:tblCellMar>
      </w:tblPr>
      <w:tblGrid>
        <w:gridCol w:w="5915"/>
        <w:gridCol w:w="90"/>
        <w:gridCol w:w="170"/>
        <w:gridCol w:w="1205"/>
        <w:gridCol w:w="125"/>
        <w:gridCol w:w="90"/>
        <w:gridCol w:w="170"/>
        <w:gridCol w:w="1130"/>
        <w:gridCol w:w="170"/>
      </w:tblGrid>
      <w:tr>
        <w:trPr/>
        <w:tc>
          <w:tcPr>
            <w:tcW w:w="9065" w:type="dxa"/>
            <w:gridSpan w:val="9"/>
            <w:tcBorders/>
            <w:shd w:fill="auto" w:val="clear"/>
            <w:vAlign w:val="center"/>
          </w:tcPr>
          <w:p>
            <w:pPr>
              <w:pStyle w:val="TableContents"/>
              <w:spacing w:before="0" w:after="0"/>
              <w:ind w:left="0" w:right="0" w:hanging="0"/>
              <w:jc w:val="right"/>
              <w:rPr/>
            </w:pPr>
            <w:r>
              <w:rPr>
                <w:rStyle w:val="StrongEmphasis"/>
              </w:rPr>
              <w:t> </w:t>
            </w:r>
            <w:r>
              <w:rPr>
                <w:rStyle w:val="StrongEmphasis"/>
                <w:rFonts w:ascii="times new roman" w:hAnsi="times new roman"/>
                <w:sz w:val="20"/>
              </w:rPr>
              <w:t xml:space="preserve">KINGSTONE COMPANIES, INC. AND SUBSIDIARIES </w:t>
            </w:r>
          </w:p>
        </w:tc>
      </w:tr>
      <w:tr>
        <w:trPr/>
        <w:tc>
          <w:tcPr>
            <w:tcW w:w="591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0"/>
              <w:ind w:left="0" w:right="0" w:hanging="0"/>
              <w:rPr/>
            </w:pPr>
            <w:r>
              <w:rPr/>
              <w:t> </w:t>
            </w:r>
          </w:p>
        </w:tc>
      </w:tr>
      <w:tr>
        <w:trPr/>
        <w:tc>
          <w:tcPr>
            <w:tcW w:w="5915"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Fonts w:ascii="times new roman" w:hAnsi="times new roman"/>
                <w:sz w:val="20"/>
              </w:rPr>
              <w:t>Consolidated Statements of Cash Flows (Continued)</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bottom w:val="single" w:sz="2"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0"/>
              <w:ind w:left="0" w:right="0" w:hanging="0"/>
              <w:rPr/>
            </w:pPr>
            <w:r>
              <w:rPr/>
              <w:t> </w:t>
            </w:r>
          </w:p>
        </w:tc>
      </w:tr>
      <w:tr>
        <w:trPr/>
        <w:tc>
          <w:tcPr>
            <w:tcW w:w="5915" w:type="dxa"/>
            <w:tcBorders/>
            <w:shd w:fill="CCEEFF" w:val="clear"/>
            <w:vAlign w:val="center"/>
          </w:tcPr>
          <w:p>
            <w:pPr>
              <w:pStyle w:val="TableContents"/>
              <w:spacing w:before="0" w:after="0"/>
              <w:ind w:left="0" w:right="0" w:hanging="0"/>
              <w:rPr/>
            </w:pPr>
            <w:r>
              <w:rPr>
                <w:rStyle w:val="Emphasis"/>
                <w:rFonts w:ascii="times new roman" w:hAnsi="times new roman"/>
                <w:sz w:val="20"/>
              </w:rPr>
              <w:t>Years ended December 31,</w:t>
            </w:r>
          </w:p>
        </w:tc>
        <w:tc>
          <w:tcPr>
            <w:tcW w:w="90" w:type="dxa"/>
            <w:tcBorders/>
            <w:shd w:fill="CCEEFF" w:val="clear"/>
            <w:vAlign w:val="center"/>
          </w:tcPr>
          <w:p>
            <w:pPr>
              <w:pStyle w:val="TableContents"/>
              <w:spacing w:before="0" w:after="0"/>
              <w:ind w:left="0" w:right="0" w:hanging="0"/>
              <w:rPr/>
            </w:pPr>
            <w:r>
              <w:rPr/>
              <w:t> </w:t>
            </w:r>
          </w:p>
        </w:tc>
        <w:tc>
          <w:tcPr>
            <w:tcW w:w="1375" w:type="dxa"/>
            <w:gridSpan w:val="2"/>
            <w:tcBorders>
              <w:bottom w:val="single" w:sz="2" w:space="0" w:color="000000"/>
            </w:tcBorders>
            <w:shd w:fill="CCEEFF"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2022</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CCEEFF"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2021</w:t>
            </w:r>
          </w:p>
        </w:tc>
        <w:tc>
          <w:tcPr>
            <w:tcW w:w="170" w:type="dxa"/>
            <w:tcBorders/>
            <w:shd w:fill="CCEEFF" w:val="clear"/>
            <w:vAlign w:val="center"/>
          </w:tcPr>
          <w:p>
            <w:pPr>
              <w:pStyle w:val="TableContents"/>
              <w:spacing w:before="0" w:after="0"/>
              <w:ind w:left="0" w:right="0" w:hanging="0"/>
              <w:rPr/>
            </w:pPr>
            <w:r>
              <w:rPr/>
              <w:t> </w:t>
            </w:r>
          </w:p>
        </w:tc>
      </w:tr>
      <w:tr>
        <w:trPr/>
        <w:tc>
          <w:tcPr>
            <w:tcW w:w="591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375" w:type="dxa"/>
            <w:gridSpan w:val="2"/>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300" w:type="dxa"/>
            <w:gridSpan w:val="2"/>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591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(Decrease) increase in cash and cash equivalents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05" w:type="dxa"/>
            <w:tcBorders/>
            <w:shd w:fill="CCEEFF" w:val="clear"/>
            <w:vAlign w:val="center"/>
          </w:tcPr>
          <w:p>
            <w:pPr>
              <w:pStyle w:val="TableContents"/>
              <w:spacing w:before="0" w:after="283"/>
              <w:jc w:val="right"/>
              <w:rPr/>
            </w:pPr>
            <w:r>
              <w:rPr/>
              <w:t>(12,332,370</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4,826,856</w:t>
            </w:r>
          </w:p>
        </w:tc>
        <w:tc>
          <w:tcPr>
            <w:tcW w:w="170" w:type="dxa"/>
            <w:tcBorders/>
            <w:shd w:fill="CCEEFF" w:val="clear"/>
            <w:vAlign w:val="center"/>
          </w:tcPr>
          <w:p>
            <w:pPr>
              <w:pStyle w:val="TableContents"/>
              <w:spacing w:before="0" w:after="0"/>
              <w:ind w:left="0" w:right="0" w:hanging="0"/>
              <w:rPr/>
            </w:pPr>
            <w:r>
              <w:rPr/>
              <w:t> </w:t>
            </w:r>
          </w:p>
        </w:tc>
      </w:tr>
      <w:tr>
        <w:trPr/>
        <w:tc>
          <w:tcPr>
            <w:tcW w:w="591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Cash and cash equivalents, beginning of period</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24,290,598</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FFFFFF" w:val="clear"/>
            <w:tcMar>
              <w:bottom w:w="28" w:type="dxa"/>
            </w:tcMar>
            <w:vAlign w:val="center"/>
          </w:tcPr>
          <w:p>
            <w:pPr>
              <w:pStyle w:val="TableContents"/>
              <w:spacing w:before="0" w:after="283"/>
              <w:jc w:val="right"/>
              <w:rPr/>
            </w:pPr>
            <w:r>
              <w:rPr/>
              <w:t>19,463,742</w:t>
            </w:r>
          </w:p>
        </w:tc>
        <w:tc>
          <w:tcPr>
            <w:tcW w:w="170" w:type="dxa"/>
            <w:tcBorders/>
            <w:shd w:fill="FFFFFF" w:val="clear"/>
            <w:vAlign w:val="center"/>
          </w:tcPr>
          <w:p>
            <w:pPr>
              <w:pStyle w:val="TableContents"/>
              <w:spacing w:before="0" w:after="0"/>
              <w:ind w:left="0" w:right="0" w:hanging="0"/>
              <w:rPr/>
            </w:pPr>
            <w:r>
              <w:rPr/>
              <w:t> </w:t>
            </w:r>
          </w:p>
        </w:tc>
      </w:tr>
      <w:tr>
        <w:trPr/>
        <w:tc>
          <w:tcPr>
            <w:tcW w:w="5915" w:type="dxa"/>
            <w:tcBorders/>
            <w:shd w:fill="CCEEFF" w:val="clear"/>
            <w:vAlign w:val="center"/>
          </w:tcPr>
          <w:p>
            <w:pPr>
              <w:pStyle w:val="TableContents"/>
              <w:spacing w:before="0" w:after="0"/>
              <w:ind w:left="0" w:right="0" w:hanging="0"/>
              <w:rPr/>
            </w:pPr>
            <w:r>
              <w:rPr>
                <w:rStyle w:val="StrongEmphasis"/>
                <w:rFonts w:ascii="times new roman" w:hAnsi="times new roman"/>
                <w:sz w:val="20"/>
              </w:rPr>
              <w:t xml:space="preserve">Cash and cash equivalents, end of period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05" w:type="dxa"/>
            <w:tcBorders>
              <w:bottom w:val="double" w:sz="6" w:space="0" w:color="000000"/>
            </w:tcBorders>
            <w:shd w:fill="CCEEFF" w:val="clear"/>
            <w:tcMar>
              <w:bottom w:w="28" w:type="dxa"/>
            </w:tcMar>
            <w:vAlign w:val="center"/>
          </w:tcPr>
          <w:p>
            <w:pPr>
              <w:pStyle w:val="TableContents"/>
              <w:spacing w:before="0" w:after="283"/>
              <w:jc w:val="right"/>
              <w:rPr/>
            </w:pPr>
            <w:r>
              <w:rPr/>
              <w:t>11,958,228</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130" w:type="dxa"/>
            <w:tcBorders>
              <w:bottom w:val="double" w:sz="6" w:space="0" w:color="000000"/>
            </w:tcBorders>
            <w:shd w:fill="CCEEFF" w:val="clear"/>
            <w:tcMar>
              <w:bottom w:w="28" w:type="dxa"/>
            </w:tcMar>
            <w:vAlign w:val="center"/>
          </w:tcPr>
          <w:p>
            <w:pPr>
              <w:pStyle w:val="TableContents"/>
              <w:spacing w:before="0" w:after="283"/>
              <w:jc w:val="right"/>
              <w:rPr/>
            </w:pPr>
            <w:r>
              <w:rPr/>
              <w:t>24,290,598</w:t>
            </w:r>
          </w:p>
        </w:tc>
        <w:tc>
          <w:tcPr>
            <w:tcW w:w="170" w:type="dxa"/>
            <w:tcBorders/>
            <w:shd w:fill="CCEEFF" w:val="clear"/>
            <w:vAlign w:val="center"/>
          </w:tcPr>
          <w:p>
            <w:pPr>
              <w:pStyle w:val="TableContents"/>
              <w:spacing w:before="0" w:after="0"/>
              <w:ind w:left="0" w:right="0" w:hanging="0"/>
              <w:rPr/>
            </w:pPr>
            <w:r>
              <w:rPr/>
              <w:t> </w:t>
            </w:r>
          </w:p>
        </w:tc>
      </w:tr>
      <w:tr>
        <w:trPr/>
        <w:tc>
          <w:tcPr>
            <w:tcW w:w="591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5915" w:type="dxa"/>
            <w:tcBorders/>
            <w:shd w:fill="CCEEFF" w:val="clear"/>
            <w:vAlign w:val="center"/>
          </w:tcPr>
          <w:p>
            <w:pPr>
              <w:pStyle w:val="TableContents"/>
              <w:spacing w:before="0" w:after="0"/>
              <w:ind w:left="0" w:right="0" w:hanging="0"/>
              <w:rPr/>
            </w:pPr>
            <w:r>
              <w:rPr>
                <w:rStyle w:val="StrongEmphasis"/>
                <w:rFonts w:ascii="times new roman" w:hAnsi="times new roman"/>
                <w:sz w:val="20"/>
              </w:rPr>
              <w:t xml:space="preserve">Supplemental disclosures of cash flow information: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591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Cash paid for income taxes</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05"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130" w:type="dxa"/>
            <w:tcBorders/>
            <w:shd w:fill="FFFFFF" w:val="clear"/>
            <w:vAlign w:val="center"/>
          </w:tcPr>
          <w:p>
            <w:pPr>
              <w:pStyle w:val="TableContents"/>
              <w:spacing w:before="0" w:after="283"/>
              <w:jc w:val="right"/>
              <w:rPr/>
            </w:pPr>
            <w:r>
              <w:rPr/>
              <w:t>-</w:t>
            </w:r>
          </w:p>
        </w:tc>
        <w:tc>
          <w:tcPr>
            <w:tcW w:w="170" w:type="dxa"/>
            <w:tcBorders/>
            <w:shd w:fill="FFFFFF" w:val="clear"/>
            <w:vAlign w:val="center"/>
          </w:tcPr>
          <w:p>
            <w:pPr>
              <w:pStyle w:val="TableContents"/>
              <w:spacing w:before="0" w:after="0"/>
              <w:ind w:left="0" w:right="0" w:hanging="0"/>
              <w:rPr/>
            </w:pPr>
            <w:r>
              <w:rPr/>
              <w:t> </w:t>
            </w:r>
          </w:p>
        </w:tc>
      </w:tr>
      <w:tr>
        <w:trPr/>
        <w:tc>
          <w:tcPr>
            <w:tcW w:w="591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Cash paid for interest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05" w:type="dxa"/>
            <w:tcBorders/>
            <w:shd w:fill="CCEEFF" w:val="clear"/>
            <w:vAlign w:val="center"/>
          </w:tcPr>
          <w:p>
            <w:pPr>
              <w:pStyle w:val="TableContents"/>
              <w:spacing w:before="0" w:after="283"/>
              <w:jc w:val="right"/>
              <w:rPr/>
            </w:pPr>
            <w:r>
              <w:rPr/>
              <w:t>1,600,626</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1,650,000</w:t>
            </w:r>
          </w:p>
        </w:tc>
        <w:tc>
          <w:tcPr>
            <w:tcW w:w="170" w:type="dxa"/>
            <w:tcBorders/>
            <w:shd w:fill="CCEEFF" w:val="clear"/>
            <w:vAlign w:val="center"/>
          </w:tcPr>
          <w:p>
            <w:pPr>
              <w:pStyle w:val="TableContents"/>
              <w:spacing w:before="0" w:after="0"/>
              <w:ind w:left="0" w:right="0" w:hanging="0"/>
              <w:rPr/>
            </w:pPr>
            <w:r>
              <w:rPr/>
              <w:t> </w:t>
            </w:r>
          </w:p>
        </w:tc>
      </w:tr>
      <w:tr>
        <w:trPr/>
        <w:tc>
          <w:tcPr>
            <w:tcW w:w="591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5915" w:type="dxa"/>
            <w:tcBorders/>
            <w:shd w:fill="CCEEFF" w:val="clear"/>
            <w:vAlign w:val="center"/>
          </w:tcPr>
          <w:p>
            <w:pPr>
              <w:pStyle w:val="TableContents"/>
              <w:spacing w:before="0" w:after="0"/>
              <w:ind w:left="0" w:right="0" w:hanging="0"/>
              <w:rPr/>
            </w:pPr>
            <w:r>
              <w:rPr>
                <w:rStyle w:val="StrongEmphasis"/>
                <w:rFonts w:ascii="times new roman" w:hAnsi="times new roman"/>
                <w:sz w:val="20"/>
              </w:rPr>
              <w:t xml:space="preserve">Supplemental schedule of non-cash investing and financing activities: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5915"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Other comprehensive loss, net of tax</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05" w:type="dxa"/>
            <w:tcBorders/>
            <w:shd w:fill="FFFFFF" w:val="clear"/>
            <w:vAlign w:val="center"/>
          </w:tcPr>
          <w:p>
            <w:pPr>
              <w:pStyle w:val="TableContents"/>
              <w:spacing w:before="0" w:after="283"/>
              <w:jc w:val="right"/>
              <w:rPr/>
            </w:pPr>
            <w:r>
              <w:rPr/>
              <w:t>(17,755,167</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130" w:type="dxa"/>
            <w:tcBorders/>
            <w:shd w:fill="FFFFFF" w:val="clear"/>
            <w:vAlign w:val="center"/>
          </w:tcPr>
          <w:p>
            <w:pPr>
              <w:pStyle w:val="TableContents"/>
              <w:spacing w:before="0" w:after="283"/>
              <w:jc w:val="right"/>
              <w:rPr/>
            </w:pPr>
            <w:r>
              <w:rPr/>
              <w:t>(8,083,323</w:t>
            </w:r>
          </w:p>
        </w:tc>
        <w:tc>
          <w:tcPr>
            <w:tcW w:w="170" w:type="dxa"/>
            <w:tcBorders/>
            <w:shd w:fill="FFFFFF" w:val="clear"/>
            <w:vAlign w:val="center"/>
          </w:tcPr>
          <w:p>
            <w:pPr>
              <w:pStyle w:val="TableContents"/>
              <w:spacing w:before="0" w:after="283"/>
              <w:rPr/>
            </w:pPr>
            <w:r>
              <w:rPr/>
              <w:t>)</w:t>
            </w:r>
          </w:p>
        </w:tc>
      </w:tr>
      <w:tr>
        <w:trPr/>
        <w:tc>
          <w:tcPr>
            <w:tcW w:w="591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Warrants issued under the Exchange Agreement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05" w:type="dxa"/>
            <w:tcBorders/>
            <w:shd w:fill="CCEEFF" w:val="clear"/>
            <w:vAlign w:val="center"/>
          </w:tcPr>
          <w:p>
            <w:pPr>
              <w:pStyle w:val="TableContents"/>
              <w:spacing w:before="0" w:after="283"/>
              <w:jc w:val="right"/>
              <w:rPr/>
            </w:pPr>
            <w:r>
              <w:rPr/>
              <w:t>993,200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w:t>
            </w:r>
          </w:p>
        </w:tc>
        <w:tc>
          <w:tcPr>
            <w:tcW w:w="170"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rPr/>
      </w:pPr>
      <w:r>
        <w:rPr/>
        <w:t xml:space="preserve">  </w:t>
      </w:r>
    </w:p>
    <w:p>
      <w:pPr>
        <w:pStyle w:val="TextBody"/>
        <w:spacing w:before="0" w:after="0"/>
        <w:ind w:left="0" w:right="0" w:hanging="0"/>
        <w:rPr/>
      </w:pPr>
      <w:r>
        <w:rPr/>
        <w:t xml:space="preserve">  </w:t>
      </w:r>
    </w:p>
    <w:p>
      <w:pPr>
        <w:pStyle w:val="TextBody"/>
        <w:spacing w:before="0" w:after="0"/>
        <w:ind w:left="0" w:right="0" w:hanging="0"/>
        <w:rPr/>
      </w:pPr>
      <w:r>
        <w:rPr>
          <w:rStyle w:val="Emphasis"/>
          <w:rFonts w:ascii="times new roman" w:hAnsi="times new roman"/>
          <w:sz w:val="20"/>
        </w:rPr>
        <w:t>See accompanying notes to these consolidated financial statements.</w:t>
      </w:r>
    </w:p>
    <w:p>
      <w:pPr>
        <w:pStyle w:val="TextBody"/>
        <w:spacing w:before="0" w:after="0"/>
        <w:ind w:left="0" w:right="0" w:hanging="0"/>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F-8</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center"/>
        <w:rPr/>
      </w:pPr>
      <w:bookmarkStart w:id="33" w:name="note"/>
      <w:bookmarkEnd w:id="33"/>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2022 AND 2021</w:t>
      </w:r>
    </w:p>
    <w:p>
      <w:pPr>
        <w:pStyle w:val="TextBody"/>
        <w:spacing w:before="0" w:after="0"/>
        <w:ind w:left="0" w:right="0" w:hanging="0"/>
        <w:rPr/>
      </w:pPr>
      <w:r>
        <w:rPr/>
        <w:t> </w:t>
      </w:r>
    </w:p>
    <w:p>
      <w:pPr>
        <w:pStyle w:val="TextBody"/>
        <w:spacing w:before="0" w:after="0"/>
        <w:ind w:left="0" w:right="0" w:hanging="0"/>
        <w:jc w:val="both"/>
        <w:rPr/>
      </w:pPr>
      <w:r>
        <w:rPr>
          <w:rStyle w:val="StrongEmphasis"/>
          <w:rFonts w:ascii="times new roman" w:hAnsi="times new roman"/>
          <w:sz w:val="20"/>
        </w:rPr>
        <w:t>Note 1 - Nature of Business</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Kingstone Companies, Inc. (referred to herein as “Kingstone” or the “Company”), through its wholly owned subsidiary, Kingstone Insurance Company (“KICO”), underwrites property and casualty insurance exclusively through retail and wholesale agents and brokers. KICO is a licensed insurance company in the States of New York, New Jersey, Rhode Island, Massachusetts, Pennsylvania, Connecticut, Maine and New Hampshire. KICO is currently offering its property and casualty insurance products in New York, New Jersey, Rhode Island, Massachusetts, and Connecticut. Although New Jersey, Rhode Island, Massachusetts and Connecticut continue to be growing markets for the Company, 80.6% and 79.5% of KICO’s direct written premiums for the years ended December 31, 2022 and 2021, respectively, came from the New York policies. Kingstone, through its wholly owned subsidiary, Cosi Agency, Inc. (“Cosi”), a multi-state licensed general agency, receives commission revenue from KICO for the policies it places with others and pays commissions to these agencies.</w:t>
      </w:r>
    </w:p>
    <w:p>
      <w:pPr>
        <w:pStyle w:val="TextBody"/>
        <w:spacing w:before="0" w:after="0"/>
        <w:ind w:left="0" w:right="0" w:hanging="0"/>
        <w:rPr/>
      </w:pPr>
      <w:r>
        <w:rPr/>
        <w:t> </w:t>
      </w:r>
    </w:p>
    <w:p>
      <w:pPr>
        <w:pStyle w:val="TextBody"/>
        <w:spacing w:before="0" w:after="0"/>
        <w:ind w:left="0" w:right="0" w:hanging="0"/>
        <w:jc w:val="both"/>
        <w:rPr/>
      </w:pPr>
      <w:r>
        <w:rPr>
          <w:rStyle w:val="StrongEmphasis"/>
          <w:rFonts w:ascii="times new roman" w:hAnsi="times new roman"/>
          <w:sz w:val="20"/>
        </w:rPr>
        <w:t>Note 2 – Summary of Significant Accounting Policies</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Basis of Presentation; Going Concern</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accompanying consolidated financial statements have been prepared in accordance with GAAP assuming that the Company will continue as a going concern for a period of one year from the issuance date of the financial statements. The Company’s $30,000,000 5.5% Senior Unsecured Notes (the “2017 Notes”) were due on December 30, 2022. The Company’s continuation as a going concern was dependent on its ability to obtain financing and/or other funds to satisfy such obligation. The 2017 Notes were refinanced on December 15, 2022 under a note and warrant exchange agreement with a refinanced balance of $19,950,000 as of December 31, 2022 and a maturity date of December 30, 2024. (see Note 9 - Debt). </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Principles of Consolidation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consolidated financial statements include the accounts of Kingstone and its wholly owned subsidiaries: (1) KICO and its wholly owned subsidiaries, CMIC Properties, Inc. and 15 Joys Lane, LLC, which together own the land and building from which KICO operates, and (2) Cosi. All significant inter-company account balances and transactions have been eliminated in consolidation.</w:t>
      </w:r>
    </w:p>
    <w:p>
      <w:pPr>
        <w:pStyle w:val="TextBody"/>
        <w:spacing w:before="0" w:after="0"/>
        <w:ind w:left="0" w:right="0" w:hanging="0"/>
        <w:rPr/>
      </w:pPr>
      <w:r>
        <w:rPr/>
        <w:t> </w:t>
      </w:r>
    </w:p>
    <w:p>
      <w:pPr>
        <w:pStyle w:val="TextBody"/>
        <w:spacing w:before="0" w:after="0"/>
        <w:ind w:left="0" w:right="0" w:hanging="0"/>
        <w:rPr>
          <w:rFonts w:ascii="times new roman" w:hAnsi="times new roman"/>
          <w:sz w:val="20"/>
          <w:u w:val="single"/>
        </w:rPr>
      </w:pPr>
      <w:r>
        <w:rPr>
          <w:rFonts w:ascii="times new roman" w:hAnsi="times new roman"/>
          <w:sz w:val="20"/>
          <w:u w:val="single"/>
        </w:rPr>
        <w:t xml:space="preserve">Revenue Recognition </w:t>
      </w:r>
    </w:p>
    <w:p>
      <w:pPr>
        <w:pStyle w:val="TextBody"/>
        <w:spacing w:before="0" w:after="0"/>
        <w:ind w:left="0" w:right="0" w:hanging="0"/>
        <w:rPr/>
      </w:pPr>
      <w:r>
        <w:rPr/>
        <w:t> </w:t>
      </w:r>
    </w:p>
    <w:p>
      <w:pPr>
        <w:pStyle w:val="TextBody"/>
        <w:spacing w:before="0" w:after="0"/>
        <w:ind w:left="0" w:right="0" w:hanging="0"/>
        <w:rPr/>
      </w:pPr>
      <w:r>
        <w:rPr>
          <w:rStyle w:val="Emphasis"/>
          <w:rFonts w:ascii="times new roman" w:hAnsi="times new roman"/>
          <w:sz w:val="20"/>
        </w:rPr>
        <w:t xml:space="preserve">Net Premiums Earned </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Insurance policies issued by the Company are short-duration contracts. Accordingly, premium revenues, net of premiums ceded to reinsurers, are recognized as earned in proportion to the amount of insurance protection provided, on a pro-rata basis over the terms of the underlying policies. Unearned premiums represent premiums applicable to the unexpired portions of in-force insurance contracts at the end of each year.</w:t>
      </w:r>
    </w:p>
    <w:p>
      <w:pPr>
        <w:pStyle w:val="TextBody"/>
        <w:spacing w:before="0" w:after="0"/>
        <w:ind w:left="0" w:right="0" w:hanging="0"/>
        <w:rPr/>
      </w:pPr>
      <w:r>
        <w:rPr/>
        <w:t> </w:t>
      </w:r>
    </w:p>
    <w:p>
      <w:pPr>
        <w:pStyle w:val="TextBody"/>
        <w:spacing w:before="0" w:after="0"/>
        <w:ind w:left="0" w:right="0" w:hanging="0"/>
        <w:rPr/>
      </w:pPr>
      <w:r>
        <w:rPr>
          <w:rStyle w:val="Emphasis"/>
          <w:rFonts w:ascii="times new roman" w:hAnsi="times new roman"/>
          <w:sz w:val="20"/>
        </w:rPr>
        <w:t xml:space="preserve">Ceding Commission Revenue </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Commissions on reinsurance premiums ceded are earned in a manner consistent with the recognition of the costs of the reinsurance, generally on a pro-rata basis over the terms of the policies reinsured. Unearned amounts are recorded as deferred ceding commission revenue. Certain reinsurance agreements contain provisions whereby the ceding commission rates vary based on the loss experience under the agreements. The Company records ceding commission revenue based on its current estimate of subject losses. The Company records adjustments to ceding commission revenue in the period that changes in the estimated losses are determined.</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F-9</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2022 AND 2021</w:t>
      </w:r>
    </w:p>
    <w:p>
      <w:pPr>
        <w:pStyle w:val="TextBody"/>
        <w:spacing w:before="0" w:after="0"/>
        <w:ind w:left="0" w:right="0" w:hanging="0"/>
        <w:rPr/>
      </w:pPr>
      <w:r>
        <w:rPr/>
        <w:t> </w:t>
      </w:r>
    </w:p>
    <w:p>
      <w:pPr>
        <w:pStyle w:val="TextBody"/>
        <w:spacing w:before="0" w:after="0"/>
        <w:ind w:left="0" w:right="0" w:hanging="0"/>
        <w:rPr>
          <w:rFonts w:ascii="times new roman" w:hAnsi="times new roman"/>
          <w:sz w:val="20"/>
          <w:u w:val="single"/>
        </w:rPr>
      </w:pPr>
      <w:r>
        <w:rPr>
          <w:rFonts w:ascii="times new roman" w:hAnsi="times new roman"/>
          <w:sz w:val="20"/>
          <w:u w:val="single"/>
        </w:rPr>
        <w:t xml:space="preserve">Loss and Loss Adjustment Expenses (“LAE”) Reserves </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liability for loss and LAE represents management’s best estimate of the ultimate cost of all reported and unreported losses that are unpaid as of the balance sheet date. The liability for loss and LAE is estimated on an undiscounted basis, using individual case-basis valuations, statistical analyses and various actuarial reserving methodologies. The projection of future claim payment and reporting is based on an analysis of the Company’s historical experience, supplemented by analyses of industry loss data. Management believes that the reserves for loss and LAE are adequate to cover the ultimate cost of losses and claims to date; however, because of the uncertainty from various sources, including changes in reporting patterns, claims settlement patterns, judicial decisions, legislation, and economic conditions, actual loss experience may not conform to the assumptions used in determining the estimated amounts for such liability at the balance sheet date. Adjustments to these estimates are reflected in expense for the period in which the estimates are changed. Because of the nature of the business historically written, management believes that the Company has limited exposure to environmental claim liabilities. </w:t>
      </w:r>
    </w:p>
    <w:p>
      <w:pPr>
        <w:pStyle w:val="TextBody"/>
        <w:spacing w:before="0" w:after="0"/>
        <w:ind w:left="0" w:right="0" w:hanging="0"/>
        <w:rPr/>
      </w:pPr>
      <w:r>
        <w:rPr/>
        <w:t> </w:t>
      </w:r>
    </w:p>
    <w:p>
      <w:pPr>
        <w:pStyle w:val="TextBody"/>
        <w:spacing w:before="0" w:after="0"/>
        <w:ind w:left="0" w:right="0" w:hanging="0"/>
        <w:rPr>
          <w:rFonts w:ascii="times new roman" w:hAnsi="times new roman"/>
          <w:sz w:val="20"/>
          <w:u w:val="single"/>
        </w:rPr>
      </w:pPr>
      <w:r>
        <w:rPr>
          <w:rFonts w:ascii="times new roman" w:hAnsi="times new roman"/>
          <w:sz w:val="20"/>
          <w:u w:val="single"/>
        </w:rPr>
        <w:t xml:space="preserve">Reinsurance </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the normal course of business, the Company seeks to reduce the loss that may arise from catastrophes or other events that cause unfavorable underwriting results.  This is done by reinsuring certain levels of risk in various areas of exposure with a panel of financially secure reinsurance carriers.</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Reinsurance receivables represents management’s best estimate of paid and unpaid loss and LAE recoverable from reinsurers, and ceded losses receivable and unearned ceded premiums under reinsurance agreements. Ceded losses receivable are estimated using techniques and assumptions consistent with those used in estimating the liability for loss and LAE. Management believes that reinsurance receivables as recorded represent its best estimate of such amounts; however, as changes in the estimated ultimate liability for loss and LAE are determined, the estimated ultimate amount receivable from the reinsurers will also change. Accordingly, the ultimate receivable could be significantly in excess of or less than the amount recorded in the consolidated financial statements. Adjustments to these estimates are reflected in the period in which the estimates are changed. Loss and LAE incurred as presented in the consolidated statements of operations and comprehensive income (loss) are net of reinsurance recoveries. </w:t>
      </w:r>
    </w:p>
    <w:p>
      <w:pPr>
        <w:pStyle w:val="TextBody"/>
        <w:spacing w:before="0" w:after="0"/>
        <w:ind w:left="0" w:right="0" w:hanging="0"/>
        <w:jc w:val="both"/>
        <w:rPr/>
      </w:pPr>
      <w:r>
        <w:rPr/>
        <w:t> </w:t>
      </w:r>
    </w:p>
    <w:p>
      <w:pPr>
        <w:pStyle w:val="TextBody"/>
        <w:spacing w:before="0" w:after="0"/>
        <w:ind w:left="0" w:right="0" w:hanging="0"/>
        <w:rPr>
          <w:rFonts w:ascii="times new roman" w:hAnsi="times new roman"/>
          <w:sz w:val="20"/>
        </w:rPr>
      </w:pPr>
      <w:r>
        <w:rPr>
          <w:rFonts w:ascii="times new roman" w:hAnsi="times new roman"/>
          <w:sz w:val="20"/>
        </w:rPr>
        <w:t xml:space="preserve">Management has evaluated its reinsurance arrangements and determined that significant insurance risk is transferred to the reinsurers. Reinsurance agreements have been determined to be short-duration prospective contracts and, accordingly, the costs of the reinsurance are recognized over the life of the contract in a manner consistent with the earning of premiums on the underlying policies subject to the reinsurance contract.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F-10</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2022 AND 2021</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Management estimates uncollectible amounts receivable from reinsurers based on an assessment of factors including the creditworthiness of the reinsurers and the adequacy of collateral obtained, where applicable. There was no allowance for uncollectible reinsurance as of December 31, 2022 and 2021. The Company did not expense any uncollectible reinsurance for the years ended December 31, 2022 and 2021 Significant uncertainties are inherent in the assessment of the creditworthiness of reinsurers and estimates of any uncollectible amounts due from reinsurers. Any change in the ability of the Company’s reinsurers to meet their contractual obligations could have a material adverse effect on the consolidated financial statements as well as KICO’s ability to meet its regulatory capital and surplus requirements. </w:t>
      </w:r>
    </w:p>
    <w:p>
      <w:pPr>
        <w:pStyle w:val="TextBody"/>
        <w:spacing w:before="0" w:after="0"/>
        <w:ind w:left="0" w:right="0" w:hanging="0"/>
        <w:rPr/>
      </w:pPr>
      <w:r>
        <w:rPr/>
        <w:t> </w:t>
      </w:r>
    </w:p>
    <w:p>
      <w:pPr>
        <w:pStyle w:val="TextBody"/>
        <w:spacing w:before="0" w:after="0"/>
        <w:ind w:left="0" w:right="0" w:hanging="0"/>
        <w:rPr>
          <w:rFonts w:ascii="times new roman" w:hAnsi="times new roman"/>
          <w:sz w:val="20"/>
          <w:u w:val="single"/>
        </w:rPr>
      </w:pPr>
      <w:r>
        <w:rPr>
          <w:rFonts w:ascii="times new roman" w:hAnsi="times new roman"/>
          <w:sz w:val="20"/>
          <w:u w:val="single"/>
        </w:rPr>
        <w:t xml:space="preserve">Cash and Cash Equivalents </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Company considers all highly liquid investments with original maturities of three months or less to be cash equivalents. The Company maintains its cash balances at several financial institutions. </w:t>
      </w:r>
    </w:p>
    <w:p>
      <w:pPr>
        <w:pStyle w:val="TextBody"/>
        <w:spacing w:before="0" w:after="0"/>
        <w:ind w:left="0" w:right="0" w:hanging="0"/>
        <w:jc w:val="both"/>
        <w:rPr/>
      </w:pPr>
      <w:r>
        <w:rPr/>
        <w:t> </w:t>
      </w:r>
    </w:p>
    <w:p>
      <w:pPr>
        <w:pStyle w:val="TextBody"/>
        <w:spacing w:before="0" w:after="0"/>
        <w:ind w:left="0" w:right="0" w:hanging="0"/>
        <w:rPr>
          <w:rFonts w:ascii="times new roman" w:hAnsi="times new roman"/>
          <w:sz w:val="20"/>
          <w:u w:val="single"/>
        </w:rPr>
      </w:pPr>
      <w:r>
        <w:rPr>
          <w:rFonts w:ascii="times new roman" w:hAnsi="times new roman"/>
          <w:sz w:val="20"/>
          <w:u w:val="single"/>
        </w:rPr>
        <w:t xml:space="preserve">Investments </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classifies its fixed-maturity securities as either held-to-maturity or available-for-sale.  Fixed-maturity securities that the Company has the specific intent and ability to hold until maturity are classified as such and carried at amortized cost. Available-for-sale securities are reported at their estimated fair values based on quoted market prices from recognized pricing services, with unrealized gains and losses, net of tax effects, reported as a separate component of accumulated other comprehensive income. Realized gains and losses are determined on the specific identification method and reported in net loss in the consolidated statements of operations and comprehensive income (loss).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Equity securities are reported at their estimated fair values based on quoted market prices from recognized pricing services, with unrealized gains and losses reported in net loss. Other investments are reported at their estimated fair values using the net asset value (“NAV”) per share (or its equivalent) of the instrument with unrealized gains and losses reported in net loss. See Note - 3, Investments for additional discussion.   </w:t>
      </w:r>
    </w:p>
    <w:p>
      <w:pPr>
        <w:pStyle w:val="TextBody"/>
        <w:spacing w:before="0" w:after="0"/>
        <w:ind w:left="0" w:right="0" w:hanging="0"/>
        <w:jc w:val="both"/>
        <w:rPr/>
      </w:pPr>
      <w:r>
        <w:rPr/>
        <w:t xml:space="preserve">     </w:t>
      </w:r>
    </w:p>
    <w:p>
      <w:pPr>
        <w:pStyle w:val="TextBody"/>
        <w:spacing w:before="0" w:after="0"/>
        <w:ind w:left="0" w:right="0" w:hanging="0"/>
        <w:rPr>
          <w:rFonts w:ascii="times new roman" w:hAnsi="times new roman"/>
          <w:sz w:val="20"/>
        </w:rPr>
      </w:pPr>
      <w:r>
        <w:rPr>
          <w:rFonts w:ascii="times new roman" w:hAnsi="times new roman"/>
          <w:sz w:val="20"/>
        </w:rPr>
        <w:t>The Company may sell its available-for-sale securities, equity securities, and other investments in response to changes in interest rates, risk/reward characteristics, liquidity needs or other factors. Investment income is accrued to the balance sheet dates of the consolidated financial statements and includes amortization of premium and accretion of discount on fixed-maturity securities. Interest is recognized when earned, while dividends are recognized when declared. Due and accrued investment income totaled approximately $1,299,000 and $1,861,000 as of December 31, 2022 and 2021, respectively, and is included in other assets on the accompanying consolidated balance sheets.</w:t>
      </w:r>
    </w:p>
    <w:p>
      <w:pPr>
        <w:pStyle w:val="TextBody"/>
        <w:spacing w:before="0" w:after="0"/>
        <w:ind w:left="0" w:right="0" w:hanging="0"/>
        <w:rPr/>
      </w:pPr>
      <w:r>
        <w:rPr/>
        <w:t> </w:t>
      </w:r>
    </w:p>
    <w:p>
      <w:pPr>
        <w:pStyle w:val="TextBody"/>
        <w:spacing w:before="0" w:after="0"/>
        <w:ind w:left="0" w:right="0" w:hanging="0"/>
        <w:rPr>
          <w:rFonts w:ascii="times new roman" w:hAnsi="times new roman"/>
          <w:sz w:val="20"/>
          <w:u w:val="single"/>
        </w:rPr>
      </w:pPr>
      <w:r>
        <w:rPr>
          <w:rFonts w:ascii="times new roman" w:hAnsi="times new roman"/>
          <w:sz w:val="20"/>
          <w:u w:val="single"/>
        </w:rPr>
        <w:t xml:space="preserve">Premiums Receivable </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Premiums receivable include balances due currently or in the future and are presented net of an allowance for doubtful accounts of approximately $39,000 and $233,000 as of December 31, 2022 and 2021, respectively. The allowance for uncollectible amounts is based on an analysis of amounts receivable giving consideration to historical loss experience and current economic conditions and reflects an amount that, in management’s judgment, is adequate. Uncollectible premiums receivable balances of approximately $133,000 and $160,000 were written off for the years ended December 31, 2022 and 2021, respectively. </w:t>
      </w:r>
    </w:p>
    <w:p>
      <w:pPr>
        <w:pStyle w:val="TextBody"/>
        <w:spacing w:before="0" w:after="0"/>
        <w:ind w:left="0" w:right="0" w:hanging="0"/>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F-11</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2022 AND 2021</w:t>
      </w:r>
    </w:p>
    <w:p>
      <w:pPr>
        <w:pStyle w:val="TextBody"/>
        <w:spacing w:before="0" w:after="0"/>
        <w:ind w:left="0" w:right="0" w:hanging="0"/>
        <w:rPr>
          <w:rFonts w:ascii="times new roman" w:hAnsi="times new roman"/>
          <w:sz w:val="20"/>
          <w:u w:val="single"/>
        </w:rPr>
      </w:pPr>
      <w:r>
        <w:rPr>
          <w:rFonts w:ascii="times new roman" w:hAnsi="times new roman"/>
          <w:sz w:val="20"/>
          <w:u w:val="single"/>
        </w:rPr>
        <w:t xml:space="preserve">Deferred Policy Acquisition Costs </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Policy acquisition costs represent the costs of writing business that vary with, and are primarily related to, the successful production of insurance business (principally commissions, premium taxes and certain underwriting salaries). Policy acquisition costs are deferred and recognized as expense as the related premiums are earned. </w:t>
      </w:r>
    </w:p>
    <w:p>
      <w:pPr>
        <w:pStyle w:val="TextBody"/>
        <w:spacing w:before="0" w:after="0"/>
        <w:ind w:left="0" w:right="0" w:hanging="0"/>
        <w:jc w:val="both"/>
        <w:rPr/>
      </w:pPr>
      <w:r>
        <w:rPr/>
        <w:t> </w:t>
      </w:r>
    </w:p>
    <w:p>
      <w:pPr>
        <w:pStyle w:val="TextBody"/>
        <w:spacing w:before="0" w:after="0"/>
        <w:ind w:left="0" w:right="0" w:hanging="0"/>
        <w:rPr>
          <w:rFonts w:ascii="times new roman" w:hAnsi="times new roman"/>
          <w:sz w:val="20"/>
          <w:u w:val="single"/>
        </w:rPr>
      </w:pPr>
      <w:r>
        <w:rPr>
          <w:rFonts w:ascii="times new roman" w:hAnsi="times new roman"/>
          <w:sz w:val="20"/>
          <w:u w:val="single"/>
        </w:rPr>
        <w:t>Intangible Assets</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recorded acquired identifiable intangible assets. The cost of a group of assets acquired in a transaction is allocated to the individual assets including identifiable intangible assets based on their fair values. Identifiable intangible assets with a finite useful life are amortized over the period that the asset is expected to contribute directly or indirectly to the future cash flows of the Company. Intangible assets with an indefinite life are not amortized, but are subject to impairment testing if events or changes in circumstances indicate that it is more likely than not the asset is impaired. All identifiable intangible assets are tested for recoverability whenever events or changes in circumstances indicate that a carrying amount may not be recoverable. No impairment losses from intangible assets were recognized for the years ended December 31, 2022 and 2021.</w:t>
      </w:r>
    </w:p>
    <w:p>
      <w:pPr>
        <w:pStyle w:val="TextBody"/>
        <w:spacing w:before="0" w:after="0"/>
        <w:ind w:left="0" w:right="0" w:hanging="0"/>
        <w:jc w:val="both"/>
        <w:rPr/>
      </w:pPr>
      <w:r>
        <w:rPr/>
        <w:t> </w:t>
      </w:r>
    </w:p>
    <w:p>
      <w:pPr>
        <w:pStyle w:val="TextBody"/>
        <w:spacing w:before="0" w:after="0"/>
        <w:ind w:left="0" w:right="0" w:hanging="0"/>
        <w:rPr>
          <w:rFonts w:ascii="times new roman" w:hAnsi="times new roman"/>
          <w:sz w:val="20"/>
          <w:u w:val="single"/>
        </w:rPr>
      </w:pPr>
      <w:r>
        <w:rPr>
          <w:rFonts w:ascii="times new roman" w:hAnsi="times new roman"/>
          <w:sz w:val="20"/>
          <w:u w:val="single"/>
        </w:rPr>
        <w:t xml:space="preserve">Property and Equipment </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Building and building improvements, automobiles, furniture, computer equipment, and computer software are reported at cost less accumulated depreciation. Depreciation is provided using the straight-line method over the estimated useful lives of the assets. The Company estimates the useful life for computer equipment, automobiles, furniture and other equipment is three years, computer software is three to five years, and building and building improvements is 39 years.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reviews its real estate assets used as its headquarters to evaluate the necessity of recording impairment losses for market changes due to declines in the estimated fair value of the property. In evaluating potential impairment, management considers the current estimated fair value compared to the carrying value of the asset. At December 31, 2022 and 2021, the fair value of the real estate assets is estimated to be in excess of the carrying value.</w:t>
      </w:r>
    </w:p>
    <w:p>
      <w:pPr>
        <w:pStyle w:val="TextBody"/>
        <w:spacing w:before="0" w:after="0"/>
        <w:ind w:left="0" w:right="0" w:hanging="0"/>
        <w:rPr/>
      </w:pPr>
      <w:r>
        <w:rPr/>
        <w:t> </w:t>
      </w:r>
    </w:p>
    <w:p>
      <w:pPr>
        <w:pStyle w:val="TextBody"/>
        <w:spacing w:before="0" w:after="0"/>
        <w:ind w:left="0" w:right="0" w:hanging="0"/>
        <w:rPr>
          <w:rFonts w:ascii="times new roman" w:hAnsi="times new roman"/>
          <w:sz w:val="20"/>
          <w:u w:val="single"/>
        </w:rPr>
      </w:pPr>
      <w:r>
        <w:rPr>
          <w:rFonts w:ascii="times new roman" w:hAnsi="times new roman"/>
          <w:sz w:val="20"/>
          <w:u w:val="single"/>
        </w:rPr>
        <w:t xml:space="preserve">Income Taxes </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Deferred tax assets and liabilities are recognized for the future tax consequences attributable to differences between the financial statement carrying amounts of assets and liabilities and their respective tax basis and for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(loss) in the period that includes the enactment date. The Company files a consolidated tax return with its subsidiaries. At December 31, 2022 and 2021, the Company had no material unrecognized tax benefits and no adjustments to liabilities or operations were required.</w:t>
      </w:r>
    </w:p>
    <w:p>
      <w:pPr>
        <w:pStyle w:val="TextBody"/>
        <w:spacing w:before="0" w:after="0"/>
        <w:ind w:left="0" w:right="0" w:hanging="0"/>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F-12</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2022 AND 2021</w:t>
      </w:r>
    </w:p>
    <w:p>
      <w:pPr>
        <w:pStyle w:val="TextBody"/>
        <w:spacing w:before="0" w:after="0"/>
        <w:ind w:left="0" w:right="0" w:hanging="0"/>
        <w:rPr/>
      </w:pPr>
      <w:r>
        <w:rPr/>
        <w:t> </w:t>
      </w:r>
    </w:p>
    <w:p>
      <w:pPr>
        <w:pStyle w:val="TextBody"/>
        <w:spacing w:before="0" w:after="0"/>
        <w:ind w:left="0" w:right="0" w:hanging="0"/>
        <w:rPr>
          <w:rFonts w:ascii="times new roman" w:hAnsi="times new roman"/>
          <w:sz w:val="20"/>
          <w:u w:val="single"/>
        </w:rPr>
      </w:pPr>
      <w:r>
        <w:rPr>
          <w:rFonts w:ascii="times new roman" w:hAnsi="times new roman"/>
          <w:sz w:val="20"/>
          <w:u w:val="single"/>
        </w:rPr>
        <w:t xml:space="preserve">Concentration, Credit Risk and Market Risk </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Financial instruments that potentially subject the Company to concentrations of credit risk are primarily cash and cash equivalents, investments, and premium and reinsurance receivables. At times, cash may be uninsured or in deposit accounts that exceed Federal Deposit Insurance Corporation (“FDIC”) insurance limits.  The Company has not experienced any losses on such accounts and management believes the Company is not exposed to any significant credit risk.</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Stressed conditions, volatility and disruptions in capital markets or financial asset classes can have an adverse effect on the Company, in part because the Company has a large investment portfolio supporting the Company’s insurance liabilities, which are sensitive to changing market factors. These market factors, which include interest rates, credit spread, equity prices, and the volatility and strength of the capital markets, all affect the business and economic environment and, ultimately, the profitability of the Company’s business. The Company manages its investments to limit credit and other market risks by diversifying its portfolio among various security types and industry sectors based on KICO’s investment committee guidelines, which employ a variety of investment strategies.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December 31, 2022 and 2021, the Company’s cash equivalents were as follows:</w:t>
      </w:r>
    </w:p>
    <w:p>
      <w:pPr>
        <w:pStyle w:val="TextBody"/>
        <w:spacing w:before="0" w:after="0"/>
        <w:ind w:left="0" w:right="0" w:hanging="0"/>
        <w:jc w:val="both"/>
        <w:rPr/>
      </w:pPr>
      <w:r>
        <w:rPr/>
        <w:t> </w:t>
      </w:r>
    </w:p>
    <w:tbl>
      <w:tblPr>
        <w:tblW w:w="7303" w:type="dxa"/>
        <w:jc w:val="left"/>
        <w:tblInd w:w="0" w:type="dxa"/>
        <w:tblCellMar>
          <w:top w:w="0" w:type="dxa"/>
          <w:left w:w="0" w:type="dxa"/>
          <w:bottom w:w="0" w:type="dxa"/>
          <w:right w:w="0" w:type="dxa"/>
        </w:tblCellMar>
      </w:tblPr>
      <w:tblGrid>
        <w:gridCol w:w="4400"/>
        <w:gridCol w:w="90"/>
        <w:gridCol w:w="180"/>
        <w:gridCol w:w="1069"/>
        <w:gridCol w:w="90"/>
        <w:gridCol w:w="90"/>
        <w:gridCol w:w="180"/>
        <w:gridCol w:w="1069"/>
        <w:gridCol w:w="135"/>
      </w:tblGrid>
      <w:tr>
        <w:trPr/>
        <w:tc>
          <w:tcPr>
            <w:tcW w:w="440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49"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December 31,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249"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December 31, </w:t>
            </w:r>
          </w:p>
        </w:tc>
        <w:tc>
          <w:tcPr>
            <w:tcW w:w="135" w:type="dxa"/>
            <w:tcBorders/>
            <w:shd w:fill="auto" w:val="clear"/>
            <w:vAlign w:val="center"/>
          </w:tcPr>
          <w:p>
            <w:pPr>
              <w:pStyle w:val="TableContents"/>
              <w:spacing w:before="0" w:after="0"/>
              <w:ind w:left="0" w:right="0" w:hanging="0"/>
              <w:rPr/>
            </w:pPr>
            <w:r>
              <w:rPr>
                <w:rStyle w:val="StrongEmphasis"/>
              </w:rPr>
              <w:t> </w:t>
            </w:r>
          </w:p>
        </w:tc>
      </w:tr>
      <w:tr>
        <w:trPr/>
        <w:tc>
          <w:tcPr>
            <w:tcW w:w="440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249"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2022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249"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2021 </w:t>
            </w:r>
          </w:p>
        </w:tc>
        <w:tc>
          <w:tcPr>
            <w:tcW w:w="135" w:type="dxa"/>
            <w:tcBorders/>
            <w:shd w:fill="auto" w:val="clear"/>
            <w:vAlign w:val="center"/>
          </w:tcPr>
          <w:p>
            <w:pPr>
              <w:pStyle w:val="TableContents"/>
              <w:spacing w:before="0" w:after="0"/>
              <w:ind w:left="0" w:right="0" w:hanging="0"/>
              <w:rPr/>
            </w:pPr>
            <w:r>
              <w:rPr/>
              <w:t> </w:t>
            </w:r>
          </w:p>
        </w:tc>
      </w:tr>
      <w:tr>
        <w:trPr/>
        <w:tc>
          <w:tcPr>
            <w:tcW w:w="440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49"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49" w:type="dxa"/>
            <w:gridSpan w:val="2"/>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4400" w:type="dxa"/>
            <w:tcBorders/>
            <w:shd w:fill="CCEEFF" w:val="clear"/>
            <w:vAlign w:val="center"/>
          </w:tcPr>
          <w:p>
            <w:pPr>
              <w:pStyle w:val="TableContents"/>
              <w:spacing w:before="0" w:after="283"/>
              <w:rPr/>
            </w:pPr>
            <w:r>
              <w:rPr/>
              <w:t xml:space="preserve">Collateralized bank repurchase agreement (1) </w:t>
            </w:r>
          </w:p>
        </w:tc>
        <w:tc>
          <w:tcPr>
            <w:tcW w:w="90" w:type="dxa"/>
            <w:tcBorders/>
            <w:shd w:fill="CCEEFF" w:val="clear"/>
            <w:vAlign w:val="center"/>
          </w:tcPr>
          <w:p>
            <w:pPr>
              <w:pStyle w:val="TableContents"/>
              <w:spacing w:before="0" w:after="0"/>
              <w:ind w:left="0" w:right="0" w:hanging="0"/>
              <w:rPr/>
            </w:pPr>
            <w:r>
              <w:rPr/>
              <w:t> </w:t>
            </w:r>
          </w:p>
        </w:tc>
        <w:tc>
          <w:tcPr>
            <w:tcW w:w="180" w:type="dxa"/>
            <w:tcBorders/>
            <w:shd w:fill="CCEEFF" w:val="clear"/>
            <w:vAlign w:val="center"/>
          </w:tcPr>
          <w:p>
            <w:pPr>
              <w:pStyle w:val="TableContents"/>
              <w:spacing w:before="0" w:after="283"/>
              <w:rPr/>
            </w:pPr>
            <w:r>
              <w:rPr/>
              <w:t>$</w:t>
            </w:r>
          </w:p>
        </w:tc>
        <w:tc>
          <w:tcPr>
            <w:tcW w:w="1069" w:type="dxa"/>
            <w:tcBorders/>
            <w:shd w:fill="CCEEFF" w:val="clear"/>
            <w:vAlign w:val="center"/>
          </w:tcPr>
          <w:p>
            <w:pPr>
              <w:pStyle w:val="TableContents"/>
              <w:spacing w:before="0" w:after="283"/>
              <w:jc w:val="right"/>
              <w:rPr/>
            </w:pPr>
            <w:r>
              <w:rPr/>
              <w:t>159,596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0" w:type="dxa"/>
            <w:tcBorders/>
            <w:shd w:fill="CCEEFF" w:val="clear"/>
            <w:vAlign w:val="center"/>
          </w:tcPr>
          <w:p>
            <w:pPr>
              <w:pStyle w:val="TableContents"/>
              <w:spacing w:before="0" w:after="283"/>
              <w:rPr/>
            </w:pPr>
            <w:r>
              <w:rPr/>
              <w:t>$</w:t>
            </w:r>
          </w:p>
        </w:tc>
        <w:tc>
          <w:tcPr>
            <w:tcW w:w="1069" w:type="dxa"/>
            <w:tcBorders/>
            <w:shd w:fill="CCEEFF" w:val="clear"/>
            <w:vAlign w:val="center"/>
          </w:tcPr>
          <w:p>
            <w:pPr>
              <w:pStyle w:val="TableContents"/>
              <w:spacing w:before="0" w:after="283"/>
              <w:jc w:val="right"/>
              <w:rPr/>
            </w:pPr>
            <w:r>
              <w:rPr/>
              <w:t>142,258</w:t>
            </w:r>
          </w:p>
        </w:tc>
        <w:tc>
          <w:tcPr>
            <w:tcW w:w="135" w:type="dxa"/>
            <w:tcBorders/>
            <w:shd w:fill="CCEEFF" w:val="clear"/>
            <w:vAlign w:val="center"/>
          </w:tcPr>
          <w:p>
            <w:pPr>
              <w:pStyle w:val="TableContents"/>
              <w:spacing w:before="0" w:after="0"/>
              <w:ind w:left="0" w:right="0" w:hanging="0"/>
              <w:rPr/>
            </w:pPr>
            <w:r>
              <w:rPr/>
              <w:t> </w:t>
            </w:r>
          </w:p>
        </w:tc>
      </w:tr>
      <w:tr>
        <w:trPr/>
        <w:tc>
          <w:tcPr>
            <w:tcW w:w="4400" w:type="dxa"/>
            <w:tcBorders/>
            <w:shd w:fill="FFFFFF" w:val="clear"/>
            <w:vAlign w:val="center"/>
          </w:tcPr>
          <w:p>
            <w:pPr>
              <w:pStyle w:val="TableContents"/>
              <w:spacing w:before="0" w:after="283"/>
              <w:rPr/>
            </w:pPr>
            <w:r>
              <w:rPr/>
              <w:t xml:space="preserve">Money market funds </w:t>
            </w:r>
          </w:p>
        </w:tc>
        <w:tc>
          <w:tcPr>
            <w:tcW w:w="90" w:type="dxa"/>
            <w:tcBorders/>
            <w:shd w:fill="FFFFFF" w:val="clear"/>
            <w:vAlign w:val="center"/>
          </w:tcPr>
          <w:p>
            <w:pPr>
              <w:pStyle w:val="TableContents"/>
              <w:spacing w:before="0" w:after="0"/>
              <w:ind w:left="0" w:right="0" w:hanging="0"/>
              <w:rPr/>
            </w:pPr>
            <w:r>
              <w:rPr/>
              <w:t> </w:t>
            </w:r>
          </w:p>
        </w:tc>
        <w:tc>
          <w:tcPr>
            <w:tcW w:w="18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69" w:type="dxa"/>
            <w:tcBorders>
              <w:bottom w:val="single" w:sz="2" w:space="0" w:color="000000"/>
            </w:tcBorders>
            <w:shd w:fill="FFFFFF" w:val="clear"/>
            <w:tcMar>
              <w:bottom w:w="28" w:type="dxa"/>
            </w:tcMar>
            <w:vAlign w:val="center"/>
          </w:tcPr>
          <w:p>
            <w:pPr>
              <w:pStyle w:val="TableContents"/>
              <w:spacing w:before="0" w:after="283"/>
              <w:jc w:val="right"/>
              <w:rPr/>
            </w:pPr>
            <w:r>
              <w:rPr/>
              <w:t>2,458,223</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69" w:type="dxa"/>
            <w:tcBorders>
              <w:bottom w:val="single" w:sz="2" w:space="0" w:color="000000"/>
            </w:tcBorders>
            <w:shd w:fill="FFFFFF" w:val="clear"/>
            <w:tcMar>
              <w:bottom w:w="28" w:type="dxa"/>
            </w:tcMar>
            <w:vAlign w:val="center"/>
          </w:tcPr>
          <w:p>
            <w:pPr>
              <w:pStyle w:val="TableContents"/>
              <w:spacing w:before="0" w:after="283"/>
              <w:jc w:val="right"/>
              <w:rPr/>
            </w:pPr>
            <w:r>
              <w:rPr/>
              <w:t>992,347</w:t>
            </w:r>
          </w:p>
        </w:tc>
        <w:tc>
          <w:tcPr>
            <w:tcW w:w="135" w:type="dxa"/>
            <w:tcBorders/>
            <w:shd w:fill="FFFFFF" w:val="clear"/>
            <w:vAlign w:val="center"/>
          </w:tcPr>
          <w:p>
            <w:pPr>
              <w:pStyle w:val="TableContents"/>
              <w:spacing w:before="0" w:after="0"/>
              <w:ind w:left="0" w:right="0" w:hanging="0"/>
              <w:rPr/>
            </w:pPr>
            <w:r>
              <w:rPr/>
              <w:t> </w:t>
            </w:r>
          </w:p>
        </w:tc>
      </w:tr>
      <w:tr>
        <w:trPr/>
        <w:tc>
          <w:tcPr>
            <w:tcW w:w="4400" w:type="dxa"/>
            <w:tcBorders/>
            <w:shd w:fill="CCEEFF" w:val="clear"/>
            <w:vAlign w:val="center"/>
          </w:tcPr>
          <w:p>
            <w:pPr>
              <w:pStyle w:val="TableContents"/>
              <w:spacing w:before="0" w:after="283"/>
              <w:rPr/>
            </w:pPr>
            <w:r>
              <w:rPr/>
              <w:t xml:space="preserve">Total </w:t>
            </w:r>
          </w:p>
        </w:tc>
        <w:tc>
          <w:tcPr>
            <w:tcW w:w="90" w:type="dxa"/>
            <w:tcBorders/>
            <w:shd w:fill="CCEEFF" w:val="clear"/>
            <w:vAlign w:val="center"/>
          </w:tcPr>
          <w:p>
            <w:pPr>
              <w:pStyle w:val="TableContents"/>
              <w:spacing w:before="0" w:after="0"/>
              <w:ind w:left="0" w:right="0" w:hanging="0"/>
              <w:rPr/>
            </w:pPr>
            <w:r>
              <w:rPr/>
              <w:t> </w:t>
            </w:r>
          </w:p>
        </w:tc>
        <w:tc>
          <w:tcPr>
            <w:tcW w:w="180" w:type="dxa"/>
            <w:tcBorders>
              <w:bottom w:val="double" w:sz="5" w:space="0" w:color="000000"/>
            </w:tcBorders>
            <w:shd w:fill="CCEEFF" w:val="clear"/>
            <w:tcMar>
              <w:bottom w:w="28" w:type="dxa"/>
            </w:tcMar>
            <w:vAlign w:val="center"/>
          </w:tcPr>
          <w:p>
            <w:pPr>
              <w:pStyle w:val="TableContents"/>
              <w:spacing w:before="0" w:after="283"/>
              <w:rPr/>
            </w:pPr>
            <w:r>
              <w:rPr/>
              <w:t>$</w:t>
            </w:r>
          </w:p>
        </w:tc>
        <w:tc>
          <w:tcPr>
            <w:tcW w:w="1069" w:type="dxa"/>
            <w:tcBorders>
              <w:bottom w:val="double" w:sz="5" w:space="0" w:color="000000"/>
            </w:tcBorders>
            <w:shd w:fill="CCEEFF" w:val="clear"/>
            <w:tcMar>
              <w:bottom w:w="28" w:type="dxa"/>
            </w:tcMar>
            <w:vAlign w:val="center"/>
          </w:tcPr>
          <w:p>
            <w:pPr>
              <w:pStyle w:val="TableContents"/>
              <w:spacing w:before="0" w:after="283"/>
              <w:jc w:val="right"/>
              <w:rPr/>
            </w:pPr>
            <w:r>
              <w:rPr/>
              <w:t>2,617,819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0" w:type="dxa"/>
            <w:tcBorders>
              <w:bottom w:val="double" w:sz="5" w:space="0" w:color="000000"/>
            </w:tcBorders>
            <w:shd w:fill="CCEEFF" w:val="clear"/>
            <w:tcMar>
              <w:bottom w:w="28" w:type="dxa"/>
            </w:tcMar>
            <w:vAlign w:val="center"/>
          </w:tcPr>
          <w:p>
            <w:pPr>
              <w:pStyle w:val="TableContents"/>
              <w:spacing w:before="0" w:after="283"/>
              <w:rPr/>
            </w:pPr>
            <w:r>
              <w:rPr/>
              <w:t>$</w:t>
            </w:r>
          </w:p>
        </w:tc>
        <w:tc>
          <w:tcPr>
            <w:tcW w:w="1069" w:type="dxa"/>
            <w:tcBorders>
              <w:bottom w:val="double" w:sz="5" w:space="0" w:color="000000"/>
            </w:tcBorders>
            <w:shd w:fill="CCEEFF" w:val="clear"/>
            <w:tcMar>
              <w:bottom w:w="28" w:type="dxa"/>
            </w:tcMar>
            <w:vAlign w:val="center"/>
          </w:tcPr>
          <w:p>
            <w:pPr>
              <w:pStyle w:val="TableContents"/>
              <w:spacing w:before="0" w:after="283"/>
              <w:jc w:val="right"/>
              <w:rPr/>
            </w:pPr>
            <w:r>
              <w:rPr/>
              <w:t>1,134,605</w:t>
            </w:r>
          </w:p>
        </w:tc>
        <w:tc>
          <w:tcPr>
            <w:tcW w:w="135"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105"/>
        <w:gridCol w:w="237"/>
        <w:gridCol w:w="9863"/>
      </w:tblGrid>
      <w:tr>
        <w:trPr/>
        <w:tc>
          <w:tcPr>
            <w:tcW w:w="105" w:type="dxa"/>
            <w:tcBorders/>
            <w:shd w:fill="auto" w:val="clear"/>
            <w:vAlign w:val="center"/>
          </w:tcPr>
          <w:p>
            <w:pPr>
              <w:pStyle w:val="TableContents"/>
              <w:spacing w:before="0" w:after="0"/>
              <w:ind w:left="0" w:right="0" w:hanging="0"/>
              <w:rPr/>
            </w:pPr>
            <w:r>
              <w:rPr/>
              <w:t> </w:t>
            </w:r>
          </w:p>
        </w:tc>
        <w:tc>
          <w:tcPr>
            <w:tcW w:w="237"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863"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The Company has a security interest in certain of the bank’s holdings of direct obligations of the United States or one or more agencies thereof. The collateral is held in a hold-in-custody arrangement with a third party who maintains physical possession of the collateral on behalf of the bank.</w:t>
            </w:r>
          </w:p>
        </w:tc>
      </w:tr>
    </w:tbl>
    <w:p>
      <w:pPr>
        <w:pStyle w:val="TextBody"/>
        <w:spacing w:before="0" w:after="0"/>
        <w:ind w:left="0" w:right="0" w:hanging="0"/>
        <w:rPr/>
      </w:pPr>
      <w:r>
        <w:rPr/>
        <w:t xml:space="preserve">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At December 31, 2022, the outstanding premiums receivable balance is generally diversified due to the large number of individual insureds comprising the Company’s customer base.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Company also has receivables from its reinsurers. Reinsurance contracts do not relieve the Company of its obligations to policyholders. Failure of reinsurers to honor their obligations could result in losses to the Company. The Company periodically evaluates the financial condition of its reinsurers to minimize its exposure to significant losses from reinsurer insolvencies. See Note 7- Reinsurance for reinsurance recoverables on unpaid and paid losses by reinsurer. Management’s policy is to review all outstanding receivables quarterly as well as the bad debt write-offs experienced in the past and establish an allowance for doubtful accounts, if deemed necessary.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F-13</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2022 AND 2021</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Direct premiums earned from lines of business in excess of 10% of the total subject the Company to concentration risk for the years ended December 31, 2022 and 2021as follows:</w:t>
      </w:r>
    </w:p>
    <w:p>
      <w:pPr>
        <w:pStyle w:val="TextBody"/>
        <w:spacing w:before="0" w:after="0"/>
        <w:ind w:left="0" w:right="0" w:hanging="0"/>
        <w:jc w:val="both"/>
        <w:rPr/>
      </w:pPr>
      <w:r>
        <w:rPr/>
        <w:t> </w:t>
      </w:r>
    </w:p>
    <w:tbl>
      <w:tblPr>
        <w:tblW w:w="7122" w:type="dxa"/>
        <w:jc w:val="left"/>
        <w:tblInd w:w="0" w:type="dxa"/>
        <w:tblCellMar>
          <w:top w:w="0" w:type="dxa"/>
          <w:left w:w="0" w:type="dxa"/>
          <w:bottom w:w="0" w:type="dxa"/>
          <w:right w:w="0" w:type="dxa"/>
        </w:tblCellMar>
      </w:tblPr>
      <w:tblGrid>
        <w:gridCol w:w="4415"/>
        <w:gridCol w:w="90"/>
        <w:gridCol w:w="123"/>
        <w:gridCol w:w="811"/>
        <w:gridCol w:w="336"/>
        <w:gridCol w:w="123"/>
        <w:gridCol w:w="123"/>
        <w:gridCol w:w="811"/>
        <w:gridCol w:w="290"/>
      </w:tblGrid>
      <w:tr>
        <w:trPr/>
        <w:tc>
          <w:tcPr>
            <w:tcW w:w="441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327" w:type="dxa"/>
            <w:gridSpan w:val="6"/>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Years ended December 31, </w:t>
            </w:r>
          </w:p>
        </w:tc>
        <w:tc>
          <w:tcPr>
            <w:tcW w:w="290" w:type="dxa"/>
            <w:tcBorders/>
            <w:shd w:fill="auto" w:val="clear"/>
            <w:vAlign w:val="center"/>
          </w:tcPr>
          <w:p>
            <w:pPr>
              <w:pStyle w:val="TableContents"/>
              <w:spacing w:before="0" w:after="0"/>
              <w:ind w:left="0" w:right="0" w:hanging="0"/>
              <w:rPr/>
            </w:pPr>
            <w:r>
              <w:rPr>
                <w:rStyle w:val="StrongEmphasis"/>
              </w:rPr>
              <w:t> </w:t>
            </w:r>
          </w:p>
        </w:tc>
      </w:tr>
      <w:tr>
        <w:trPr/>
        <w:tc>
          <w:tcPr>
            <w:tcW w:w="441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934"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2022 </w:t>
            </w:r>
          </w:p>
        </w:tc>
        <w:tc>
          <w:tcPr>
            <w:tcW w:w="336" w:type="dxa"/>
            <w:tcBorders/>
            <w:shd w:fill="auto" w:val="clear"/>
            <w:vAlign w:val="center"/>
          </w:tcPr>
          <w:p>
            <w:pPr>
              <w:pStyle w:val="TableContents"/>
              <w:spacing w:before="0" w:after="0"/>
              <w:ind w:left="0" w:right="0" w:hanging="0"/>
              <w:rPr/>
            </w:pPr>
            <w:r>
              <w:rPr>
                <w:rStyle w:val="StrongEmphasis"/>
              </w:rPr>
              <w:t> </w:t>
            </w:r>
          </w:p>
        </w:tc>
        <w:tc>
          <w:tcPr>
            <w:tcW w:w="123" w:type="dxa"/>
            <w:tcBorders/>
            <w:shd w:fill="auto" w:val="clear"/>
            <w:vAlign w:val="center"/>
          </w:tcPr>
          <w:p>
            <w:pPr>
              <w:pStyle w:val="TableContents"/>
              <w:spacing w:before="0" w:after="0"/>
              <w:ind w:left="0" w:right="0" w:hanging="0"/>
              <w:rPr/>
            </w:pPr>
            <w:r>
              <w:rPr>
                <w:rStyle w:val="StrongEmphasis"/>
              </w:rPr>
              <w:t> </w:t>
            </w:r>
          </w:p>
        </w:tc>
        <w:tc>
          <w:tcPr>
            <w:tcW w:w="934"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2021</w:t>
            </w:r>
            <w:r>
              <w:rPr>
                <w:rFonts w:ascii="times new roman" w:hAnsi="times new roman"/>
                <w:sz w:val="20"/>
              </w:rPr>
              <w:t xml:space="preserve"> </w:t>
            </w:r>
          </w:p>
        </w:tc>
        <w:tc>
          <w:tcPr>
            <w:tcW w:w="290" w:type="dxa"/>
            <w:tcBorders/>
            <w:shd w:fill="auto" w:val="clear"/>
            <w:vAlign w:val="center"/>
          </w:tcPr>
          <w:p>
            <w:pPr>
              <w:pStyle w:val="TableContents"/>
              <w:spacing w:before="0" w:after="0"/>
              <w:ind w:left="0" w:right="0" w:hanging="0"/>
              <w:rPr/>
            </w:pPr>
            <w:r>
              <w:rPr/>
              <w:t> </w:t>
            </w:r>
          </w:p>
        </w:tc>
      </w:tr>
      <w:tr>
        <w:trPr/>
        <w:tc>
          <w:tcPr>
            <w:tcW w:w="4415" w:type="dxa"/>
            <w:tcBorders/>
            <w:shd w:fill="CCEEFF" w:val="clear"/>
            <w:vAlign w:val="center"/>
          </w:tcPr>
          <w:p>
            <w:pPr>
              <w:pStyle w:val="TableContents"/>
              <w:spacing w:before="0" w:after="283"/>
              <w:rPr/>
            </w:pPr>
            <w:r>
              <w:rPr/>
              <w:t xml:space="preserve">Personal Lines </w:t>
            </w:r>
          </w:p>
        </w:tc>
        <w:tc>
          <w:tcPr>
            <w:tcW w:w="90" w:type="dxa"/>
            <w:tcBorders/>
            <w:shd w:fill="CCEEFF" w:val="clear"/>
            <w:vAlign w:val="center"/>
          </w:tcPr>
          <w:p>
            <w:pPr>
              <w:pStyle w:val="TableContents"/>
              <w:spacing w:before="0" w:after="0"/>
              <w:ind w:left="0" w:right="0" w:hanging="0"/>
              <w:rPr/>
            </w:pPr>
            <w:r>
              <w:rPr/>
              <w:t> </w:t>
            </w:r>
          </w:p>
        </w:tc>
        <w:tc>
          <w:tcPr>
            <w:tcW w:w="123" w:type="dxa"/>
            <w:tcBorders/>
            <w:shd w:fill="CCEEFF" w:val="clear"/>
            <w:vAlign w:val="center"/>
          </w:tcPr>
          <w:p>
            <w:pPr>
              <w:pStyle w:val="TableContents"/>
              <w:spacing w:before="0" w:after="0"/>
              <w:ind w:left="0" w:right="0" w:hanging="0"/>
              <w:rPr/>
            </w:pPr>
            <w:r>
              <w:rPr/>
              <w:t> </w:t>
            </w:r>
          </w:p>
        </w:tc>
        <w:tc>
          <w:tcPr>
            <w:tcW w:w="811" w:type="dxa"/>
            <w:tcBorders/>
            <w:shd w:fill="CCEEFF" w:val="clear"/>
            <w:vAlign w:val="center"/>
          </w:tcPr>
          <w:p>
            <w:pPr>
              <w:pStyle w:val="TableContents"/>
              <w:spacing w:before="0" w:after="283"/>
              <w:jc w:val="right"/>
              <w:rPr/>
            </w:pPr>
            <w:r>
              <w:rPr/>
              <w:t>94.0</w:t>
            </w:r>
          </w:p>
        </w:tc>
        <w:tc>
          <w:tcPr>
            <w:tcW w:w="336" w:type="dxa"/>
            <w:tcBorders/>
            <w:shd w:fill="CCEEFF" w:val="clear"/>
            <w:vAlign w:val="center"/>
          </w:tcPr>
          <w:p>
            <w:pPr>
              <w:pStyle w:val="TableContents"/>
              <w:spacing w:before="0" w:after="283"/>
              <w:rPr/>
            </w:pPr>
            <w:r>
              <w:rPr/>
              <w:t>%</w:t>
            </w:r>
          </w:p>
        </w:tc>
        <w:tc>
          <w:tcPr>
            <w:tcW w:w="123" w:type="dxa"/>
            <w:tcBorders/>
            <w:shd w:fill="CCEEFF" w:val="clear"/>
            <w:vAlign w:val="center"/>
          </w:tcPr>
          <w:p>
            <w:pPr>
              <w:pStyle w:val="TableContents"/>
              <w:spacing w:before="0" w:after="0"/>
              <w:ind w:left="0" w:right="0" w:hanging="0"/>
              <w:rPr/>
            </w:pPr>
            <w:r>
              <w:rPr/>
              <w:t> </w:t>
            </w:r>
          </w:p>
        </w:tc>
        <w:tc>
          <w:tcPr>
            <w:tcW w:w="123" w:type="dxa"/>
            <w:tcBorders/>
            <w:shd w:fill="CCEEFF" w:val="clear"/>
            <w:vAlign w:val="center"/>
          </w:tcPr>
          <w:p>
            <w:pPr>
              <w:pStyle w:val="TableContents"/>
              <w:spacing w:before="0" w:after="0"/>
              <w:ind w:left="0" w:right="0" w:hanging="0"/>
              <w:rPr/>
            </w:pPr>
            <w:r>
              <w:rPr/>
              <w:t> </w:t>
            </w:r>
          </w:p>
        </w:tc>
        <w:tc>
          <w:tcPr>
            <w:tcW w:w="811" w:type="dxa"/>
            <w:tcBorders/>
            <w:shd w:fill="CCEEFF" w:val="clear"/>
            <w:vAlign w:val="center"/>
          </w:tcPr>
          <w:p>
            <w:pPr>
              <w:pStyle w:val="TableContents"/>
              <w:spacing w:before="0" w:after="283"/>
              <w:jc w:val="right"/>
              <w:rPr/>
            </w:pPr>
            <w:r>
              <w:rPr/>
              <w:t>95.3</w:t>
            </w:r>
          </w:p>
        </w:tc>
        <w:tc>
          <w:tcPr>
            <w:tcW w:w="290" w:type="dxa"/>
            <w:tcBorders/>
            <w:shd w:fill="CCEEFF" w:val="clear"/>
            <w:vAlign w:val="center"/>
          </w:tcPr>
          <w:p>
            <w:pPr>
              <w:pStyle w:val="TableContents"/>
              <w:spacing w:before="0" w:after="283"/>
              <w:rPr/>
            </w:pPr>
            <w:r>
              <w:rPr/>
              <w:t>%</w:t>
            </w:r>
          </w:p>
        </w:tc>
      </w:tr>
      <w:tr>
        <w:trPr/>
        <w:tc>
          <w:tcPr>
            <w:tcW w:w="4415" w:type="dxa"/>
            <w:tcBorders/>
            <w:shd w:fill="FFFFFF" w:val="clear"/>
            <w:vAlign w:val="center"/>
          </w:tcPr>
          <w:p>
            <w:pPr>
              <w:pStyle w:val="TableContents"/>
              <w:spacing w:before="0" w:after="283"/>
              <w:rPr/>
            </w:pPr>
            <w:r>
              <w:rPr/>
              <w:t xml:space="preserve">Premiums earned not subject to concentration </w:t>
            </w:r>
          </w:p>
        </w:tc>
        <w:tc>
          <w:tcPr>
            <w:tcW w:w="90" w:type="dxa"/>
            <w:tcBorders/>
            <w:shd w:fill="FFFFFF" w:val="clear"/>
            <w:vAlign w:val="center"/>
          </w:tcPr>
          <w:p>
            <w:pPr>
              <w:pStyle w:val="TableContents"/>
              <w:spacing w:before="0" w:after="0"/>
              <w:ind w:left="0" w:right="0" w:hanging="0"/>
              <w:rPr/>
            </w:pPr>
            <w:r>
              <w:rPr/>
              <w:t> </w:t>
            </w:r>
          </w:p>
        </w:tc>
        <w:tc>
          <w:tcPr>
            <w:tcW w:w="123" w:type="dxa"/>
            <w:tcBorders/>
            <w:shd w:fill="FFFFFF" w:val="clear"/>
            <w:vAlign w:val="center"/>
          </w:tcPr>
          <w:p>
            <w:pPr>
              <w:pStyle w:val="TableContents"/>
              <w:spacing w:before="0" w:after="0"/>
              <w:ind w:left="0" w:right="0" w:hanging="0"/>
              <w:rPr/>
            </w:pPr>
            <w:r>
              <w:rPr/>
              <w:t> </w:t>
            </w:r>
          </w:p>
        </w:tc>
        <w:tc>
          <w:tcPr>
            <w:tcW w:w="811" w:type="dxa"/>
            <w:tcBorders/>
            <w:shd w:fill="FFFFFF" w:val="clear"/>
            <w:vAlign w:val="center"/>
          </w:tcPr>
          <w:p>
            <w:pPr>
              <w:pStyle w:val="TableContents"/>
              <w:spacing w:before="0" w:after="283"/>
              <w:jc w:val="right"/>
              <w:rPr/>
            </w:pPr>
            <w:r>
              <w:rPr/>
              <w:t>6.0</w:t>
            </w:r>
          </w:p>
        </w:tc>
        <w:tc>
          <w:tcPr>
            <w:tcW w:w="336" w:type="dxa"/>
            <w:tcBorders/>
            <w:shd w:fill="FFFFFF" w:val="clear"/>
            <w:vAlign w:val="center"/>
          </w:tcPr>
          <w:p>
            <w:pPr>
              <w:pStyle w:val="TableContents"/>
              <w:spacing w:before="0" w:after="283"/>
              <w:rPr/>
            </w:pPr>
            <w:r>
              <w:rPr/>
              <w:t>%</w:t>
            </w:r>
          </w:p>
        </w:tc>
        <w:tc>
          <w:tcPr>
            <w:tcW w:w="123" w:type="dxa"/>
            <w:tcBorders/>
            <w:shd w:fill="FFFFFF" w:val="clear"/>
            <w:vAlign w:val="center"/>
          </w:tcPr>
          <w:p>
            <w:pPr>
              <w:pStyle w:val="TableContents"/>
              <w:spacing w:before="0" w:after="0"/>
              <w:ind w:left="0" w:right="0" w:hanging="0"/>
              <w:rPr/>
            </w:pPr>
            <w:r>
              <w:rPr/>
              <w:t> </w:t>
            </w:r>
          </w:p>
        </w:tc>
        <w:tc>
          <w:tcPr>
            <w:tcW w:w="123" w:type="dxa"/>
            <w:tcBorders/>
            <w:shd w:fill="FFFFFF" w:val="clear"/>
            <w:vAlign w:val="center"/>
          </w:tcPr>
          <w:p>
            <w:pPr>
              <w:pStyle w:val="TableContents"/>
              <w:spacing w:before="0" w:after="0"/>
              <w:ind w:left="0" w:right="0" w:hanging="0"/>
              <w:rPr/>
            </w:pPr>
            <w:r>
              <w:rPr/>
              <w:t> </w:t>
            </w:r>
          </w:p>
        </w:tc>
        <w:tc>
          <w:tcPr>
            <w:tcW w:w="811" w:type="dxa"/>
            <w:tcBorders/>
            <w:shd w:fill="FFFFFF" w:val="clear"/>
            <w:vAlign w:val="center"/>
          </w:tcPr>
          <w:p>
            <w:pPr>
              <w:pStyle w:val="TableContents"/>
              <w:spacing w:before="0" w:after="283"/>
              <w:jc w:val="right"/>
              <w:rPr/>
            </w:pPr>
            <w:r>
              <w:rPr/>
              <w:t>4.7</w:t>
            </w:r>
          </w:p>
        </w:tc>
        <w:tc>
          <w:tcPr>
            <w:tcW w:w="290" w:type="dxa"/>
            <w:tcBorders/>
            <w:shd w:fill="FFFFFF" w:val="clear"/>
            <w:vAlign w:val="center"/>
          </w:tcPr>
          <w:p>
            <w:pPr>
              <w:pStyle w:val="TableContents"/>
              <w:spacing w:before="0" w:after="283"/>
              <w:rPr/>
            </w:pPr>
            <w:r>
              <w:rPr/>
              <w:t>%</w:t>
            </w:r>
          </w:p>
        </w:tc>
      </w:tr>
      <w:tr>
        <w:trPr/>
        <w:tc>
          <w:tcPr>
            <w:tcW w:w="4415" w:type="dxa"/>
            <w:tcBorders/>
            <w:shd w:fill="CCEEFF" w:val="clear"/>
            <w:vAlign w:val="center"/>
          </w:tcPr>
          <w:p>
            <w:pPr>
              <w:pStyle w:val="TableContents"/>
              <w:spacing w:before="0" w:after="283"/>
              <w:rPr/>
            </w:pPr>
            <w:r>
              <w:rPr/>
              <w:t xml:space="preserve">Total premiums earned </w:t>
            </w:r>
          </w:p>
        </w:tc>
        <w:tc>
          <w:tcPr>
            <w:tcW w:w="90" w:type="dxa"/>
            <w:tcBorders/>
            <w:shd w:fill="CCEEFF" w:val="clear"/>
            <w:vAlign w:val="center"/>
          </w:tcPr>
          <w:p>
            <w:pPr>
              <w:pStyle w:val="TableContents"/>
              <w:spacing w:before="0" w:after="0"/>
              <w:ind w:left="0" w:right="0" w:hanging="0"/>
              <w:rPr/>
            </w:pPr>
            <w:r>
              <w:rPr/>
              <w:t> </w:t>
            </w:r>
          </w:p>
        </w:tc>
        <w:tc>
          <w:tcPr>
            <w:tcW w:w="123" w:type="dxa"/>
            <w:tcBorders>
              <w:bottom w:val="double" w:sz="5" w:space="0" w:color="000000"/>
            </w:tcBorders>
            <w:shd w:fill="CCEEFF" w:val="clear"/>
            <w:tcMar>
              <w:bottom w:w="28" w:type="dxa"/>
            </w:tcMar>
            <w:vAlign w:val="center"/>
          </w:tcPr>
          <w:p>
            <w:pPr>
              <w:pStyle w:val="TableContents"/>
              <w:spacing w:before="0" w:after="0"/>
              <w:ind w:left="0" w:right="0" w:hanging="0"/>
              <w:rPr/>
            </w:pPr>
            <w:r>
              <w:rPr/>
              <w:t> </w:t>
            </w:r>
          </w:p>
        </w:tc>
        <w:tc>
          <w:tcPr>
            <w:tcW w:w="811" w:type="dxa"/>
            <w:tcBorders>
              <w:bottom w:val="double" w:sz="5" w:space="0" w:color="000000"/>
            </w:tcBorders>
            <w:shd w:fill="CCEEFF" w:val="clear"/>
            <w:tcMar>
              <w:bottom w:w="28" w:type="dxa"/>
            </w:tcMar>
            <w:vAlign w:val="center"/>
          </w:tcPr>
          <w:p>
            <w:pPr>
              <w:pStyle w:val="TableContents"/>
              <w:spacing w:before="0" w:after="283"/>
              <w:jc w:val="right"/>
              <w:rPr/>
            </w:pPr>
            <w:r>
              <w:rPr/>
              <w:t>100.0</w:t>
            </w:r>
          </w:p>
        </w:tc>
        <w:tc>
          <w:tcPr>
            <w:tcW w:w="336" w:type="dxa"/>
            <w:tcBorders/>
            <w:shd w:fill="CCEEFF" w:val="clear"/>
            <w:vAlign w:val="center"/>
          </w:tcPr>
          <w:p>
            <w:pPr>
              <w:pStyle w:val="TableContents"/>
              <w:spacing w:before="0" w:after="283"/>
              <w:rPr/>
            </w:pPr>
            <w:r>
              <w:rPr/>
              <w:t>%</w:t>
            </w:r>
          </w:p>
        </w:tc>
        <w:tc>
          <w:tcPr>
            <w:tcW w:w="123" w:type="dxa"/>
            <w:tcBorders/>
            <w:shd w:fill="CCEEFF" w:val="clear"/>
            <w:vAlign w:val="center"/>
          </w:tcPr>
          <w:p>
            <w:pPr>
              <w:pStyle w:val="TableContents"/>
              <w:spacing w:before="0" w:after="0"/>
              <w:ind w:left="0" w:right="0" w:hanging="0"/>
              <w:rPr/>
            </w:pPr>
            <w:r>
              <w:rPr/>
              <w:t> </w:t>
            </w:r>
          </w:p>
        </w:tc>
        <w:tc>
          <w:tcPr>
            <w:tcW w:w="123" w:type="dxa"/>
            <w:tcBorders>
              <w:bottom w:val="double" w:sz="5" w:space="0" w:color="000000"/>
            </w:tcBorders>
            <w:shd w:fill="CCEEFF" w:val="clear"/>
            <w:tcMar>
              <w:bottom w:w="28" w:type="dxa"/>
            </w:tcMar>
            <w:vAlign w:val="center"/>
          </w:tcPr>
          <w:p>
            <w:pPr>
              <w:pStyle w:val="TableContents"/>
              <w:spacing w:before="0" w:after="0"/>
              <w:ind w:left="0" w:right="0" w:hanging="0"/>
              <w:rPr/>
            </w:pPr>
            <w:r>
              <w:rPr/>
              <w:t> </w:t>
            </w:r>
          </w:p>
        </w:tc>
        <w:tc>
          <w:tcPr>
            <w:tcW w:w="811" w:type="dxa"/>
            <w:tcBorders>
              <w:bottom w:val="double" w:sz="5" w:space="0" w:color="000000"/>
            </w:tcBorders>
            <w:shd w:fill="CCEEFF" w:val="clear"/>
            <w:tcMar>
              <w:bottom w:w="28" w:type="dxa"/>
            </w:tcMar>
            <w:vAlign w:val="center"/>
          </w:tcPr>
          <w:p>
            <w:pPr>
              <w:pStyle w:val="TableContents"/>
              <w:spacing w:before="0" w:after="283"/>
              <w:jc w:val="right"/>
              <w:rPr/>
            </w:pPr>
            <w:r>
              <w:rPr/>
              <w:t>100.0</w:t>
            </w:r>
          </w:p>
        </w:tc>
        <w:tc>
          <w:tcPr>
            <w:tcW w:w="290" w:type="dxa"/>
            <w:tcBorders/>
            <w:shd w:fill="CCEEFF" w:val="clear"/>
            <w:vAlign w:val="center"/>
          </w:tcPr>
          <w:p>
            <w:pPr>
              <w:pStyle w:val="TableContents"/>
              <w:spacing w:before="0" w:after="283"/>
              <w:rPr/>
            </w:pPr>
            <w:r>
              <w:rPr/>
              <w:t>%</w:t>
            </w:r>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105"/>
        <w:gridCol w:w="264"/>
        <w:gridCol w:w="9836"/>
      </w:tblGrid>
      <w:tr>
        <w:trPr/>
        <w:tc>
          <w:tcPr>
            <w:tcW w:w="105" w:type="dxa"/>
            <w:tcBorders/>
            <w:shd w:fill="auto" w:val="clear"/>
            <w:vAlign w:val="center"/>
          </w:tcPr>
          <w:p>
            <w:pPr>
              <w:pStyle w:val="TableContents"/>
              <w:spacing w:before="0" w:after="0"/>
              <w:ind w:left="0" w:right="0" w:hanging="0"/>
              <w:rPr/>
            </w:pPr>
            <w:r>
              <w:rPr/>
              <w:t> </w:t>
            </w:r>
          </w:p>
        </w:tc>
        <w:tc>
          <w:tcPr>
            <w:tcW w:w="264"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836"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For the years ended December 31, 2022 and 2021, premiums earned not subject to concentration are comprised primarily of one line of business.</w:t>
            </w:r>
          </w:p>
        </w:tc>
      </w:tr>
    </w:tbl>
    <w:p>
      <w:pPr>
        <w:pStyle w:val="TextBody"/>
        <w:spacing w:before="0" w:after="0"/>
        <w:ind w:left="0" w:right="0" w:hanging="0"/>
        <w:rPr/>
      </w:pPr>
      <w:r>
        <w:rPr/>
        <w:t xml:space="preserve">  </w:t>
      </w:r>
    </w:p>
    <w:p>
      <w:pPr>
        <w:pStyle w:val="TextBody"/>
        <w:spacing w:before="0" w:after="0"/>
        <w:ind w:left="0" w:right="0" w:hanging="0"/>
        <w:rPr>
          <w:rFonts w:ascii="times new roman" w:hAnsi="times new roman"/>
          <w:sz w:val="20"/>
          <w:u w:val="single"/>
        </w:rPr>
      </w:pPr>
      <w:r>
        <w:rPr>
          <w:rFonts w:ascii="times new roman" w:hAnsi="times new roman"/>
          <w:sz w:val="20"/>
          <w:u w:val="single"/>
        </w:rPr>
        <w:t xml:space="preserve">Use of Estimates </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these estimates and assumptions, and includes the reserves for losses and LAE, which are subject to estimation errors due to the inherent uncertainty in projecting ultimate claim amounts that will be reported and settled over a period of many years. In addition, estimates and assumptions associated with receivables under reinsurance contracts related to contingent ceding commission revenue require judgments by management. On an ongoing basis, management reevaluates its assumptions and the methods for calculating these estimates. Actual results may differ significantly from the estimates used in preparing the consolidated financial statements.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Earnings (Loss) per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Basic earnings (loss) per common share is computed by dividing income available to common stockholders by the weighted-average number of common shares outstanding. Diluted earnings (loss) per common share reflects, in periods in which they have a dilutive effect, the impact of common shares issuable upon the exercise of stock options and warrants as well as non-vested restricted stock awards.  The computation of diluted earnings (loss) per share excludes those options and warrants with an exercise price in excess of the average market price of the Company’s common shares during the periods presented.  Additionally, the computation of diluted earnings (loss) per share excludes unvested restricted stock awards as calculated using the treasury stock method.  </w:t>
      </w:r>
    </w:p>
    <w:p>
      <w:pPr>
        <w:pStyle w:val="TextBody"/>
        <w:spacing w:before="0" w:after="0"/>
        <w:ind w:left="0" w:right="0" w:hanging="0"/>
        <w:rPr/>
      </w:pPr>
      <w:r>
        <w:rPr/>
        <w:t> </w:t>
      </w:r>
    </w:p>
    <w:p>
      <w:pPr>
        <w:pStyle w:val="TextBody"/>
        <w:spacing w:before="0" w:after="0"/>
        <w:ind w:left="0" w:right="0" w:hanging="0"/>
        <w:rPr>
          <w:rFonts w:ascii="times new roman" w:hAnsi="times new roman"/>
          <w:sz w:val="20"/>
          <w:u w:val="single"/>
        </w:rPr>
      </w:pPr>
      <w:r>
        <w:rPr>
          <w:rFonts w:ascii="times new roman" w:hAnsi="times new roman"/>
          <w:sz w:val="20"/>
          <w:u w:val="single"/>
        </w:rPr>
        <w:t>Advertising Costs</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Advertising costs are charged to operations as incurred. Advertising costs are included in other underwriting expenses in the accompanying consolidated statements of operations and comprehensive income (loss) and were approximately $114,000 and $110,000 for the years ended December 31, 2022 and 2021, respectively.</w:t>
      </w:r>
    </w:p>
    <w:p>
      <w:pPr>
        <w:pStyle w:val="TextBody"/>
        <w:spacing w:before="0" w:after="0"/>
        <w:ind w:left="0" w:right="0" w:hanging="0"/>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F-14</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2022 AND 2021</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20"/>
          <w:u w:val="single"/>
        </w:rPr>
      </w:pPr>
      <w:r>
        <w:rPr>
          <w:rFonts w:ascii="times new roman" w:hAnsi="times new roman"/>
          <w:sz w:val="20"/>
          <w:u w:val="single"/>
        </w:rPr>
        <w:t>Stock-based Compensation</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Stock-based compensation expense in 2022 and 2021 is the estimated fair value of restricted stock awards and options granted, amortized on a straight-line basis over the requisite service period for the entire portion of the award less an estimate for anticipated forfeitures. The Company uses the “simplified” method to estimate the expected term of the options because the Company’s historical share option exercise experience does not provide a reasonable basis upon which to estimate expected term.</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Warrants</w:t>
      </w:r>
    </w:p>
    <w:p>
      <w:pPr>
        <w:pStyle w:val="TextBody"/>
        <w:spacing w:before="0" w:after="0"/>
        <w:ind w:left="0" w:right="0" w:hanging="0"/>
        <w:jc w:val="both"/>
        <w:rPr/>
      </w:pPr>
      <w:r>
        <w:rPr/>
        <w:t> </w:t>
      </w:r>
    </w:p>
    <w:p>
      <w:pPr>
        <w:pStyle w:val="TextBody"/>
        <w:spacing w:before="0" w:after="0"/>
        <w:ind w:left="0" w:right="0" w:hanging="0"/>
        <w:jc w:val="both"/>
        <w:rPr/>
      </w:pPr>
      <w:r>
        <w:rPr>
          <w:rFonts w:ascii="times new roman" w:hAnsi="times new roman"/>
          <w:sz w:val="20"/>
        </w:rPr>
        <w:t>The Company’s outstanding issued warrants are accounted for as equity in accordance with ASC 480-10, </w:t>
      </w:r>
      <w:r>
        <w:rPr>
          <w:rStyle w:val="Emphasis"/>
          <w:rFonts w:ascii="times new roman" w:hAnsi="times new roman"/>
          <w:sz w:val="20"/>
        </w:rPr>
        <w:t xml:space="preserve">Accounting for Certain Financial Instruments with Characteristics of both Liabilities and Equity. The </w:t>
      </w:r>
      <w:r>
        <w:rPr>
          <w:rFonts w:ascii="times new roman" w:hAnsi="times new roman"/>
          <w:sz w:val="20"/>
        </w:rPr>
        <w:t>Company's warrants are accounted for at fair value on the issuance date with no changes in fair value recognized after the issuance date.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Compensated Absences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Employees of the Company are entitled to paid vacations, sick days, and other time off depending on job classification, length of service and other factors.  The Company has determined it is impracticable to estimate the amount of compensation of future absences and, accordingly, no liability has been recorded in the accompanying consolidated financial statements.  The Company’s policy is to recognize the cost of compensated absences when paid to employees.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Leases</w:t>
      </w:r>
    </w:p>
    <w:p>
      <w:pPr>
        <w:pStyle w:val="TextBody"/>
        <w:spacing w:before="0" w:after="0"/>
        <w:ind w:left="0" w:right="0" w:hanging="0"/>
        <w:rPr>
          <w:rFonts w:ascii="times new roman" w:hAnsi="times new roman"/>
          <w:sz w:val="20"/>
        </w:rPr>
      </w:pPr>
      <w:r>
        <w:rPr>
          <w:rFonts w:ascii="times new roman" w:hAnsi="times new roman"/>
          <w:sz w:val="20"/>
        </w:rPr>
        <w:t xml:space="preserve">The Company records operating leases in accordance with Accounting Standards Update (“ASU”) 2016-02 – Leases (Topic 842) (“ASU 2016-02”). Under ASU 2016-02, the Company recognized a right-of-use-asset and corresponding liability on the balance sheet for all leases, except for leases covering a period of fewer than 12 months. The liability has been measured at the present value of the future minimum lease payments taking into account renewal options if applicable plus initial incremental direct costs such as commissions. The minimum payments are discounted using the Company’s incremental borrowing rate. The right-of-use asset is amortized as rent expense on a straight-line basis.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Comprehensive Income (Loss)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Comprehensive income (loss) refers to revenues, expenses, gains and losses that are included in comprehensive income (loss) but are excluded from net income (loss) as these amounts are recorded directly as an adjustment to stockholders’ equity, primarily from changes in unrealized gains and losses on available-for-sale securities, net of the related income taxes.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Accounting Changes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determined that it was not subject to any new accounting pronouncements that became effective during the year ended December 31, 2022.  </w:t>
      </w:r>
    </w:p>
    <w:p>
      <w:pPr>
        <w:pStyle w:val="TextBody"/>
        <w:spacing w:before="0" w:after="0"/>
        <w:ind w:left="0" w:right="0" w:hanging="0"/>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F-15</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jc w:val="center"/>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2022 AND 2021</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 xml:space="preserve">Recent Accounting Pronouncements </w:t>
      </w:r>
    </w:p>
    <w:p>
      <w:pPr>
        <w:pStyle w:val="TextBody"/>
        <w:spacing w:before="0" w:after="0"/>
        <w:ind w:left="0" w:right="0" w:hanging="0"/>
        <w:rPr/>
      </w:pPr>
      <w:r>
        <w:rPr/>
        <w:t> </w:t>
      </w:r>
    </w:p>
    <w:p>
      <w:pPr>
        <w:pStyle w:val="TextBody"/>
        <w:rPr/>
      </w:pPr>
      <w:r>
        <w:rPr/>
        <w:t xml:space="preserve">In June 2016, the FASB issued ASU 2016-13 - Financial Instruments - Credit Losses (Topic 326): Measurement of Credit Losses on Financial Instruments (“ASU 2016-13”). The revised accounting guidance requires the measurement of all expected credit losses for financial assets held at the reporting date based on historical experience, current conditions, and reasonable and supportable forecasts and requires enhanced disclosures related to the significant estimates and judgments used in estimating credit losses, as well as the credit quality and underwriting standards of an organization’s portfolio. In addition, ASU 2016-13 amends the accounting for credit losses of available-for-sale debt securities and purchased financial assets with credit deterioration. ASU 2016-13 was effective for the Company on January 1, 2023. The Company has determined as of the date of adoption the updated guidance did not have a material impact on its consolidated financial statements. </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determined that all other recently issued accounting pronouncements will not have a material impact on its consolidated financial position, results of operations and cash flows, or do not apply to its operations.</w:t>
      </w:r>
    </w:p>
    <w:p>
      <w:pPr>
        <w:pStyle w:val="TextBody"/>
        <w:spacing w:before="0" w:after="0"/>
        <w:ind w:left="0" w:right="0" w:hanging="0"/>
        <w:rPr/>
      </w:pPr>
      <w:r>
        <w:rPr/>
        <w:t> </w:t>
      </w:r>
    </w:p>
    <w:p>
      <w:pPr>
        <w:pStyle w:val="TextBody"/>
        <w:spacing w:before="0" w:after="0"/>
        <w:ind w:left="0" w:right="0" w:hanging="0"/>
        <w:jc w:val="both"/>
        <w:rPr/>
      </w:pPr>
      <w:r>
        <w:rPr>
          <w:rStyle w:val="StrongEmphasis"/>
          <w:rFonts w:ascii="times new roman" w:hAnsi="times new roman"/>
          <w:sz w:val="20"/>
        </w:rPr>
        <w:t>Note 3 - Investments </w:t>
      </w:r>
    </w:p>
    <w:p>
      <w:pPr>
        <w:pStyle w:val="TextBody"/>
        <w:spacing w:before="0" w:after="0"/>
        <w:ind w:left="0" w:right="0" w:hanging="0"/>
        <w:rPr/>
      </w:pPr>
      <w:r>
        <w:rPr/>
        <w:t> </w:t>
      </w:r>
    </w:p>
    <w:p>
      <w:pPr>
        <w:pStyle w:val="TextBody"/>
        <w:spacing w:before="0" w:after="0"/>
        <w:ind w:left="0" w:right="0" w:hanging="0"/>
        <w:rPr>
          <w:rFonts w:ascii="times new roman" w:hAnsi="times new roman"/>
          <w:sz w:val="20"/>
          <w:u w:val="single"/>
        </w:rPr>
      </w:pPr>
      <w:r>
        <w:rPr>
          <w:rFonts w:ascii="times new roman" w:hAnsi="times new roman"/>
          <w:sz w:val="20"/>
          <w:u w:val="single"/>
        </w:rPr>
        <w:t>Fixed-Maturity Securities</w:t>
      </w:r>
    </w:p>
    <w:p>
      <w:pPr>
        <w:pStyle w:val="TextBody"/>
        <w:spacing w:before="0" w:after="0"/>
        <w:ind w:left="0" w:right="0" w:hanging="0"/>
        <w:rPr/>
      </w:pPr>
      <w:r>
        <w:rPr/>
        <w:t> </w:t>
      </w:r>
    </w:p>
    <w:p>
      <w:pPr>
        <w:pStyle w:val="TextBody"/>
        <w:spacing w:before="0" w:after="0"/>
        <w:ind w:left="0" w:right="0" w:hanging="0"/>
        <w:rPr>
          <w:rFonts w:ascii="times new roman" w:hAnsi="times new roman"/>
          <w:sz w:val="20"/>
        </w:rPr>
      </w:pPr>
      <w:r>
        <w:rPr>
          <w:rFonts w:ascii="times new roman" w:hAnsi="times new roman"/>
          <w:sz w:val="20"/>
        </w:rPr>
        <w:t>The amortized cost, estimated fair value, and unrealized gains and losses on investments in fixed-maturity securities classified as available-for-sale as of December 31, 2022 and 2021 are summarized as follows:</w:t>
      </w:r>
    </w:p>
    <w:p>
      <w:pPr>
        <w:pStyle w:val="TextBody"/>
        <w:spacing w:before="0" w:after="0"/>
        <w:ind w:left="0" w:right="0" w:hanging="0"/>
        <w:rPr/>
      </w:pPr>
      <w:r>
        <w:rPr/>
        <w:t> </w:t>
      </w:r>
    </w:p>
    <w:tbl>
      <w:tblPr>
        <w:tblW w:w="10440" w:type="dxa"/>
        <w:jc w:val="left"/>
        <w:tblInd w:w="0" w:type="dxa"/>
        <w:tblCellMar>
          <w:top w:w="0" w:type="dxa"/>
          <w:left w:w="0" w:type="dxa"/>
          <w:bottom w:w="0" w:type="dxa"/>
          <w:right w:w="0" w:type="dxa"/>
        </w:tblCellMar>
      </w:tblPr>
      <w:tblGrid>
        <w:gridCol w:w="1385"/>
        <w:gridCol w:w="90"/>
        <w:gridCol w:w="170"/>
        <w:gridCol w:w="1250"/>
        <w:gridCol w:w="90"/>
        <w:gridCol w:w="90"/>
        <w:gridCol w:w="189"/>
        <w:gridCol w:w="791"/>
        <w:gridCol w:w="90"/>
        <w:gridCol w:w="90"/>
        <w:gridCol w:w="170"/>
        <w:gridCol w:w="1085"/>
        <w:gridCol w:w="125"/>
        <w:gridCol w:w="90"/>
        <w:gridCol w:w="170"/>
        <w:gridCol w:w="1205"/>
        <w:gridCol w:w="125"/>
        <w:gridCol w:w="90"/>
        <w:gridCol w:w="170"/>
        <w:gridCol w:w="1250"/>
        <w:gridCol w:w="90"/>
        <w:gridCol w:w="90"/>
        <w:gridCol w:w="170"/>
        <w:gridCol w:w="1205"/>
        <w:gridCol w:w="170"/>
      </w:tblGrid>
      <w:tr>
        <w:trPr/>
        <w:tc>
          <w:tcPr>
            <w:tcW w:w="138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795" w:type="dxa"/>
            <w:gridSpan w:val="2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2022</w:t>
            </w:r>
          </w:p>
        </w:tc>
        <w:tc>
          <w:tcPr>
            <w:tcW w:w="170" w:type="dxa"/>
            <w:tcBorders/>
            <w:shd w:fill="auto" w:val="clear"/>
            <w:vAlign w:val="center"/>
          </w:tcPr>
          <w:p>
            <w:pPr>
              <w:pStyle w:val="TableContents"/>
              <w:spacing w:before="0" w:after="0"/>
              <w:ind w:left="0" w:right="0" w:hanging="0"/>
              <w:rPr/>
            </w:pPr>
            <w:r>
              <w:rPr/>
              <w:t> </w:t>
            </w:r>
          </w:p>
        </w:tc>
      </w:tr>
      <w:tr>
        <w:trPr/>
        <w:tc>
          <w:tcPr>
            <w:tcW w:w="138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Cost or  </w:t>
            </w:r>
          </w:p>
        </w:tc>
        <w:tc>
          <w:tcPr>
            <w:tcW w:w="90" w:type="dxa"/>
            <w:tcBorders/>
            <w:shd w:fill="auto" w:val="clear"/>
            <w:vAlign w:val="center"/>
          </w:tcPr>
          <w:p>
            <w:pPr>
              <w:pStyle w:val="TableContents"/>
              <w:spacing w:before="0" w:after="0"/>
              <w:ind w:left="0" w:right="0" w:hanging="0"/>
              <w:jc w:val="center"/>
              <w:rPr/>
            </w:pPr>
            <w:r>
              <w:rPr>
                <w:rStyle w:val="StrongEmphasis"/>
              </w:rPr>
              <w:t> </w:t>
            </w:r>
          </w:p>
        </w:tc>
        <w:tc>
          <w:tcPr>
            <w:tcW w:w="90" w:type="dxa"/>
            <w:tcBorders/>
            <w:shd w:fill="auto" w:val="clear"/>
            <w:vAlign w:val="center"/>
          </w:tcPr>
          <w:p>
            <w:pPr>
              <w:pStyle w:val="TableContents"/>
              <w:spacing w:before="0" w:after="0"/>
              <w:ind w:left="0" w:right="0" w:hanging="0"/>
              <w:jc w:val="center"/>
              <w:rPr/>
            </w:pPr>
            <w:r>
              <w:rPr>
                <w:rStyle w:val="StrongEmphasis"/>
              </w:rPr>
              <w:t> </w:t>
            </w:r>
          </w:p>
        </w:tc>
        <w:tc>
          <w:tcPr>
            <w:tcW w:w="98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Gross </w:t>
            </w:r>
          </w:p>
        </w:tc>
        <w:tc>
          <w:tcPr>
            <w:tcW w:w="90" w:type="dxa"/>
            <w:tcBorders/>
            <w:shd w:fill="auto" w:val="clear"/>
            <w:vAlign w:val="center"/>
          </w:tcPr>
          <w:p>
            <w:pPr>
              <w:pStyle w:val="TableContents"/>
              <w:spacing w:before="0" w:after="0"/>
              <w:ind w:left="0" w:right="0" w:hanging="0"/>
              <w:jc w:val="center"/>
              <w:rPr/>
            </w:pPr>
            <w:r>
              <w:rPr>
                <w:rStyle w:val="StrongEmphasis"/>
              </w:rPr>
              <w:t> </w:t>
            </w:r>
          </w:p>
        </w:tc>
        <w:tc>
          <w:tcPr>
            <w:tcW w:w="90" w:type="dxa"/>
            <w:tcBorders/>
            <w:shd w:fill="auto" w:val="clear"/>
            <w:vAlign w:val="center"/>
          </w:tcPr>
          <w:p>
            <w:pPr>
              <w:pStyle w:val="TableContents"/>
              <w:spacing w:before="0" w:after="0"/>
              <w:ind w:left="0" w:right="0" w:hanging="0"/>
              <w:jc w:val="center"/>
              <w:rPr/>
            </w:pPr>
            <w:r>
              <w:rPr>
                <w:rStyle w:val="StrongEmphasis"/>
              </w:rPr>
              <w:t> </w:t>
            </w:r>
          </w:p>
        </w:tc>
        <w:tc>
          <w:tcPr>
            <w:tcW w:w="2845"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Gross Unrealized Losses </w:t>
            </w:r>
          </w:p>
        </w:tc>
        <w:tc>
          <w:tcPr>
            <w:tcW w:w="125" w:type="dxa"/>
            <w:tcBorders/>
            <w:shd w:fill="auto" w:val="clear"/>
            <w:vAlign w:val="center"/>
          </w:tcPr>
          <w:p>
            <w:pPr>
              <w:pStyle w:val="TableContents"/>
              <w:spacing w:before="0" w:after="0"/>
              <w:ind w:left="0" w:right="0" w:hanging="0"/>
              <w:jc w:val="center"/>
              <w:rPr/>
            </w:pPr>
            <w:r>
              <w:rPr>
                <w:rStyle w:val="StrongEmphasis"/>
              </w:rPr>
              <w:t> </w:t>
            </w:r>
          </w:p>
        </w:tc>
        <w:tc>
          <w:tcPr>
            <w:tcW w:w="90" w:type="dxa"/>
            <w:tcBorders/>
            <w:shd w:fill="auto" w:val="clear"/>
            <w:vAlign w:val="center"/>
          </w:tcPr>
          <w:p>
            <w:pPr>
              <w:pStyle w:val="TableContents"/>
              <w:spacing w:before="0" w:after="0"/>
              <w:ind w:left="0" w:right="0" w:hanging="0"/>
              <w:jc w:val="center"/>
              <w:rPr/>
            </w:pPr>
            <w:r>
              <w:rPr>
                <w:rStyle w:val="StrongEmphasis"/>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Estimated </w:t>
            </w:r>
          </w:p>
        </w:tc>
        <w:tc>
          <w:tcPr>
            <w:tcW w:w="90" w:type="dxa"/>
            <w:tcBorders/>
            <w:shd w:fill="auto" w:val="clear"/>
            <w:vAlign w:val="center"/>
          </w:tcPr>
          <w:p>
            <w:pPr>
              <w:pStyle w:val="TableContents"/>
              <w:spacing w:before="0" w:after="0"/>
              <w:ind w:left="0" w:right="0" w:hanging="0"/>
              <w:jc w:val="center"/>
              <w:rPr/>
            </w:pPr>
            <w:r>
              <w:rPr>
                <w:rStyle w:val="StrongEmphasis"/>
              </w:rPr>
              <w:t> </w:t>
            </w:r>
          </w:p>
        </w:tc>
        <w:tc>
          <w:tcPr>
            <w:tcW w:w="90" w:type="dxa"/>
            <w:tcBorders/>
            <w:shd w:fill="auto" w:val="clear"/>
            <w:vAlign w:val="center"/>
          </w:tcPr>
          <w:p>
            <w:pPr>
              <w:pStyle w:val="TableContents"/>
              <w:spacing w:before="0" w:after="0"/>
              <w:ind w:left="0" w:right="0" w:hanging="0"/>
              <w:jc w:val="center"/>
              <w:rPr/>
            </w:pPr>
            <w:r>
              <w:rPr>
                <w:rStyle w:val="StrongEmphasis"/>
              </w:rPr>
              <w:t> </w:t>
            </w:r>
          </w:p>
        </w:tc>
        <w:tc>
          <w:tcPr>
            <w:tcW w:w="1375"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Net </w:t>
            </w:r>
          </w:p>
        </w:tc>
        <w:tc>
          <w:tcPr>
            <w:tcW w:w="170" w:type="dxa"/>
            <w:tcBorders/>
            <w:shd w:fill="auto" w:val="clear"/>
            <w:vAlign w:val="center"/>
          </w:tcPr>
          <w:p>
            <w:pPr>
              <w:pStyle w:val="TableContents"/>
              <w:spacing w:before="0" w:after="0"/>
              <w:ind w:left="0" w:right="0" w:hanging="0"/>
              <w:jc w:val="center"/>
              <w:rPr/>
            </w:pPr>
            <w:r>
              <w:rPr>
                <w:rStyle w:val="StrongEmphasis"/>
              </w:rPr>
              <w:t> </w:t>
            </w:r>
          </w:p>
        </w:tc>
      </w:tr>
      <w:tr>
        <w:trPr/>
        <w:tc>
          <w:tcPr>
            <w:tcW w:w="1385" w:type="dxa"/>
            <w:tcBorders/>
            <w:shd w:fill="auto" w:val="clear"/>
            <w:vAlign w:val="center"/>
          </w:tcPr>
          <w:p>
            <w:pPr>
              <w:pStyle w:val="TableContents"/>
              <w:spacing w:before="0" w:after="0"/>
              <w:ind w:left="0" w:right="0" w:hanging="0"/>
              <w:jc w:val="center"/>
              <w:rPr/>
            </w:pPr>
            <w:r>
              <w:rPr>
                <w:rStyle w:val="StrongEmphasis"/>
              </w:rPr>
              <w:t> </w:t>
            </w:r>
          </w:p>
        </w:tc>
        <w:tc>
          <w:tcPr>
            <w:tcW w:w="90" w:type="dxa"/>
            <w:tcBorders/>
            <w:shd w:fill="auto" w:val="clear"/>
            <w:vAlign w:val="center"/>
          </w:tcPr>
          <w:p>
            <w:pPr>
              <w:pStyle w:val="TableContents"/>
              <w:spacing w:before="0" w:after="0"/>
              <w:ind w:left="0" w:right="0" w:hanging="0"/>
              <w:jc w:val="center"/>
              <w:rPr/>
            </w:pPr>
            <w:r>
              <w:rPr>
                <w:rStyle w:val="StrongEmphasis"/>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Amortized </w:t>
            </w:r>
          </w:p>
        </w:tc>
        <w:tc>
          <w:tcPr>
            <w:tcW w:w="90" w:type="dxa"/>
            <w:tcBorders/>
            <w:shd w:fill="auto" w:val="clear"/>
            <w:vAlign w:val="center"/>
          </w:tcPr>
          <w:p>
            <w:pPr>
              <w:pStyle w:val="TableContents"/>
              <w:spacing w:before="0" w:after="0"/>
              <w:ind w:left="0" w:right="0" w:hanging="0"/>
              <w:jc w:val="center"/>
              <w:rPr/>
            </w:pPr>
            <w:r>
              <w:rPr>
                <w:rStyle w:val="StrongEmphasis"/>
              </w:rPr>
              <w:t> </w:t>
            </w:r>
          </w:p>
        </w:tc>
        <w:tc>
          <w:tcPr>
            <w:tcW w:w="90" w:type="dxa"/>
            <w:tcBorders/>
            <w:shd w:fill="auto" w:val="clear"/>
            <w:vAlign w:val="center"/>
          </w:tcPr>
          <w:p>
            <w:pPr>
              <w:pStyle w:val="TableContents"/>
              <w:spacing w:before="0" w:after="0"/>
              <w:ind w:left="0" w:right="0" w:hanging="0"/>
              <w:jc w:val="center"/>
              <w:rPr/>
            </w:pPr>
            <w:r>
              <w:rPr>
                <w:rStyle w:val="StrongEmphasis"/>
              </w:rPr>
              <w:t> </w:t>
            </w:r>
          </w:p>
        </w:tc>
        <w:tc>
          <w:tcPr>
            <w:tcW w:w="98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Unrealized </w:t>
            </w:r>
          </w:p>
        </w:tc>
        <w:tc>
          <w:tcPr>
            <w:tcW w:w="90" w:type="dxa"/>
            <w:tcBorders/>
            <w:shd w:fill="auto" w:val="clear"/>
            <w:vAlign w:val="center"/>
          </w:tcPr>
          <w:p>
            <w:pPr>
              <w:pStyle w:val="TableContents"/>
              <w:spacing w:before="0" w:after="0"/>
              <w:ind w:left="0" w:right="0" w:hanging="0"/>
              <w:jc w:val="center"/>
              <w:rPr/>
            </w:pPr>
            <w:r>
              <w:rPr>
                <w:rStyle w:val="StrongEmphasis"/>
              </w:rPr>
              <w:t> </w:t>
            </w:r>
          </w:p>
        </w:tc>
        <w:tc>
          <w:tcPr>
            <w:tcW w:w="90" w:type="dxa"/>
            <w:tcBorders/>
            <w:shd w:fill="auto" w:val="clear"/>
            <w:vAlign w:val="center"/>
          </w:tcPr>
          <w:p>
            <w:pPr>
              <w:pStyle w:val="TableContents"/>
              <w:spacing w:before="0" w:after="0"/>
              <w:ind w:left="0" w:right="0" w:hanging="0"/>
              <w:jc w:val="center"/>
              <w:rPr/>
            </w:pPr>
            <w:r>
              <w:rPr>
                <w:rStyle w:val="StrongEmphasis"/>
              </w:rPr>
              <w:t> </w:t>
            </w:r>
          </w:p>
        </w:tc>
        <w:tc>
          <w:tcPr>
            <w:tcW w:w="1255"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Less than 12 </w:t>
            </w:r>
          </w:p>
        </w:tc>
        <w:tc>
          <w:tcPr>
            <w:tcW w:w="125" w:type="dxa"/>
            <w:tcBorders/>
            <w:shd w:fill="auto" w:val="clear"/>
            <w:vAlign w:val="center"/>
          </w:tcPr>
          <w:p>
            <w:pPr>
              <w:pStyle w:val="TableContents"/>
              <w:spacing w:before="0" w:after="0"/>
              <w:ind w:left="0" w:right="0" w:hanging="0"/>
              <w:jc w:val="center"/>
              <w:rPr/>
            </w:pPr>
            <w:r>
              <w:rPr>
                <w:rStyle w:val="StrongEmphasis"/>
              </w:rPr>
              <w:t> </w:t>
            </w:r>
          </w:p>
        </w:tc>
        <w:tc>
          <w:tcPr>
            <w:tcW w:w="90" w:type="dxa"/>
            <w:tcBorders/>
            <w:shd w:fill="auto" w:val="clear"/>
            <w:vAlign w:val="center"/>
          </w:tcPr>
          <w:p>
            <w:pPr>
              <w:pStyle w:val="TableContents"/>
              <w:spacing w:before="0" w:after="0"/>
              <w:ind w:left="0" w:right="0" w:hanging="0"/>
              <w:jc w:val="center"/>
              <w:rPr/>
            </w:pPr>
            <w:r>
              <w:rPr>
                <w:rStyle w:val="StrongEmphasis"/>
              </w:rPr>
              <w:t> </w:t>
            </w:r>
          </w:p>
        </w:tc>
        <w:tc>
          <w:tcPr>
            <w:tcW w:w="1375"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More than 12 </w:t>
            </w:r>
          </w:p>
        </w:tc>
        <w:tc>
          <w:tcPr>
            <w:tcW w:w="125" w:type="dxa"/>
            <w:tcBorders/>
            <w:shd w:fill="auto" w:val="clear"/>
            <w:vAlign w:val="center"/>
          </w:tcPr>
          <w:p>
            <w:pPr>
              <w:pStyle w:val="TableContents"/>
              <w:spacing w:before="0" w:after="0"/>
              <w:ind w:left="0" w:right="0" w:hanging="0"/>
              <w:jc w:val="center"/>
              <w:rPr/>
            </w:pPr>
            <w:r>
              <w:rPr>
                <w:rStyle w:val="StrongEmphasis"/>
              </w:rPr>
              <w:t> </w:t>
            </w:r>
          </w:p>
        </w:tc>
        <w:tc>
          <w:tcPr>
            <w:tcW w:w="90" w:type="dxa"/>
            <w:tcBorders/>
            <w:shd w:fill="auto" w:val="clear"/>
            <w:vAlign w:val="center"/>
          </w:tcPr>
          <w:p>
            <w:pPr>
              <w:pStyle w:val="TableContents"/>
              <w:spacing w:before="0" w:after="0"/>
              <w:ind w:left="0" w:right="0" w:hanging="0"/>
              <w:jc w:val="center"/>
              <w:rPr/>
            </w:pPr>
            <w:r>
              <w:rPr>
                <w:rStyle w:val="StrongEmphasis"/>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Fair </w:t>
            </w:r>
          </w:p>
        </w:tc>
        <w:tc>
          <w:tcPr>
            <w:tcW w:w="90" w:type="dxa"/>
            <w:tcBorders/>
            <w:shd w:fill="auto" w:val="clear"/>
            <w:vAlign w:val="center"/>
          </w:tcPr>
          <w:p>
            <w:pPr>
              <w:pStyle w:val="TableContents"/>
              <w:spacing w:before="0" w:after="0"/>
              <w:ind w:left="0" w:right="0" w:hanging="0"/>
              <w:jc w:val="center"/>
              <w:rPr/>
            </w:pPr>
            <w:r>
              <w:rPr>
                <w:rStyle w:val="StrongEmphasis"/>
              </w:rPr>
              <w:t> </w:t>
            </w:r>
          </w:p>
        </w:tc>
        <w:tc>
          <w:tcPr>
            <w:tcW w:w="90" w:type="dxa"/>
            <w:tcBorders/>
            <w:shd w:fill="auto" w:val="clear"/>
            <w:vAlign w:val="center"/>
          </w:tcPr>
          <w:p>
            <w:pPr>
              <w:pStyle w:val="TableContents"/>
              <w:spacing w:before="0" w:after="0"/>
              <w:ind w:left="0" w:right="0" w:hanging="0"/>
              <w:jc w:val="center"/>
              <w:rPr/>
            </w:pPr>
            <w:r>
              <w:rPr>
                <w:rStyle w:val="StrongEmphasis"/>
              </w:rPr>
              <w:t> </w:t>
            </w:r>
          </w:p>
        </w:tc>
        <w:tc>
          <w:tcPr>
            <w:tcW w:w="1375"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Unrealized </w:t>
            </w:r>
          </w:p>
        </w:tc>
        <w:tc>
          <w:tcPr>
            <w:tcW w:w="170" w:type="dxa"/>
            <w:tcBorders/>
            <w:shd w:fill="auto" w:val="clear"/>
            <w:vAlign w:val="center"/>
          </w:tcPr>
          <w:p>
            <w:pPr>
              <w:pStyle w:val="TableContents"/>
              <w:spacing w:before="0" w:after="0"/>
              <w:ind w:left="0" w:right="0" w:hanging="0"/>
              <w:jc w:val="center"/>
              <w:rPr/>
            </w:pPr>
            <w:r>
              <w:rPr>
                <w:rStyle w:val="StrongEmphasis"/>
              </w:rPr>
              <w:t> </w:t>
            </w:r>
          </w:p>
        </w:tc>
      </w:tr>
      <w:tr>
        <w:trPr/>
        <w:tc>
          <w:tcPr>
            <w:tcW w:w="1385" w:type="dxa"/>
            <w:tcBorders>
              <w:bottom w:val="single" w:sz="8" w:space="0" w:color="000000"/>
            </w:tcBorders>
            <w:shd w:fill="auto" w:val="clear"/>
            <w:tcMar>
              <w:bottom w:w="28" w:type="dxa"/>
            </w:tcMar>
            <w:vAlign w:val="center"/>
          </w:tcPr>
          <w:p>
            <w:pPr>
              <w:pStyle w:val="TableContents"/>
              <w:spacing w:before="0" w:after="0"/>
              <w:ind w:left="0" w:right="0" w:hanging="0"/>
              <w:jc w:val="left"/>
              <w:rPr/>
            </w:pPr>
            <w:r>
              <w:rPr>
                <w:rStyle w:val="StrongEmphasis"/>
                <w:rFonts w:ascii="times new roman" w:hAnsi="times new roman"/>
                <w:sz w:val="20"/>
              </w:rPr>
              <w:t xml:space="preserve">Category </w:t>
            </w:r>
          </w:p>
        </w:tc>
        <w:tc>
          <w:tcPr>
            <w:tcW w:w="90" w:type="dxa"/>
            <w:tcBorders/>
            <w:shd w:fill="auto" w:val="clear"/>
            <w:vAlign w:val="center"/>
          </w:tcPr>
          <w:p>
            <w:pPr>
              <w:pStyle w:val="TableContents"/>
              <w:spacing w:before="0" w:after="0"/>
              <w:ind w:left="0" w:right="0" w:hanging="0"/>
              <w:jc w:val="center"/>
              <w:rPr/>
            </w:pPr>
            <w:r>
              <w:rPr>
                <w:rStyle w:val="StrongEmphasis"/>
              </w:rPr>
              <w:t> </w:t>
            </w:r>
          </w:p>
        </w:tc>
        <w:tc>
          <w:tcPr>
            <w:tcW w:w="142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Cost </w:t>
            </w:r>
          </w:p>
        </w:tc>
        <w:tc>
          <w:tcPr>
            <w:tcW w:w="90" w:type="dxa"/>
            <w:tcBorders/>
            <w:shd w:fill="auto" w:val="clear"/>
            <w:vAlign w:val="center"/>
          </w:tcPr>
          <w:p>
            <w:pPr>
              <w:pStyle w:val="TableContents"/>
              <w:spacing w:before="0" w:after="0"/>
              <w:ind w:left="0" w:right="0" w:hanging="0"/>
              <w:jc w:val="center"/>
              <w:rPr/>
            </w:pPr>
            <w:r>
              <w:rPr>
                <w:rStyle w:val="StrongEmphasis"/>
              </w:rPr>
              <w:t> </w:t>
            </w:r>
          </w:p>
        </w:tc>
        <w:tc>
          <w:tcPr>
            <w:tcW w:w="90" w:type="dxa"/>
            <w:tcBorders/>
            <w:shd w:fill="auto" w:val="clear"/>
            <w:vAlign w:val="center"/>
          </w:tcPr>
          <w:p>
            <w:pPr>
              <w:pStyle w:val="TableContents"/>
              <w:spacing w:before="0" w:after="0"/>
              <w:ind w:left="0" w:right="0" w:hanging="0"/>
              <w:jc w:val="center"/>
              <w:rPr/>
            </w:pPr>
            <w:r>
              <w:rPr>
                <w:rStyle w:val="StrongEmphasis"/>
              </w:rPr>
              <w:t> </w:t>
            </w:r>
          </w:p>
        </w:tc>
        <w:tc>
          <w:tcPr>
            <w:tcW w:w="98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Gains </w:t>
            </w:r>
          </w:p>
        </w:tc>
        <w:tc>
          <w:tcPr>
            <w:tcW w:w="90" w:type="dxa"/>
            <w:tcBorders/>
            <w:shd w:fill="auto" w:val="clear"/>
            <w:vAlign w:val="center"/>
          </w:tcPr>
          <w:p>
            <w:pPr>
              <w:pStyle w:val="TableContents"/>
              <w:spacing w:before="0" w:after="0"/>
              <w:ind w:left="0" w:right="0" w:hanging="0"/>
              <w:jc w:val="center"/>
              <w:rPr/>
            </w:pPr>
            <w:r>
              <w:rPr>
                <w:rStyle w:val="StrongEmphasis"/>
              </w:rPr>
              <w:t> </w:t>
            </w:r>
          </w:p>
        </w:tc>
        <w:tc>
          <w:tcPr>
            <w:tcW w:w="90" w:type="dxa"/>
            <w:tcBorders/>
            <w:shd w:fill="auto" w:val="clear"/>
            <w:vAlign w:val="center"/>
          </w:tcPr>
          <w:p>
            <w:pPr>
              <w:pStyle w:val="TableContents"/>
              <w:spacing w:before="0" w:after="0"/>
              <w:ind w:left="0" w:right="0" w:hanging="0"/>
              <w:jc w:val="center"/>
              <w:rPr/>
            </w:pPr>
            <w:r>
              <w:rPr>
                <w:rStyle w:val="StrongEmphasis"/>
              </w:rPr>
              <w:t> </w:t>
            </w:r>
          </w:p>
        </w:tc>
        <w:tc>
          <w:tcPr>
            <w:tcW w:w="1255"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Months </w:t>
            </w:r>
          </w:p>
        </w:tc>
        <w:tc>
          <w:tcPr>
            <w:tcW w:w="125" w:type="dxa"/>
            <w:tcBorders/>
            <w:shd w:fill="auto" w:val="clear"/>
            <w:vAlign w:val="center"/>
          </w:tcPr>
          <w:p>
            <w:pPr>
              <w:pStyle w:val="TableContents"/>
              <w:spacing w:before="0" w:after="0"/>
              <w:ind w:left="0" w:right="0" w:hanging="0"/>
              <w:jc w:val="center"/>
              <w:rPr/>
            </w:pPr>
            <w:r>
              <w:rPr>
                <w:rStyle w:val="StrongEmphasis"/>
              </w:rPr>
              <w:t> </w:t>
            </w:r>
          </w:p>
        </w:tc>
        <w:tc>
          <w:tcPr>
            <w:tcW w:w="90" w:type="dxa"/>
            <w:tcBorders/>
            <w:shd w:fill="auto" w:val="clear"/>
            <w:vAlign w:val="center"/>
          </w:tcPr>
          <w:p>
            <w:pPr>
              <w:pStyle w:val="TableContents"/>
              <w:spacing w:before="0" w:after="0"/>
              <w:ind w:left="0" w:right="0" w:hanging="0"/>
              <w:jc w:val="center"/>
              <w:rPr/>
            </w:pPr>
            <w:r>
              <w:rPr>
                <w:rStyle w:val="StrongEmphasis"/>
              </w:rPr>
              <w:t> </w:t>
            </w:r>
          </w:p>
        </w:tc>
        <w:tc>
          <w:tcPr>
            <w:tcW w:w="1375"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Months </w:t>
            </w:r>
          </w:p>
        </w:tc>
        <w:tc>
          <w:tcPr>
            <w:tcW w:w="125" w:type="dxa"/>
            <w:tcBorders/>
            <w:shd w:fill="auto" w:val="clear"/>
            <w:vAlign w:val="center"/>
          </w:tcPr>
          <w:p>
            <w:pPr>
              <w:pStyle w:val="TableContents"/>
              <w:spacing w:before="0" w:after="0"/>
              <w:ind w:left="0" w:right="0" w:hanging="0"/>
              <w:jc w:val="center"/>
              <w:rPr/>
            </w:pPr>
            <w:r>
              <w:rPr>
                <w:rStyle w:val="StrongEmphasis"/>
              </w:rPr>
              <w:t> </w:t>
            </w:r>
          </w:p>
        </w:tc>
        <w:tc>
          <w:tcPr>
            <w:tcW w:w="90" w:type="dxa"/>
            <w:tcBorders/>
            <w:shd w:fill="auto" w:val="clear"/>
            <w:vAlign w:val="center"/>
          </w:tcPr>
          <w:p>
            <w:pPr>
              <w:pStyle w:val="TableContents"/>
              <w:spacing w:before="0" w:after="0"/>
              <w:ind w:left="0" w:right="0" w:hanging="0"/>
              <w:jc w:val="center"/>
              <w:rPr/>
            </w:pPr>
            <w:r>
              <w:rPr>
                <w:rStyle w:val="StrongEmphasis"/>
              </w:rPr>
              <w:t> </w:t>
            </w:r>
          </w:p>
        </w:tc>
        <w:tc>
          <w:tcPr>
            <w:tcW w:w="142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Value </w:t>
            </w:r>
          </w:p>
        </w:tc>
        <w:tc>
          <w:tcPr>
            <w:tcW w:w="90" w:type="dxa"/>
            <w:tcBorders/>
            <w:shd w:fill="auto" w:val="clear"/>
            <w:vAlign w:val="center"/>
          </w:tcPr>
          <w:p>
            <w:pPr>
              <w:pStyle w:val="TableContents"/>
              <w:spacing w:before="0" w:after="0"/>
              <w:ind w:left="0" w:right="0" w:hanging="0"/>
              <w:jc w:val="center"/>
              <w:rPr/>
            </w:pPr>
            <w:r>
              <w:rPr>
                <w:rStyle w:val="StrongEmphasis"/>
              </w:rPr>
              <w:t> </w:t>
            </w:r>
          </w:p>
        </w:tc>
        <w:tc>
          <w:tcPr>
            <w:tcW w:w="90" w:type="dxa"/>
            <w:tcBorders/>
            <w:shd w:fill="auto" w:val="clear"/>
            <w:vAlign w:val="center"/>
          </w:tcPr>
          <w:p>
            <w:pPr>
              <w:pStyle w:val="TableContents"/>
              <w:spacing w:before="0" w:after="0"/>
              <w:ind w:left="0" w:right="0" w:hanging="0"/>
              <w:jc w:val="center"/>
              <w:rPr/>
            </w:pPr>
            <w:r>
              <w:rPr>
                <w:rStyle w:val="StrongEmphasis"/>
              </w:rPr>
              <w:t> </w:t>
            </w:r>
          </w:p>
        </w:tc>
        <w:tc>
          <w:tcPr>
            <w:tcW w:w="1375"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Losses </w:t>
            </w:r>
          </w:p>
        </w:tc>
        <w:tc>
          <w:tcPr>
            <w:tcW w:w="170" w:type="dxa"/>
            <w:tcBorders/>
            <w:shd w:fill="auto" w:val="clear"/>
            <w:vAlign w:val="center"/>
          </w:tcPr>
          <w:p>
            <w:pPr>
              <w:pStyle w:val="TableContents"/>
              <w:spacing w:before="0" w:after="0"/>
              <w:ind w:left="0" w:right="0" w:hanging="0"/>
              <w:rPr/>
            </w:pPr>
            <w:r>
              <w:rPr/>
              <w:t> </w:t>
            </w:r>
          </w:p>
        </w:tc>
      </w:tr>
      <w:tr>
        <w:trPr/>
        <w:tc>
          <w:tcPr>
            <w:tcW w:w="138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89" w:type="dxa"/>
            <w:tcBorders/>
            <w:shd w:fill="auto" w:val="clear"/>
            <w:vAlign w:val="center"/>
          </w:tcPr>
          <w:p>
            <w:pPr>
              <w:pStyle w:val="TableContents"/>
              <w:spacing w:before="0" w:after="0"/>
              <w:ind w:left="0" w:right="0" w:hanging="0"/>
              <w:rPr/>
            </w:pPr>
            <w:r>
              <w:rPr/>
              <w:t> </w:t>
            </w:r>
          </w:p>
        </w:tc>
        <w:tc>
          <w:tcPr>
            <w:tcW w:w="791"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0"/>
              <w:ind w:left="0" w:right="0" w:hanging="0"/>
              <w:rPr/>
            </w:pPr>
            <w:r>
              <w:rPr/>
              <w:t> </w:t>
            </w:r>
          </w:p>
        </w:tc>
      </w:tr>
      <w:tr>
        <w:trPr/>
        <w:tc>
          <w:tcPr>
            <w:tcW w:w="1385" w:type="dxa"/>
            <w:tcBorders/>
            <w:shd w:fill="auto" w:val="clear"/>
            <w:vAlign w:val="center"/>
          </w:tcPr>
          <w:p>
            <w:pPr>
              <w:pStyle w:val="TableContents"/>
              <w:spacing w:before="0" w:after="0"/>
              <w:ind w:left="0" w:right="0" w:hanging="0"/>
              <w:jc w:val="left"/>
              <w:rPr/>
            </w:pPr>
            <w:r>
              <w:rPr>
                <w:rStyle w:val="StrongEmphasis"/>
                <w:rFonts w:ascii="times new roman" w:hAnsi="times new roman"/>
                <w:sz w:val="20"/>
              </w:rPr>
              <w:t xml:space="preserve">Fixed-Maturity Securities: </w:t>
            </w:r>
          </w:p>
        </w:tc>
        <w:tc>
          <w:tcPr>
            <w:tcW w:w="90" w:type="dxa"/>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5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r>
      <w:tr>
        <w:trPr/>
        <w:tc>
          <w:tcPr>
            <w:tcW w:w="1385"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U.S. Treasury securities and obligations of U.S. government </w:t>
            </w:r>
          </w:p>
          <w:p>
            <w:pPr>
              <w:pStyle w:val="TableContents"/>
              <w:spacing w:before="0" w:after="0"/>
              <w:ind w:left="0" w:right="0" w:hanging="0"/>
              <w:jc w:val="left"/>
              <w:rPr>
                <w:rFonts w:ascii="times new roman" w:hAnsi="times new roman"/>
                <w:sz w:val="20"/>
              </w:rPr>
            </w:pPr>
            <w:r>
              <w:rPr>
                <w:rFonts w:ascii="times new roman" w:hAnsi="times new roman"/>
                <w:sz w:val="20"/>
              </w:rPr>
              <w:t xml:space="preserve">corporations and agencies (1)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23,874,545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9" w:type="dxa"/>
            <w:tcBorders/>
            <w:shd w:fill="CCEEFF" w:val="clear"/>
            <w:vAlign w:val="center"/>
          </w:tcPr>
          <w:p>
            <w:pPr>
              <w:pStyle w:val="TableContents"/>
              <w:spacing w:before="0" w:after="283"/>
              <w:rPr/>
            </w:pPr>
            <w:r>
              <w:rPr/>
              <w:t>$</w:t>
            </w:r>
          </w:p>
        </w:tc>
        <w:tc>
          <w:tcPr>
            <w:tcW w:w="791" w:type="dxa"/>
            <w:tcBorders/>
            <w:shd w:fill="CCEEFF" w:val="clear"/>
            <w:vAlign w:val="center"/>
          </w:tcPr>
          <w:p>
            <w:pPr>
              <w:pStyle w:val="TableContents"/>
              <w:spacing w:before="0" w:after="283"/>
              <w:jc w:val="right"/>
              <w:rPr/>
            </w:pPr>
            <w:r>
              <w:rPr/>
              <w:t>1,479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85" w:type="dxa"/>
            <w:tcBorders/>
            <w:shd w:fill="CCEEFF" w:val="clear"/>
            <w:vAlign w:val="center"/>
          </w:tcPr>
          <w:p>
            <w:pPr>
              <w:pStyle w:val="TableContents"/>
              <w:spacing w:before="0" w:after="283"/>
              <w:jc w:val="right"/>
              <w:rPr/>
            </w:pPr>
            <w:r>
              <w:rPr/>
              <w:t>(6,928</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05"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23,869,096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05" w:type="dxa"/>
            <w:tcBorders/>
            <w:shd w:fill="CCEEFF" w:val="clear"/>
            <w:vAlign w:val="center"/>
          </w:tcPr>
          <w:p>
            <w:pPr>
              <w:pStyle w:val="TableContents"/>
              <w:spacing w:before="0" w:after="283"/>
              <w:jc w:val="right"/>
              <w:rPr/>
            </w:pPr>
            <w:r>
              <w:rPr/>
              <w:t>(5,449</w:t>
            </w:r>
          </w:p>
        </w:tc>
        <w:tc>
          <w:tcPr>
            <w:tcW w:w="170" w:type="dxa"/>
            <w:tcBorders/>
            <w:shd w:fill="CCEEFF" w:val="clear"/>
            <w:vAlign w:val="center"/>
          </w:tcPr>
          <w:p>
            <w:pPr>
              <w:pStyle w:val="TableContents"/>
              <w:spacing w:before="0" w:after="283"/>
              <w:rPr/>
            </w:pPr>
            <w:r>
              <w:rPr/>
              <w:t>)</w:t>
            </w:r>
          </w:p>
        </w:tc>
      </w:tr>
      <w:tr>
        <w:trPr/>
        <w:tc>
          <w:tcPr>
            <w:tcW w:w="138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9" w:type="dxa"/>
            <w:tcBorders/>
            <w:shd w:fill="FFFFFF" w:val="clear"/>
            <w:vAlign w:val="center"/>
          </w:tcPr>
          <w:p>
            <w:pPr>
              <w:pStyle w:val="TableContents"/>
              <w:spacing w:before="0" w:after="0"/>
              <w:ind w:left="0" w:right="0" w:hanging="0"/>
              <w:rPr/>
            </w:pPr>
            <w:r>
              <w:rPr/>
              <w:t> </w:t>
            </w:r>
          </w:p>
        </w:tc>
        <w:tc>
          <w:tcPr>
            <w:tcW w:w="791"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8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1385"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Political subdivisions of States, Territories and Possessions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17,108,154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9" w:type="dxa"/>
            <w:tcBorders/>
            <w:shd w:fill="CCEEFF" w:val="clear"/>
            <w:vAlign w:val="center"/>
          </w:tcPr>
          <w:p>
            <w:pPr>
              <w:pStyle w:val="TableContents"/>
              <w:spacing w:before="0" w:after="0"/>
              <w:ind w:left="0" w:right="0" w:hanging="0"/>
              <w:rPr/>
            </w:pPr>
            <w:r>
              <w:rPr/>
              <w:t> </w:t>
            </w:r>
          </w:p>
        </w:tc>
        <w:tc>
          <w:tcPr>
            <w:tcW w:w="791"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85" w:type="dxa"/>
            <w:tcBorders/>
            <w:shd w:fill="CCEEFF" w:val="clear"/>
            <w:vAlign w:val="center"/>
          </w:tcPr>
          <w:p>
            <w:pPr>
              <w:pStyle w:val="TableContents"/>
              <w:spacing w:before="0" w:after="283"/>
              <w:jc w:val="right"/>
              <w:rPr/>
            </w:pPr>
            <w:r>
              <w:rPr/>
              <w:t>(2,195,273</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(1,771,494</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13,141,387</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(3,966,767</w:t>
            </w:r>
          </w:p>
        </w:tc>
        <w:tc>
          <w:tcPr>
            <w:tcW w:w="170" w:type="dxa"/>
            <w:tcBorders/>
            <w:shd w:fill="CCEEFF" w:val="clear"/>
            <w:vAlign w:val="center"/>
          </w:tcPr>
          <w:p>
            <w:pPr>
              <w:pStyle w:val="TableContents"/>
              <w:spacing w:before="0" w:after="283"/>
              <w:rPr/>
            </w:pPr>
            <w:r>
              <w:rPr/>
              <w:t>)</w:t>
            </w:r>
          </w:p>
        </w:tc>
      </w:tr>
      <w:tr>
        <w:trPr/>
        <w:tc>
          <w:tcPr>
            <w:tcW w:w="1385" w:type="dxa"/>
            <w:tcBorders/>
            <w:shd w:fill="FFFFFF" w:val="clear"/>
            <w:vAlign w:val="center"/>
          </w:tcPr>
          <w:p>
            <w:pPr>
              <w:pStyle w:val="TableContents"/>
              <w:spacing w:before="0" w:after="0"/>
              <w:ind w:left="0" w:right="0" w:hanging="0"/>
              <w:jc w:val="left"/>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9" w:type="dxa"/>
            <w:tcBorders/>
            <w:shd w:fill="FFFFFF" w:val="clear"/>
            <w:vAlign w:val="center"/>
          </w:tcPr>
          <w:p>
            <w:pPr>
              <w:pStyle w:val="TableContents"/>
              <w:spacing w:before="0" w:after="0"/>
              <w:ind w:left="0" w:right="0" w:hanging="0"/>
              <w:rPr/>
            </w:pPr>
            <w:r>
              <w:rPr/>
              <w:t> </w:t>
            </w:r>
          </w:p>
        </w:tc>
        <w:tc>
          <w:tcPr>
            <w:tcW w:w="791"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8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1385"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Corporate and other bonds Industrial and miscellaneous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80,338,464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9" w:type="dxa"/>
            <w:tcBorders/>
            <w:shd w:fill="CCEEFF" w:val="clear"/>
            <w:vAlign w:val="center"/>
          </w:tcPr>
          <w:p>
            <w:pPr>
              <w:pStyle w:val="TableContents"/>
              <w:spacing w:before="0" w:after="0"/>
              <w:ind w:left="0" w:right="0" w:hanging="0"/>
              <w:rPr/>
            </w:pPr>
            <w:r>
              <w:rPr/>
              <w:t> </w:t>
            </w:r>
          </w:p>
        </w:tc>
        <w:tc>
          <w:tcPr>
            <w:tcW w:w="791"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85" w:type="dxa"/>
            <w:tcBorders/>
            <w:shd w:fill="CCEEFF" w:val="clear"/>
            <w:vAlign w:val="center"/>
          </w:tcPr>
          <w:p>
            <w:pPr>
              <w:pStyle w:val="TableContents"/>
              <w:spacing w:before="0" w:after="283"/>
              <w:jc w:val="right"/>
              <w:rPr/>
            </w:pPr>
            <w:r>
              <w:rPr/>
              <w:t>(5,796,994</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(2,458,985</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72,082,485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(8,255,979</w:t>
            </w:r>
          </w:p>
        </w:tc>
        <w:tc>
          <w:tcPr>
            <w:tcW w:w="170" w:type="dxa"/>
            <w:tcBorders/>
            <w:shd w:fill="CCEEFF" w:val="clear"/>
            <w:vAlign w:val="center"/>
          </w:tcPr>
          <w:p>
            <w:pPr>
              <w:pStyle w:val="TableContents"/>
              <w:spacing w:before="0" w:after="283"/>
              <w:rPr/>
            </w:pPr>
            <w:r>
              <w:rPr/>
              <w:t>)</w:t>
            </w:r>
          </w:p>
        </w:tc>
      </w:tr>
      <w:tr>
        <w:trPr/>
        <w:tc>
          <w:tcPr>
            <w:tcW w:w="138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9" w:type="dxa"/>
            <w:tcBorders/>
            <w:shd w:fill="FFFFFF" w:val="clear"/>
            <w:vAlign w:val="center"/>
          </w:tcPr>
          <w:p>
            <w:pPr>
              <w:pStyle w:val="TableContents"/>
              <w:spacing w:before="0" w:after="0"/>
              <w:ind w:left="0" w:right="0" w:hanging="0"/>
              <w:rPr/>
            </w:pPr>
            <w:r>
              <w:rPr/>
              <w:t> </w:t>
            </w:r>
          </w:p>
        </w:tc>
        <w:tc>
          <w:tcPr>
            <w:tcW w:w="791"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8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1385"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Residential mortgage and other asset backed securities (2)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53,597,264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1" w:type="dxa"/>
            <w:tcBorders>
              <w:bottom w:val="single" w:sz="2" w:space="0" w:color="000000"/>
            </w:tcBorders>
            <w:shd w:fill="CCEEFF" w:val="clear"/>
            <w:tcMar>
              <w:bottom w:w="28" w:type="dxa"/>
            </w:tcMar>
            <w:vAlign w:val="center"/>
          </w:tcPr>
          <w:p>
            <w:pPr>
              <w:pStyle w:val="TableContents"/>
              <w:spacing w:before="0" w:after="283"/>
              <w:jc w:val="right"/>
              <w:rPr/>
            </w:pPr>
            <w:r>
              <w:rPr/>
              <w:t>58,398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85" w:type="dxa"/>
            <w:tcBorders>
              <w:bottom w:val="single" w:sz="2" w:space="0" w:color="000000"/>
            </w:tcBorders>
            <w:shd w:fill="CCEEFF" w:val="clear"/>
            <w:tcMar>
              <w:bottom w:w="28" w:type="dxa"/>
            </w:tcMar>
            <w:vAlign w:val="center"/>
          </w:tcPr>
          <w:p>
            <w:pPr>
              <w:pStyle w:val="TableContents"/>
              <w:spacing w:before="0" w:after="283"/>
              <w:jc w:val="right"/>
              <w:rPr/>
            </w:pPr>
            <w:r>
              <w:rPr/>
              <w:t>(882,664</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CCEEFF" w:val="clear"/>
            <w:tcMar>
              <w:bottom w:w="28" w:type="dxa"/>
            </w:tcMar>
            <w:vAlign w:val="center"/>
          </w:tcPr>
          <w:p>
            <w:pPr>
              <w:pStyle w:val="TableContents"/>
              <w:spacing w:before="0" w:after="283"/>
              <w:jc w:val="right"/>
              <w:rPr/>
            </w:pPr>
            <w:r>
              <w:rPr/>
              <w:t>(7,150,803</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45,622,195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CCEEFF" w:val="clear"/>
            <w:tcMar>
              <w:bottom w:w="28" w:type="dxa"/>
            </w:tcMar>
            <w:vAlign w:val="center"/>
          </w:tcPr>
          <w:p>
            <w:pPr>
              <w:pStyle w:val="TableContents"/>
              <w:spacing w:before="0" w:after="283"/>
              <w:jc w:val="right"/>
              <w:rPr/>
            </w:pPr>
            <w:r>
              <w:rPr/>
              <w:t>(7,975,069</w:t>
            </w:r>
          </w:p>
        </w:tc>
        <w:tc>
          <w:tcPr>
            <w:tcW w:w="170" w:type="dxa"/>
            <w:tcBorders/>
            <w:shd w:fill="CCEEFF" w:val="clear"/>
            <w:vAlign w:val="center"/>
          </w:tcPr>
          <w:p>
            <w:pPr>
              <w:pStyle w:val="TableContents"/>
              <w:spacing w:before="0" w:after="283"/>
              <w:rPr/>
            </w:pPr>
            <w:r>
              <w:rPr/>
              <w:t>)</w:t>
            </w:r>
          </w:p>
        </w:tc>
      </w:tr>
      <w:tr>
        <w:trPr/>
        <w:tc>
          <w:tcPr>
            <w:tcW w:w="1385"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Total fixed-maturity securities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5"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5" w:space="0" w:color="000000"/>
            </w:tcBorders>
            <w:shd w:fill="FFFFFF" w:val="clear"/>
            <w:tcMar>
              <w:bottom w:w="28" w:type="dxa"/>
            </w:tcMar>
            <w:vAlign w:val="center"/>
          </w:tcPr>
          <w:p>
            <w:pPr>
              <w:pStyle w:val="TableContents"/>
              <w:spacing w:before="0" w:after="283"/>
              <w:jc w:val="right"/>
              <w:rPr/>
            </w:pPr>
            <w:r>
              <w:rPr/>
              <w:t>174,918,427</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9" w:type="dxa"/>
            <w:tcBorders>
              <w:bottom w:val="double" w:sz="5" w:space="0" w:color="000000"/>
            </w:tcBorders>
            <w:shd w:fill="FFFFFF" w:val="clear"/>
            <w:tcMar>
              <w:bottom w:w="28" w:type="dxa"/>
            </w:tcMar>
            <w:vAlign w:val="center"/>
          </w:tcPr>
          <w:p>
            <w:pPr>
              <w:pStyle w:val="TableContents"/>
              <w:spacing w:before="0" w:after="283"/>
              <w:rPr/>
            </w:pPr>
            <w:r>
              <w:rPr/>
              <w:t>$</w:t>
            </w:r>
          </w:p>
        </w:tc>
        <w:tc>
          <w:tcPr>
            <w:tcW w:w="791" w:type="dxa"/>
            <w:tcBorders>
              <w:bottom w:val="double" w:sz="5" w:space="0" w:color="000000"/>
            </w:tcBorders>
            <w:shd w:fill="FFFFFF" w:val="clear"/>
            <w:tcMar>
              <w:bottom w:w="28" w:type="dxa"/>
            </w:tcMar>
            <w:vAlign w:val="center"/>
          </w:tcPr>
          <w:p>
            <w:pPr>
              <w:pStyle w:val="TableContents"/>
              <w:spacing w:before="0" w:after="283"/>
              <w:jc w:val="right"/>
              <w:rPr/>
            </w:pPr>
            <w:r>
              <w:rPr/>
              <w:t>59,877</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5" w:space="0" w:color="000000"/>
            </w:tcBorders>
            <w:shd w:fill="FFFFFF" w:val="clear"/>
            <w:tcMar>
              <w:bottom w:w="28" w:type="dxa"/>
            </w:tcMar>
            <w:vAlign w:val="center"/>
          </w:tcPr>
          <w:p>
            <w:pPr>
              <w:pStyle w:val="TableContents"/>
              <w:spacing w:before="0" w:after="283"/>
              <w:rPr/>
            </w:pPr>
            <w:r>
              <w:rPr/>
              <w:t>$</w:t>
            </w:r>
          </w:p>
        </w:tc>
        <w:tc>
          <w:tcPr>
            <w:tcW w:w="1085" w:type="dxa"/>
            <w:tcBorders>
              <w:bottom w:val="double" w:sz="5" w:space="0" w:color="000000"/>
            </w:tcBorders>
            <w:shd w:fill="FFFFFF" w:val="clear"/>
            <w:tcMar>
              <w:bottom w:w="28" w:type="dxa"/>
            </w:tcMar>
            <w:vAlign w:val="center"/>
          </w:tcPr>
          <w:p>
            <w:pPr>
              <w:pStyle w:val="TableContents"/>
              <w:spacing w:before="0" w:after="283"/>
              <w:jc w:val="right"/>
              <w:rPr/>
            </w:pPr>
            <w:r>
              <w:rPr/>
              <w:t>(8,881,859</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5" w:space="0" w:color="000000"/>
            </w:tcBorders>
            <w:shd w:fill="FFFFFF" w:val="clear"/>
            <w:tcMar>
              <w:bottom w:w="28" w:type="dxa"/>
            </w:tcMar>
            <w:vAlign w:val="center"/>
          </w:tcPr>
          <w:p>
            <w:pPr>
              <w:pStyle w:val="TableContents"/>
              <w:spacing w:before="0" w:after="283"/>
              <w:rPr/>
            </w:pPr>
            <w:r>
              <w:rPr/>
              <w:t>$</w:t>
            </w:r>
          </w:p>
        </w:tc>
        <w:tc>
          <w:tcPr>
            <w:tcW w:w="1205" w:type="dxa"/>
            <w:tcBorders>
              <w:bottom w:val="double" w:sz="5" w:space="0" w:color="000000"/>
            </w:tcBorders>
            <w:shd w:fill="FFFFFF" w:val="clear"/>
            <w:tcMar>
              <w:bottom w:w="28" w:type="dxa"/>
            </w:tcMar>
            <w:vAlign w:val="center"/>
          </w:tcPr>
          <w:p>
            <w:pPr>
              <w:pStyle w:val="TableContents"/>
              <w:spacing w:before="0" w:after="283"/>
              <w:jc w:val="right"/>
              <w:rPr/>
            </w:pPr>
            <w:r>
              <w:rPr/>
              <w:t>(11,381,282</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5"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5" w:space="0" w:color="000000"/>
            </w:tcBorders>
            <w:shd w:fill="FFFFFF" w:val="clear"/>
            <w:tcMar>
              <w:bottom w:w="28" w:type="dxa"/>
            </w:tcMar>
            <w:vAlign w:val="center"/>
          </w:tcPr>
          <w:p>
            <w:pPr>
              <w:pStyle w:val="TableContents"/>
              <w:spacing w:before="0" w:after="283"/>
              <w:jc w:val="right"/>
              <w:rPr/>
            </w:pPr>
            <w:r>
              <w:rPr/>
              <w:t>154,715,163</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5" w:space="0" w:color="000000"/>
            </w:tcBorders>
            <w:shd w:fill="FFFFFF" w:val="clear"/>
            <w:tcMar>
              <w:bottom w:w="28" w:type="dxa"/>
            </w:tcMar>
            <w:vAlign w:val="center"/>
          </w:tcPr>
          <w:p>
            <w:pPr>
              <w:pStyle w:val="TableContents"/>
              <w:spacing w:before="0" w:after="283"/>
              <w:rPr/>
            </w:pPr>
            <w:r>
              <w:rPr/>
              <w:t>$</w:t>
            </w:r>
          </w:p>
        </w:tc>
        <w:tc>
          <w:tcPr>
            <w:tcW w:w="1205" w:type="dxa"/>
            <w:tcBorders>
              <w:bottom w:val="double" w:sz="5" w:space="0" w:color="000000"/>
            </w:tcBorders>
            <w:shd w:fill="FFFFFF" w:val="clear"/>
            <w:tcMar>
              <w:bottom w:w="28" w:type="dxa"/>
            </w:tcMar>
            <w:vAlign w:val="center"/>
          </w:tcPr>
          <w:p>
            <w:pPr>
              <w:pStyle w:val="TableContents"/>
              <w:spacing w:before="0" w:after="283"/>
              <w:jc w:val="right"/>
              <w:rPr/>
            </w:pPr>
            <w:r>
              <w:rPr/>
              <w:t>(20,203,264</w:t>
            </w:r>
          </w:p>
        </w:tc>
        <w:tc>
          <w:tcPr>
            <w:tcW w:w="170" w:type="dxa"/>
            <w:tcBorders/>
            <w:shd w:fill="FFFFFF" w:val="clear"/>
            <w:vAlign w:val="center"/>
          </w:tcPr>
          <w:p>
            <w:pPr>
              <w:pStyle w:val="TableContents"/>
              <w:spacing w:before="0" w:after="283"/>
              <w:rPr/>
            </w:pPr>
            <w:r>
              <w:rPr/>
              <w:t>)</w:t>
            </w:r>
          </w:p>
        </w:tc>
      </w:tr>
    </w:tbl>
    <w:p>
      <w:pPr>
        <w:pStyle w:val="TextBody"/>
        <w:spacing w:before="0" w:after="0"/>
        <w:ind w:left="0" w:right="0" w:hanging="0"/>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F-16</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2022 AND 2021</w:t>
      </w:r>
    </w:p>
    <w:p>
      <w:pPr>
        <w:pStyle w:val="TextBody"/>
        <w:spacing w:before="0" w:after="0"/>
        <w:ind w:left="0" w:right="0" w:hanging="0"/>
        <w:jc w:val="center"/>
        <w:rPr/>
      </w:pPr>
      <w:r>
        <w:rPr/>
        <w:t>  </w:t>
      </w:r>
    </w:p>
    <w:tbl>
      <w:tblPr>
        <w:tblW w:w="10205" w:type="dxa"/>
        <w:jc w:val="left"/>
        <w:tblInd w:w="0" w:type="dxa"/>
        <w:tblCellMar>
          <w:top w:w="0" w:type="dxa"/>
          <w:left w:w="0" w:type="dxa"/>
          <w:bottom w:w="0" w:type="dxa"/>
          <w:right w:w="0" w:type="dxa"/>
        </w:tblCellMar>
      </w:tblPr>
      <w:tblGrid>
        <w:gridCol w:w="1482"/>
        <w:gridCol w:w="90"/>
        <w:gridCol w:w="170"/>
        <w:gridCol w:w="1250"/>
        <w:gridCol w:w="90"/>
        <w:gridCol w:w="90"/>
        <w:gridCol w:w="170"/>
        <w:gridCol w:w="1010"/>
        <w:gridCol w:w="90"/>
        <w:gridCol w:w="90"/>
        <w:gridCol w:w="173"/>
        <w:gridCol w:w="928"/>
        <w:gridCol w:w="125"/>
        <w:gridCol w:w="90"/>
        <w:gridCol w:w="188"/>
        <w:gridCol w:w="1003"/>
        <w:gridCol w:w="125"/>
        <w:gridCol w:w="90"/>
        <w:gridCol w:w="170"/>
        <w:gridCol w:w="1250"/>
        <w:gridCol w:w="90"/>
        <w:gridCol w:w="90"/>
        <w:gridCol w:w="170"/>
        <w:gridCol w:w="1010"/>
        <w:gridCol w:w="171"/>
      </w:tblGrid>
      <w:tr>
        <w:trPr/>
        <w:tc>
          <w:tcPr>
            <w:tcW w:w="1482"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462" w:type="dxa"/>
            <w:gridSpan w:val="2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2021</w:t>
            </w:r>
          </w:p>
        </w:tc>
        <w:tc>
          <w:tcPr>
            <w:tcW w:w="171" w:type="dxa"/>
            <w:tcBorders/>
            <w:shd w:fill="auto" w:val="clear"/>
            <w:vAlign w:val="center"/>
          </w:tcPr>
          <w:p>
            <w:pPr>
              <w:pStyle w:val="TableContents"/>
              <w:spacing w:before="0" w:after="0"/>
              <w:ind w:left="0" w:right="0" w:hanging="0"/>
              <w:rPr/>
            </w:pPr>
            <w:r>
              <w:rPr/>
              <w:t> </w:t>
            </w:r>
          </w:p>
        </w:tc>
      </w:tr>
      <w:tr>
        <w:trPr/>
        <w:tc>
          <w:tcPr>
            <w:tcW w:w="1482"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01"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91"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Net </w:t>
            </w:r>
          </w:p>
        </w:tc>
        <w:tc>
          <w:tcPr>
            <w:tcW w:w="171" w:type="dxa"/>
            <w:tcBorders/>
            <w:shd w:fill="auto" w:val="clear"/>
            <w:vAlign w:val="center"/>
          </w:tcPr>
          <w:p>
            <w:pPr>
              <w:pStyle w:val="TableContents"/>
              <w:spacing w:before="0" w:after="0"/>
              <w:ind w:left="0" w:right="0" w:hanging="0"/>
              <w:rPr/>
            </w:pPr>
            <w:r>
              <w:rPr/>
              <w:t> </w:t>
            </w:r>
          </w:p>
        </w:tc>
      </w:tr>
      <w:tr>
        <w:trPr/>
        <w:tc>
          <w:tcPr>
            <w:tcW w:w="1482"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Cost or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Gross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507"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Gross Unrealized Losses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Estimated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Unrealized  </w:t>
            </w:r>
          </w:p>
        </w:tc>
        <w:tc>
          <w:tcPr>
            <w:tcW w:w="171" w:type="dxa"/>
            <w:tcBorders/>
            <w:shd w:fill="auto" w:val="clear"/>
            <w:vAlign w:val="center"/>
          </w:tcPr>
          <w:p>
            <w:pPr>
              <w:pStyle w:val="TableContents"/>
              <w:spacing w:before="0" w:after="0"/>
              <w:ind w:left="0" w:right="0" w:hanging="0"/>
              <w:rPr/>
            </w:pPr>
            <w:r>
              <w:rPr/>
              <w:t> </w:t>
            </w:r>
          </w:p>
        </w:tc>
      </w:tr>
      <w:tr>
        <w:trPr/>
        <w:tc>
          <w:tcPr>
            <w:tcW w:w="1482"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Amortized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Unrealized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01"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Less than 12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91"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More than 12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Fair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Gains/ </w:t>
            </w:r>
          </w:p>
        </w:tc>
        <w:tc>
          <w:tcPr>
            <w:tcW w:w="171" w:type="dxa"/>
            <w:tcBorders/>
            <w:shd w:fill="auto" w:val="clear"/>
            <w:vAlign w:val="center"/>
          </w:tcPr>
          <w:p>
            <w:pPr>
              <w:pStyle w:val="TableContents"/>
              <w:spacing w:before="0" w:after="0"/>
              <w:ind w:left="0" w:right="0" w:hanging="0"/>
              <w:rPr/>
            </w:pPr>
            <w:r>
              <w:rPr/>
              <w:t> </w:t>
            </w:r>
          </w:p>
        </w:tc>
      </w:tr>
      <w:tr>
        <w:trPr/>
        <w:tc>
          <w:tcPr>
            <w:tcW w:w="1482"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Fonts w:ascii="times new roman" w:hAnsi="times new roman"/>
                <w:sz w:val="20"/>
              </w:rPr>
              <w:t xml:space="preserve">Category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Cost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Gains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0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Months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9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Months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Value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(Losses) </w:t>
            </w:r>
          </w:p>
        </w:tc>
        <w:tc>
          <w:tcPr>
            <w:tcW w:w="171" w:type="dxa"/>
            <w:tcBorders/>
            <w:shd w:fill="auto" w:val="clear"/>
            <w:vAlign w:val="center"/>
          </w:tcPr>
          <w:p>
            <w:pPr>
              <w:pStyle w:val="TableContents"/>
              <w:spacing w:before="0" w:after="0"/>
              <w:ind w:left="0" w:right="0" w:hanging="0"/>
              <w:rPr/>
            </w:pPr>
            <w:r>
              <w:rPr/>
              <w:t> </w:t>
            </w:r>
          </w:p>
        </w:tc>
      </w:tr>
      <w:tr>
        <w:trPr/>
        <w:tc>
          <w:tcPr>
            <w:tcW w:w="1482"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01"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91"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171" w:type="dxa"/>
            <w:tcBorders/>
            <w:shd w:fill="auto" w:val="clear"/>
            <w:vAlign w:val="center"/>
          </w:tcPr>
          <w:p>
            <w:pPr>
              <w:pStyle w:val="TableContents"/>
              <w:spacing w:before="0" w:after="0"/>
              <w:ind w:left="0" w:right="0" w:hanging="0"/>
              <w:rPr/>
            </w:pPr>
            <w:r>
              <w:rPr/>
              <w:t> </w:t>
            </w:r>
          </w:p>
        </w:tc>
      </w:tr>
      <w:tr>
        <w:trPr/>
        <w:tc>
          <w:tcPr>
            <w:tcW w:w="1482" w:type="dxa"/>
            <w:tcBorders/>
            <w:shd w:fill="auto" w:val="clear"/>
            <w:vAlign w:val="center"/>
          </w:tcPr>
          <w:p>
            <w:pPr>
              <w:pStyle w:val="TableContents"/>
              <w:spacing w:before="0" w:after="0"/>
              <w:ind w:left="0" w:right="0" w:hanging="0"/>
              <w:rPr/>
            </w:pPr>
            <w:r>
              <w:rPr>
                <w:rStyle w:val="StrongEmphasis"/>
                <w:rFonts w:ascii="times new roman" w:hAnsi="times new roman"/>
                <w:sz w:val="20"/>
              </w:rPr>
              <w:t xml:space="preserve">Fixed-Maturity Securities: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01"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91"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171" w:type="dxa"/>
            <w:tcBorders/>
            <w:shd w:fill="auto" w:val="clear"/>
            <w:vAlign w:val="center"/>
          </w:tcPr>
          <w:p>
            <w:pPr>
              <w:pStyle w:val="TableContents"/>
              <w:spacing w:before="0" w:after="0"/>
              <w:ind w:left="0" w:right="0" w:hanging="0"/>
              <w:rPr/>
            </w:pPr>
            <w:r>
              <w:rPr/>
              <w:t> </w:t>
            </w:r>
          </w:p>
        </w:tc>
      </w:tr>
      <w:tr>
        <w:trPr/>
        <w:tc>
          <w:tcPr>
            <w:tcW w:w="148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Political subdivisions of States, Territories and Possessions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17,236,750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246,748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3" w:type="dxa"/>
            <w:tcBorders/>
            <w:shd w:fill="CCEEFF" w:val="clear"/>
            <w:vAlign w:val="center"/>
          </w:tcPr>
          <w:p>
            <w:pPr>
              <w:pStyle w:val="TableContents"/>
              <w:spacing w:before="0" w:after="283"/>
              <w:rPr/>
            </w:pPr>
            <w:r>
              <w:rPr/>
              <w:t>$</w:t>
            </w:r>
          </w:p>
        </w:tc>
        <w:tc>
          <w:tcPr>
            <w:tcW w:w="928" w:type="dxa"/>
            <w:tcBorders/>
            <w:shd w:fill="CCEEFF" w:val="clear"/>
            <w:vAlign w:val="center"/>
          </w:tcPr>
          <w:p>
            <w:pPr>
              <w:pStyle w:val="TableContents"/>
              <w:spacing w:before="0" w:after="283"/>
              <w:jc w:val="right"/>
              <w:rPr/>
            </w:pPr>
            <w:r>
              <w:rPr/>
              <w:t>(197,984</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88" w:type="dxa"/>
            <w:tcBorders/>
            <w:shd w:fill="CCEEFF" w:val="clear"/>
            <w:vAlign w:val="center"/>
          </w:tcPr>
          <w:p>
            <w:pPr>
              <w:pStyle w:val="TableContents"/>
              <w:spacing w:before="0" w:after="283"/>
              <w:rPr/>
            </w:pPr>
            <w:r>
              <w:rPr/>
              <w:t>$</w:t>
            </w:r>
          </w:p>
        </w:tc>
        <w:tc>
          <w:tcPr>
            <w:tcW w:w="1003"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17,285,514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48,764</w:t>
            </w:r>
          </w:p>
        </w:tc>
        <w:tc>
          <w:tcPr>
            <w:tcW w:w="171" w:type="dxa"/>
            <w:tcBorders/>
            <w:shd w:fill="CCEEFF" w:val="clear"/>
            <w:vAlign w:val="center"/>
          </w:tcPr>
          <w:p>
            <w:pPr>
              <w:pStyle w:val="TableContents"/>
              <w:spacing w:before="0" w:after="0"/>
              <w:ind w:left="0" w:right="0" w:hanging="0"/>
              <w:rPr/>
            </w:pPr>
            <w:r>
              <w:rPr/>
              <w:t> </w:t>
            </w:r>
          </w:p>
        </w:tc>
      </w:tr>
      <w:tr>
        <w:trPr/>
        <w:tc>
          <w:tcPr>
            <w:tcW w:w="1482"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3" w:type="dxa"/>
            <w:tcBorders/>
            <w:shd w:fill="FFFFFF" w:val="clear"/>
            <w:vAlign w:val="center"/>
          </w:tcPr>
          <w:p>
            <w:pPr>
              <w:pStyle w:val="TableContents"/>
              <w:spacing w:before="0" w:after="0"/>
              <w:ind w:left="0" w:right="0" w:hanging="0"/>
              <w:rPr/>
            </w:pPr>
            <w:r>
              <w:rPr/>
              <w:t> </w:t>
            </w:r>
          </w:p>
        </w:tc>
        <w:tc>
          <w:tcPr>
            <w:tcW w:w="928"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8" w:type="dxa"/>
            <w:tcBorders/>
            <w:shd w:fill="FFFFFF" w:val="clear"/>
            <w:vAlign w:val="center"/>
          </w:tcPr>
          <w:p>
            <w:pPr>
              <w:pStyle w:val="TableContents"/>
              <w:spacing w:before="0" w:after="0"/>
              <w:ind w:left="0" w:right="0" w:hanging="0"/>
              <w:rPr/>
            </w:pPr>
            <w:r>
              <w:rPr/>
              <w:t> </w:t>
            </w:r>
          </w:p>
        </w:tc>
        <w:tc>
          <w:tcPr>
            <w:tcW w:w="1003"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171" w:type="dxa"/>
            <w:tcBorders/>
            <w:shd w:fill="FFFFFF" w:val="clear"/>
            <w:vAlign w:val="center"/>
          </w:tcPr>
          <w:p>
            <w:pPr>
              <w:pStyle w:val="TableContents"/>
              <w:spacing w:before="0" w:after="0"/>
              <w:ind w:left="0" w:right="0" w:hanging="0"/>
              <w:rPr/>
            </w:pPr>
            <w:r>
              <w:rPr/>
              <w:t> </w:t>
            </w:r>
          </w:p>
        </w:tc>
      </w:tr>
      <w:tr>
        <w:trPr/>
        <w:tc>
          <w:tcPr>
            <w:tcW w:w="148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Corporate and other bonds Industrial and miscellaneous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80,534,769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2,603,411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3" w:type="dxa"/>
            <w:tcBorders/>
            <w:shd w:fill="CCEEFF" w:val="clear"/>
            <w:vAlign w:val="center"/>
          </w:tcPr>
          <w:p>
            <w:pPr>
              <w:pStyle w:val="TableContents"/>
              <w:spacing w:before="0" w:after="0"/>
              <w:ind w:left="0" w:right="0" w:hanging="0"/>
              <w:rPr/>
            </w:pPr>
            <w:r>
              <w:rPr/>
              <w:t> </w:t>
            </w:r>
          </w:p>
        </w:tc>
        <w:tc>
          <w:tcPr>
            <w:tcW w:w="928" w:type="dxa"/>
            <w:tcBorders/>
            <w:shd w:fill="CCEEFF" w:val="clear"/>
            <w:vAlign w:val="center"/>
          </w:tcPr>
          <w:p>
            <w:pPr>
              <w:pStyle w:val="TableContents"/>
              <w:spacing w:before="0" w:after="283"/>
              <w:jc w:val="right"/>
              <w:rPr/>
            </w:pPr>
            <w:r>
              <w:rPr/>
              <w:t>(126,926</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88" w:type="dxa"/>
            <w:tcBorders/>
            <w:shd w:fill="CCEEFF" w:val="clear"/>
            <w:vAlign w:val="center"/>
          </w:tcPr>
          <w:p>
            <w:pPr>
              <w:pStyle w:val="TableContents"/>
              <w:spacing w:before="0" w:after="0"/>
              <w:ind w:left="0" w:right="0" w:hanging="0"/>
              <w:rPr/>
            </w:pPr>
            <w:r>
              <w:rPr/>
              <w:t> </w:t>
            </w:r>
          </w:p>
        </w:tc>
        <w:tc>
          <w:tcPr>
            <w:tcW w:w="1003"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83,011,254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2,476,485</w:t>
            </w:r>
          </w:p>
        </w:tc>
        <w:tc>
          <w:tcPr>
            <w:tcW w:w="171" w:type="dxa"/>
            <w:tcBorders/>
            <w:shd w:fill="CCEEFF" w:val="clear"/>
            <w:vAlign w:val="center"/>
          </w:tcPr>
          <w:p>
            <w:pPr>
              <w:pStyle w:val="TableContents"/>
              <w:spacing w:before="0" w:after="0"/>
              <w:ind w:left="0" w:right="0" w:hanging="0"/>
              <w:rPr/>
            </w:pPr>
            <w:r>
              <w:rPr/>
              <w:t> </w:t>
            </w:r>
          </w:p>
        </w:tc>
      </w:tr>
      <w:tr>
        <w:trPr/>
        <w:tc>
          <w:tcPr>
            <w:tcW w:w="1482"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3" w:type="dxa"/>
            <w:tcBorders/>
            <w:shd w:fill="FFFFFF" w:val="clear"/>
            <w:vAlign w:val="center"/>
          </w:tcPr>
          <w:p>
            <w:pPr>
              <w:pStyle w:val="TableContents"/>
              <w:spacing w:before="0" w:after="0"/>
              <w:ind w:left="0" w:right="0" w:hanging="0"/>
              <w:rPr/>
            </w:pPr>
            <w:r>
              <w:rPr/>
              <w:t> </w:t>
            </w:r>
          </w:p>
        </w:tc>
        <w:tc>
          <w:tcPr>
            <w:tcW w:w="928"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8" w:type="dxa"/>
            <w:tcBorders/>
            <w:shd w:fill="FFFFFF" w:val="clear"/>
            <w:vAlign w:val="center"/>
          </w:tcPr>
          <w:p>
            <w:pPr>
              <w:pStyle w:val="TableContents"/>
              <w:spacing w:before="0" w:after="0"/>
              <w:ind w:left="0" w:right="0" w:hanging="0"/>
              <w:rPr/>
            </w:pPr>
            <w:r>
              <w:rPr/>
              <w:t> </w:t>
            </w:r>
          </w:p>
        </w:tc>
        <w:tc>
          <w:tcPr>
            <w:tcW w:w="1003"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171" w:type="dxa"/>
            <w:tcBorders/>
            <w:shd w:fill="FFFFFF" w:val="clear"/>
            <w:vAlign w:val="center"/>
          </w:tcPr>
          <w:p>
            <w:pPr>
              <w:pStyle w:val="TableContents"/>
              <w:spacing w:before="0" w:after="0"/>
              <w:ind w:left="0" w:right="0" w:hanging="0"/>
              <w:rPr/>
            </w:pPr>
            <w:r>
              <w:rPr/>
              <w:t> </w:t>
            </w:r>
          </w:p>
        </w:tc>
      </w:tr>
      <w:tr>
        <w:trPr/>
        <w:tc>
          <w:tcPr>
            <w:tcW w:w="148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Residential mortgage and other asset backed securities</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58,036,959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355,985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3"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28" w:type="dxa"/>
            <w:tcBorders>
              <w:bottom w:val="single" w:sz="2" w:space="0" w:color="000000"/>
            </w:tcBorders>
            <w:shd w:fill="CCEEFF" w:val="clear"/>
            <w:tcMar>
              <w:bottom w:w="28" w:type="dxa"/>
            </w:tcMar>
            <w:vAlign w:val="center"/>
          </w:tcPr>
          <w:p>
            <w:pPr>
              <w:pStyle w:val="TableContents"/>
              <w:spacing w:before="0" w:after="283"/>
              <w:jc w:val="right"/>
              <w:rPr/>
            </w:pPr>
            <w:r>
              <w:rPr/>
              <w:t>(489,258</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8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03" w:type="dxa"/>
            <w:tcBorders>
              <w:bottom w:val="single" w:sz="2" w:space="0" w:color="000000"/>
            </w:tcBorders>
            <w:shd w:fill="CCEEFF" w:val="clear"/>
            <w:tcMar>
              <w:bottom w:w="28" w:type="dxa"/>
            </w:tcMar>
            <w:vAlign w:val="center"/>
          </w:tcPr>
          <w:p>
            <w:pPr>
              <w:pStyle w:val="TableContents"/>
              <w:spacing w:before="0" w:after="283"/>
              <w:jc w:val="right"/>
              <w:rPr/>
            </w:pPr>
            <w:r>
              <w:rPr/>
              <w:t>(120,344</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57,783,342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(253,617</w:t>
            </w:r>
          </w:p>
        </w:tc>
        <w:tc>
          <w:tcPr>
            <w:tcW w:w="171" w:type="dxa"/>
            <w:tcBorders/>
            <w:shd w:fill="CCEEFF" w:val="clear"/>
            <w:vAlign w:val="center"/>
          </w:tcPr>
          <w:p>
            <w:pPr>
              <w:pStyle w:val="TableContents"/>
              <w:spacing w:before="0" w:after="283"/>
              <w:rPr/>
            </w:pPr>
            <w:r>
              <w:rPr/>
              <w:t>)</w:t>
            </w:r>
          </w:p>
        </w:tc>
      </w:tr>
      <w:tr>
        <w:trPr/>
        <w:tc>
          <w:tcPr>
            <w:tcW w:w="1482"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Total fixed-maturity securities</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155,808,478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010" w:type="dxa"/>
            <w:tcBorders>
              <w:bottom w:val="double" w:sz="6" w:space="0" w:color="000000"/>
            </w:tcBorders>
            <w:shd w:fill="FFFFFF" w:val="clear"/>
            <w:tcMar>
              <w:bottom w:w="28" w:type="dxa"/>
            </w:tcMar>
            <w:vAlign w:val="center"/>
          </w:tcPr>
          <w:p>
            <w:pPr>
              <w:pStyle w:val="TableContents"/>
              <w:spacing w:before="0" w:after="283"/>
              <w:jc w:val="right"/>
              <w:rPr/>
            </w:pPr>
            <w:r>
              <w:rPr/>
              <w:t>3,206,144</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3" w:type="dxa"/>
            <w:tcBorders>
              <w:bottom w:val="double" w:sz="6" w:space="0" w:color="000000"/>
            </w:tcBorders>
            <w:shd w:fill="FFFFFF" w:val="clear"/>
            <w:tcMar>
              <w:bottom w:w="28" w:type="dxa"/>
            </w:tcMar>
            <w:vAlign w:val="center"/>
          </w:tcPr>
          <w:p>
            <w:pPr>
              <w:pStyle w:val="TableContents"/>
              <w:spacing w:before="0" w:after="283"/>
              <w:rPr/>
            </w:pPr>
            <w:r>
              <w:rPr/>
              <w:t>$</w:t>
            </w:r>
          </w:p>
        </w:tc>
        <w:tc>
          <w:tcPr>
            <w:tcW w:w="928" w:type="dxa"/>
            <w:tcBorders>
              <w:bottom w:val="double" w:sz="6" w:space="0" w:color="000000"/>
            </w:tcBorders>
            <w:shd w:fill="FFFFFF" w:val="clear"/>
            <w:tcMar>
              <w:bottom w:w="28" w:type="dxa"/>
            </w:tcMar>
            <w:vAlign w:val="center"/>
          </w:tcPr>
          <w:p>
            <w:pPr>
              <w:pStyle w:val="TableContents"/>
              <w:spacing w:before="0" w:after="283"/>
              <w:jc w:val="right"/>
              <w:rPr/>
            </w:pPr>
            <w:r>
              <w:rPr/>
              <w:t>(814,168</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88" w:type="dxa"/>
            <w:tcBorders>
              <w:bottom w:val="double" w:sz="6" w:space="0" w:color="000000"/>
            </w:tcBorders>
            <w:shd w:fill="FFFFFF" w:val="clear"/>
            <w:tcMar>
              <w:bottom w:w="28" w:type="dxa"/>
            </w:tcMar>
            <w:vAlign w:val="center"/>
          </w:tcPr>
          <w:p>
            <w:pPr>
              <w:pStyle w:val="TableContents"/>
              <w:spacing w:before="0" w:after="283"/>
              <w:rPr/>
            </w:pPr>
            <w:r>
              <w:rPr/>
              <w:t>$</w:t>
            </w:r>
          </w:p>
        </w:tc>
        <w:tc>
          <w:tcPr>
            <w:tcW w:w="1003" w:type="dxa"/>
            <w:tcBorders>
              <w:bottom w:val="double" w:sz="6" w:space="0" w:color="000000"/>
            </w:tcBorders>
            <w:shd w:fill="FFFFFF" w:val="clear"/>
            <w:tcMar>
              <w:bottom w:w="28" w:type="dxa"/>
            </w:tcMar>
            <w:vAlign w:val="center"/>
          </w:tcPr>
          <w:p>
            <w:pPr>
              <w:pStyle w:val="TableContents"/>
              <w:spacing w:before="0" w:after="283"/>
              <w:jc w:val="right"/>
              <w:rPr/>
            </w:pPr>
            <w:r>
              <w:rPr/>
              <w:t>(120,344</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158,080,110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010" w:type="dxa"/>
            <w:tcBorders>
              <w:bottom w:val="double" w:sz="6" w:space="0" w:color="000000"/>
            </w:tcBorders>
            <w:shd w:fill="FFFFFF" w:val="clear"/>
            <w:tcMar>
              <w:bottom w:w="28" w:type="dxa"/>
            </w:tcMar>
            <w:vAlign w:val="center"/>
          </w:tcPr>
          <w:p>
            <w:pPr>
              <w:pStyle w:val="TableContents"/>
              <w:spacing w:before="0" w:after="283"/>
              <w:jc w:val="right"/>
              <w:rPr/>
            </w:pPr>
            <w:r>
              <w:rPr/>
              <w:t>2,271,632</w:t>
            </w:r>
          </w:p>
        </w:tc>
        <w:tc>
          <w:tcPr>
            <w:tcW w:w="171" w:type="dxa"/>
            <w:tcBorders/>
            <w:shd w:fill="FFFFFF" w:val="clear"/>
            <w:vAlign w:val="center"/>
          </w:tcPr>
          <w:p>
            <w:pPr>
              <w:pStyle w:val="TableContents"/>
              <w:spacing w:before="0" w:after="0"/>
              <w:ind w:left="0" w:right="0" w:hanging="0"/>
              <w:rPr/>
            </w:pPr>
            <w:r>
              <w:rPr/>
              <w:t> </w:t>
            </w:r>
          </w:p>
        </w:tc>
      </w:tr>
    </w:tbl>
    <w:p>
      <w:pPr>
        <w:pStyle w:val="TextBody"/>
        <w:spacing w:before="0" w:after="0"/>
        <w:ind w:left="0" w:right="0" w:hanging="0"/>
        <w:rPr/>
      </w:pPr>
      <w:r>
        <w:rPr/>
        <w:t xml:space="preserve">  </w:t>
      </w:r>
    </w:p>
    <w:tbl>
      <w:tblPr>
        <w:tblW w:w="10205" w:type="dxa"/>
        <w:jc w:val="left"/>
        <w:tblInd w:w="0" w:type="dxa"/>
        <w:tblCellMar>
          <w:top w:w="0" w:type="dxa"/>
          <w:left w:w="0" w:type="dxa"/>
          <w:bottom w:w="0" w:type="dxa"/>
          <w:right w:w="0" w:type="dxa"/>
        </w:tblCellMar>
      </w:tblPr>
      <w:tblGrid>
        <w:gridCol w:w="105"/>
        <w:gridCol w:w="540"/>
        <w:gridCol w:w="9560"/>
      </w:tblGrid>
      <w:tr>
        <w:trPr/>
        <w:tc>
          <w:tcPr>
            <w:tcW w:w="105" w:type="dxa"/>
            <w:tcBorders/>
            <w:shd w:fill="auto" w:val="clear"/>
            <w:vAlign w:val="center"/>
          </w:tcPr>
          <w:p>
            <w:pPr>
              <w:pStyle w:val="TableContents"/>
              <w:spacing w:before="0" w:after="0"/>
              <w:ind w:left="0" w:right="0" w:hanging="0"/>
              <w:rPr/>
            </w:pPr>
            <w:r>
              <w:rPr/>
              <w:t> </w:t>
            </w:r>
          </w:p>
        </w:tc>
        <w:tc>
          <w:tcPr>
            <w:tcW w:w="540"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560"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In October 2022, KICO placed certain U.S. Treasury Bills as required collateral for a sale leaseback transaction in a designated custodian account (see Note 9 – Debt - “Equipment Financing”). As of December 31, 2022, the estimated fair value of the eligible collateral was approximately $11,457,000.</w:t>
            </w:r>
          </w:p>
        </w:tc>
      </w:tr>
      <w:tr>
        <w:trPr/>
        <w:tc>
          <w:tcPr>
            <w:tcW w:w="105" w:type="dxa"/>
            <w:tcBorders/>
            <w:shd w:fill="auto" w:val="clear"/>
            <w:vAlign w:val="center"/>
          </w:tcPr>
          <w:p>
            <w:pPr>
              <w:pStyle w:val="TableContents"/>
              <w:spacing w:before="0" w:after="0"/>
              <w:ind w:left="0" w:right="0" w:hanging="0"/>
              <w:rPr/>
            </w:pPr>
            <w:r>
              <w:rPr/>
              <w:t> </w:t>
            </w:r>
          </w:p>
        </w:tc>
        <w:tc>
          <w:tcPr>
            <w:tcW w:w="540" w:type="dxa"/>
            <w:tcBorders/>
            <w:shd w:fill="auto" w:val="clear"/>
            <w:vAlign w:val="center"/>
          </w:tcPr>
          <w:p>
            <w:pPr>
              <w:pStyle w:val="TableContents"/>
              <w:spacing w:before="0" w:after="0"/>
              <w:ind w:left="0" w:right="0" w:firstLine="450"/>
              <w:rPr/>
            </w:pPr>
            <w:r>
              <w:rPr/>
              <w:t> </w:t>
            </w:r>
          </w:p>
        </w:tc>
        <w:tc>
          <w:tcPr>
            <w:tcW w:w="9560" w:type="dxa"/>
            <w:tcBorders/>
            <w:shd w:fill="auto" w:val="clear"/>
            <w:vAlign w:val="center"/>
          </w:tcPr>
          <w:p>
            <w:pPr>
              <w:pStyle w:val="TableContents"/>
              <w:spacing w:before="0" w:after="0"/>
              <w:ind w:left="0" w:right="0" w:hanging="0"/>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540"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560"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KICO has placed certain residential mortgage backed securities as eligible collateral in a designated custodian account related to its membership in the Federal Home Loan Bank of New York (“FHLBNY”) (see Note 9 – Debt – “Federal Home Loan Bank”). The eligible collateral would be pledged to FHLBNY if KICO draws an advance from the FHLBNY credit line. As of December 31, 2022, the estimated fair value of the eligible investments was approximately $12,228,000. KICO will retain all rights regarding all securities if pledged as collateral. As of December 31, 2022 and 2021 there was no outstanding balance on the FHLBNY credit line.</w:t>
            </w:r>
          </w:p>
        </w:tc>
      </w:tr>
    </w:tbl>
    <w:p>
      <w:pPr>
        <w:pStyle w:val="TextBody"/>
        <w:spacing w:before="0" w:after="0"/>
        <w:ind w:left="0" w:right="0" w:hanging="0"/>
        <w:rPr/>
      </w:pPr>
      <w:r>
        <w:rPr/>
        <w:t xml:space="preserve">  </w:t>
      </w:r>
    </w:p>
    <w:p>
      <w:pPr>
        <w:pStyle w:val="TextBody"/>
        <w:spacing w:before="0" w:after="0"/>
        <w:ind w:left="0" w:right="0" w:hanging="0"/>
        <w:jc w:val="both"/>
        <w:rPr>
          <w:rFonts w:ascii="times new roman" w:hAnsi="times new roman"/>
          <w:sz w:val="20"/>
        </w:rPr>
      </w:pPr>
      <w:r>
        <w:rPr>
          <w:rFonts w:ascii="times new roman" w:hAnsi="times new roman"/>
          <w:sz w:val="20"/>
        </w:rPr>
        <w:t>A summary of the amortized cost and estimated fair value of the Company’s investments in available-for-sale fixed-maturity securities by contractual maturity as of December 31, 2022 and 2021 is shown below:</w:t>
      </w:r>
    </w:p>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3760"/>
        <w:gridCol w:w="90"/>
        <w:gridCol w:w="170"/>
        <w:gridCol w:w="1250"/>
        <w:gridCol w:w="90"/>
        <w:gridCol w:w="90"/>
        <w:gridCol w:w="170"/>
        <w:gridCol w:w="1250"/>
        <w:gridCol w:w="90"/>
        <w:gridCol w:w="90"/>
        <w:gridCol w:w="170"/>
        <w:gridCol w:w="1250"/>
        <w:gridCol w:w="90"/>
        <w:gridCol w:w="90"/>
        <w:gridCol w:w="170"/>
        <w:gridCol w:w="1250"/>
        <w:gridCol w:w="135"/>
      </w:tblGrid>
      <w:tr>
        <w:trPr/>
        <w:tc>
          <w:tcPr>
            <w:tcW w:w="376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020" w:type="dxa"/>
            <w:gridSpan w:val="6"/>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2022</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3020" w:type="dxa"/>
            <w:gridSpan w:val="6"/>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2021</w:t>
            </w:r>
          </w:p>
        </w:tc>
        <w:tc>
          <w:tcPr>
            <w:tcW w:w="135" w:type="dxa"/>
            <w:tcBorders/>
            <w:shd w:fill="auto" w:val="clear"/>
            <w:vAlign w:val="center"/>
          </w:tcPr>
          <w:p>
            <w:pPr>
              <w:pStyle w:val="TableContents"/>
              <w:spacing w:before="0" w:after="0"/>
              <w:ind w:left="0" w:right="0" w:hanging="0"/>
              <w:rPr/>
            </w:pPr>
            <w:r>
              <w:rPr>
                <w:rStyle w:val="StrongEmphasis"/>
              </w:rPr>
              <w:t> </w:t>
            </w:r>
          </w:p>
        </w:tc>
      </w:tr>
      <w:tr>
        <w:trPr/>
        <w:tc>
          <w:tcPr>
            <w:tcW w:w="376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Amortized</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Estimated</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Amortized</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Estimated</w:t>
            </w:r>
          </w:p>
        </w:tc>
        <w:tc>
          <w:tcPr>
            <w:tcW w:w="135" w:type="dxa"/>
            <w:tcBorders/>
            <w:shd w:fill="auto" w:val="clear"/>
            <w:vAlign w:val="center"/>
          </w:tcPr>
          <w:p>
            <w:pPr>
              <w:pStyle w:val="TableContents"/>
              <w:spacing w:before="0" w:after="0"/>
              <w:ind w:left="0" w:right="0" w:hanging="0"/>
              <w:rPr/>
            </w:pPr>
            <w:r>
              <w:rPr>
                <w:rStyle w:val="StrongEmphasis"/>
              </w:rPr>
              <w:t> </w:t>
            </w:r>
          </w:p>
        </w:tc>
      </w:tr>
      <w:tr>
        <w:trPr/>
        <w:tc>
          <w:tcPr>
            <w:tcW w:w="3760" w:type="dxa"/>
            <w:tcBorders>
              <w:bottom w:val="single" w:sz="8" w:space="0" w:color="000000"/>
            </w:tcBorders>
            <w:shd w:fill="auto" w:val="clear"/>
            <w:tcMar>
              <w:bottom w:w="28" w:type="dxa"/>
            </w:tcMar>
            <w:vAlign w:val="center"/>
          </w:tcPr>
          <w:p>
            <w:pPr>
              <w:pStyle w:val="TableContents"/>
              <w:spacing w:before="0" w:after="0"/>
              <w:ind w:left="0" w:right="0" w:hanging="0"/>
              <w:jc w:val="left"/>
              <w:rPr/>
            </w:pPr>
            <w:r>
              <w:rPr>
                <w:rStyle w:val="StrongEmphasis"/>
                <w:rFonts w:ascii="times new roman" w:hAnsi="times new roman"/>
                <w:sz w:val="20"/>
              </w:rPr>
              <w:t xml:space="preserve">Remaining Time to Maturity </w:t>
            </w:r>
          </w:p>
        </w:tc>
        <w:tc>
          <w:tcPr>
            <w:tcW w:w="90" w:type="dxa"/>
            <w:tcBorders/>
            <w:shd w:fill="auto" w:val="clear"/>
            <w:vAlign w:val="center"/>
          </w:tcPr>
          <w:p>
            <w:pPr>
              <w:pStyle w:val="TableContents"/>
              <w:spacing w:before="0" w:after="0"/>
              <w:ind w:left="0" w:right="0" w:hanging="0"/>
              <w:rPr/>
            </w:pPr>
            <w:r>
              <w:rPr>
                <w:rStyle w:val="StrongEmphasis"/>
              </w:rPr>
              <w:t> </w:t>
            </w:r>
          </w:p>
        </w:tc>
        <w:tc>
          <w:tcPr>
            <w:tcW w:w="142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Cost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42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Fair Value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42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Cost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42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Fair Value </w:t>
            </w:r>
          </w:p>
        </w:tc>
        <w:tc>
          <w:tcPr>
            <w:tcW w:w="135" w:type="dxa"/>
            <w:tcBorders/>
            <w:shd w:fill="auto" w:val="clear"/>
            <w:vAlign w:val="center"/>
          </w:tcPr>
          <w:p>
            <w:pPr>
              <w:pStyle w:val="TableContents"/>
              <w:spacing w:before="0" w:after="0"/>
              <w:ind w:left="0" w:right="0" w:hanging="0"/>
              <w:rPr/>
            </w:pPr>
            <w:r>
              <w:rPr/>
              <w:t> </w:t>
            </w:r>
          </w:p>
        </w:tc>
      </w:tr>
      <w:tr>
        <w:trPr/>
        <w:tc>
          <w:tcPr>
            <w:tcW w:w="376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3760"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Less than one year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16,359,100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16,307,991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1,153,099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1,156,636</w:t>
            </w:r>
          </w:p>
        </w:tc>
        <w:tc>
          <w:tcPr>
            <w:tcW w:w="135" w:type="dxa"/>
            <w:tcBorders/>
            <w:shd w:fill="CCEEFF" w:val="clear"/>
            <w:vAlign w:val="center"/>
          </w:tcPr>
          <w:p>
            <w:pPr>
              <w:pStyle w:val="TableContents"/>
              <w:spacing w:before="0" w:after="0"/>
              <w:ind w:left="0" w:right="0" w:hanging="0"/>
              <w:rPr/>
            </w:pPr>
            <w:r>
              <w:rPr/>
              <w:t> </w:t>
            </w:r>
          </w:p>
        </w:tc>
      </w:tr>
      <w:tr>
        <w:trPr/>
        <w:tc>
          <w:tcPr>
            <w:tcW w:w="3760"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One to five years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18,605,987</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14,085,113</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43,007,110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44,914,759</w:t>
            </w:r>
          </w:p>
        </w:tc>
        <w:tc>
          <w:tcPr>
            <w:tcW w:w="135" w:type="dxa"/>
            <w:tcBorders/>
            <w:shd w:fill="FFFFFF" w:val="clear"/>
            <w:vAlign w:val="center"/>
          </w:tcPr>
          <w:p>
            <w:pPr>
              <w:pStyle w:val="TableContents"/>
              <w:spacing w:before="0" w:after="0"/>
              <w:ind w:left="0" w:right="0" w:hanging="0"/>
              <w:rPr/>
            </w:pPr>
            <w:r>
              <w:rPr/>
              <w:t> </w:t>
            </w:r>
          </w:p>
        </w:tc>
      </w:tr>
      <w:tr>
        <w:trPr/>
        <w:tc>
          <w:tcPr>
            <w:tcW w:w="3760"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Five to ten years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54,559,158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52,230,283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26,808,853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27,332,581</w:t>
            </w:r>
          </w:p>
        </w:tc>
        <w:tc>
          <w:tcPr>
            <w:tcW w:w="135" w:type="dxa"/>
            <w:tcBorders/>
            <w:shd w:fill="CCEEFF" w:val="clear"/>
            <w:vAlign w:val="center"/>
          </w:tcPr>
          <w:p>
            <w:pPr>
              <w:pStyle w:val="TableContents"/>
              <w:spacing w:before="0" w:after="0"/>
              <w:ind w:left="0" w:right="0" w:hanging="0"/>
              <w:rPr/>
            </w:pPr>
            <w:r>
              <w:rPr/>
              <w:t> </w:t>
            </w:r>
          </w:p>
        </w:tc>
      </w:tr>
      <w:tr>
        <w:trPr/>
        <w:tc>
          <w:tcPr>
            <w:tcW w:w="3760"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More than 10 years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31,796,918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26,469,581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26,802,457</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26,892,792</w:t>
            </w:r>
          </w:p>
        </w:tc>
        <w:tc>
          <w:tcPr>
            <w:tcW w:w="135" w:type="dxa"/>
            <w:tcBorders/>
            <w:shd w:fill="FFFFFF" w:val="clear"/>
            <w:vAlign w:val="center"/>
          </w:tcPr>
          <w:p>
            <w:pPr>
              <w:pStyle w:val="TableContents"/>
              <w:spacing w:before="0" w:after="0"/>
              <w:ind w:left="0" w:right="0" w:hanging="0"/>
              <w:rPr/>
            </w:pPr>
            <w:r>
              <w:rPr/>
              <w:t> </w:t>
            </w:r>
          </w:p>
        </w:tc>
      </w:tr>
      <w:tr>
        <w:trPr/>
        <w:tc>
          <w:tcPr>
            <w:tcW w:w="3760"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Residential mortgage and other asset backed securities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53,597,264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45,622,195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58,036,959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57,783,342</w:t>
            </w:r>
          </w:p>
        </w:tc>
        <w:tc>
          <w:tcPr>
            <w:tcW w:w="135" w:type="dxa"/>
            <w:tcBorders/>
            <w:shd w:fill="CCEEFF" w:val="clear"/>
            <w:vAlign w:val="center"/>
          </w:tcPr>
          <w:p>
            <w:pPr>
              <w:pStyle w:val="TableContents"/>
              <w:spacing w:before="0" w:after="0"/>
              <w:ind w:left="0" w:right="0" w:hanging="0"/>
              <w:rPr/>
            </w:pPr>
            <w:r>
              <w:rPr/>
              <w:t> </w:t>
            </w:r>
          </w:p>
        </w:tc>
      </w:tr>
      <w:tr>
        <w:trPr/>
        <w:tc>
          <w:tcPr>
            <w:tcW w:w="3760"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Total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5"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5" w:space="0" w:color="000000"/>
            </w:tcBorders>
            <w:shd w:fill="FFFFFF" w:val="clear"/>
            <w:tcMar>
              <w:bottom w:w="28" w:type="dxa"/>
            </w:tcMar>
            <w:vAlign w:val="center"/>
          </w:tcPr>
          <w:p>
            <w:pPr>
              <w:pStyle w:val="TableContents"/>
              <w:spacing w:before="0" w:after="283"/>
              <w:jc w:val="right"/>
              <w:rPr/>
            </w:pPr>
            <w:r>
              <w:rPr/>
              <w:t>174,918,427</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5"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5" w:space="0" w:color="000000"/>
            </w:tcBorders>
            <w:shd w:fill="FFFFFF" w:val="clear"/>
            <w:tcMar>
              <w:bottom w:w="28" w:type="dxa"/>
            </w:tcMar>
            <w:vAlign w:val="center"/>
          </w:tcPr>
          <w:p>
            <w:pPr>
              <w:pStyle w:val="TableContents"/>
              <w:spacing w:before="0" w:after="283"/>
              <w:jc w:val="right"/>
              <w:rPr/>
            </w:pPr>
            <w:r>
              <w:rPr/>
              <w:t>154,715,163</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5"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5" w:space="0" w:color="000000"/>
            </w:tcBorders>
            <w:shd w:fill="FFFFFF" w:val="clear"/>
            <w:tcMar>
              <w:bottom w:w="28" w:type="dxa"/>
            </w:tcMar>
            <w:vAlign w:val="center"/>
          </w:tcPr>
          <w:p>
            <w:pPr>
              <w:pStyle w:val="TableContents"/>
              <w:spacing w:before="0" w:after="283"/>
              <w:jc w:val="right"/>
              <w:rPr/>
            </w:pPr>
            <w:r>
              <w:rPr/>
              <w:t>155,808,478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5"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5" w:space="0" w:color="000000"/>
            </w:tcBorders>
            <w:shd w:fill="FFFFFF" w:val="clear"/>
            <w:tcMar>
              <w:bottom w:w="28" w:type="dxa"/>
            </w:tcMar>
            <w:vAlign w:val="center"/>
          </w:tcPr>
          <w:p>
            <w:pPr>
              <w:pStyle w:val="TableContents"/>
              <w:spacing w:before="0" w:after="283"/>
              <w:jc w:val="right"/>
              <w:rPr/>
            </w:pPr>
            <w:r>
              <w:rPr/>
              <w:t>158,080,110</w:t>
            </w:r>
          </w:p>
        </w:tc>
        <w:tc>
          <w:tcPr>
            <w:tcW w:w="135" w:type="dxa"/>
            <w:tcBorders/>
            <w:shd w:fill="FFFF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actual maturities may differ from contractual maturities because certain borrowers have the right to call or prepay obligations with or without penalties.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F-17</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2022 AND 2021</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Equity Securities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cost and estimated fair value of, and gross unrealized gains and losses on, investments in equity securities as of December 31, 2022 and 2021 are as follows:</w:t>
      </w:r>
    </w:p>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4550"/>
        <w:gridCol w:w="90"/>
        <w:gridCol w:w="170"/>
        <w:gridCol w:w="1130"/>
        <w:gridCol w:w="90"/>
        <w:gridCol w:w="90"/>
        <w:gridCol w:w="170"/>
        <w:gridCol w:w="830"/>
        <w:gridCol w:w="90"/>
        <w:gridCol w:w="90"/>
        <w:gridCol w:w="170"/>
        <w:gridCol w:w="1085"/>
        <w:gridCol w:w="125"/>
        <w:gridCol w:w="90"/>
        <w:gridCol w:w="170"/>
        <w:gridCol w:w="1130"/>
        <w:gridCol w:w="135"/>
      </w:tblGrid>
      <w:tr>
        <w:trPr/>
        <w:tc>
          <w:tcPr>
            <w:tcW w:w="455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5430" w:type="dxa"/>
            <w:gridSpan w:val="14"/>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2022</w:t>
            </w:r>
          </w:p>
        </w:tc>
        <w:tc>
          <w:tcPr>
            <w:tcW w:w="135" w:type="dxa"/>
            <w:tcBorders/>
            <w:shd w:fill="auto" w:val="clear"/>
            <w:vAlign w:val="center"/>
          </w:tcPr>
          <w:p>
            <w:pPr>
              <w:pStyle w:val="TableContents"/>
              <w:spacing w:before="0" w:after="0"/>
              <w:ind w:left="0" w:right="0" w:hanging="0"/>
              <w:rPr/>
            </w:pPr>
            <w:r>
              <w:rPr>
                <w:rStyle w:val="StrongEmphasis"/>
              </w:rPr>
              <w:t> </w:t>
            </w:r>
          </w:p>
        </w:tc>
      </w:tr>
      <w:tr>
        <w:trPr/>
        <w:tc>
          <w:tcPr>
            <w:tcW w:w="455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0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00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Gross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255"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Gross </w:t>
            </w:r>
          </w:p>
        </w:tc>
        <w:tc>
          <w:tcPr>
            <w:tcW w:w="12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Estimated </w:t>
            </w:r>
          </w:p>
        </w:tc>
        <w:tc>
          <w:tcPr>
            <w:tcW w:w="135" w:type="dxa"/>
            <w:tcBorders/>
            <w:shd w:fill="auto" w:val="clear"/>
            <w:vAlign w:val="center"/>
          </w:tcPr>
          <w:p>
            <w:pPr>
              <w:pStyle w:val="TableContents"/>
              <w:spacing w:before="0" w:after="0"/>
              <w:ind w:left="0" w:right="0" w:hanging="0"/>
              <w:rPr/>
            </w:pPr>
            <w:r>
              <w:rPr>
                <w:rStyle w:val="StrongEmphasis"/>
              </w:rPr>
              <w:t> </w:t>
            </w:r>
          </w:p>
        </w:tc>
      </w:tr>
      <w:tr>
        <w:trPr/>
        <w:tc>
          <w:tcPr>
            <w:tcW w:w="4550" w:type="dxa"/>
            <w:tcBorders>
              <w:bottom w:val="single" w:sz="8" w:space="0" w:color="000000"/>
            </w:tcBorders>
            <w:shd w:fill="auto" w:val="clear"/>
            <w:tcMar>
              <w:bottom w:w="28" w:type="dxa"/>
            </w:tcMar>
            <w:vAlign w:val="center"/>
          </w:tcPr>
          <w:p>
            <w:pPr>
              <w:pStyle w:val="TableContents"/>
              <w:spacing w:before="0" w:after="0"/>
              <w:ind w:left="0" w:right="0" w:hanging="0"/>
              <w:jc w:val="left"/>
              <w:rPr/>
            </w:pPr>
            <w:r>
              <w:rPr>
                <w:rStyle w:val="StrongEmphasis"/>
                <w:rFonts w:ascii="times new roman" w:hAnsi="times new roman"/>
                <w:sz w:val="20"/>
              </w:rPr>
              <w:t xml:space="preserve">Category </w:t>
            </w:r>
          </w:p>
        </w:tc>
        <w:tc>
          <w:tcPr>
            <w:tcW w:w="90" w:type="dxa"/>
            <w:tcBorders/>
            <w:shd w:fill="auto" w:val="clear"/>
            <w:vAlign w:val="center"/>
          </w:tcPr>
          <w:p>
            <w:pPr>
              <w:pStyle w:val="TableContents"/>
              <w:spacing w:before="0" w:after="0"/>
              <w:ind w:left="0" w:right="0" w:hanging="0"/>
              <w:rPr/>
            </w:pPr>
            <w:r>
              <w:rPr>
                <w:rStyle w:val="StrongEmphasis"/>
              </w:rPr>
              <w:t> </w:t>
            </w:r>
          </w:p>
        </w:tc>
        <w:tc>
          <w:tcPr>
            <w:tcW w:w="130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Cost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00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Gains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255"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Losses </w:t>
            </w:r>
          </w:p>
        </w:tc>
        <w:tc>
          <w:tcPr>
            <w:tcW w:w="12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0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Fair Value </w:t>
            </w:r>
          </w:p>
        </w:tc>
        <w:tc>
          <w:tcPr>
            <w:tcW w:w="135" w:type="dxa"/>
            <w:tcBorders/>
            <w:shd w:fill="auto" w:val="clear"/>
            <w:vAlign w:val="center"/>
          </w:tcPr>
          <w:p>
            <w:pPr>
              <w:pStyle w:val="TableContents"/>
              <w:spacing w:before="0" w:after="0"/>
              <w:ind w:left="0" w:right="0" w:hanging="0"/>
              <w:rPr/>
            </w:pPr>
            <w:r>
              <w:rPr/>
              <w:t> </w:t>
            </w:r>
          </w:p>
        </w:tc>
      </w:tr>
      <w:tr>
        <w:trPr/>
        <w:tc>
          <w:tcPr>
            <w:tcW w:w="455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c>
          <w:tcPr>
            <w:tcW w:w="3915" w:type="dxa"/>
            <w:gridSpan w:val="10"/>
            <w:tcBorders/>
            <w:shd w:fill="auto" w:val="clear"/>
            <w:vAlign w:val="center"/>
          </w:tcPr>
          <w:p>
            <w:pPr>
              <w:pStyle w:val="TableContents"/>
              <w:spacing w:before="0" w:after="0"/>
              <w:ind w:left="0" w:right="0" w:hanging="0"/>
              <w:rPr/>
            </w:pPr>
            <w:r>
              <w:rPr/>
              <w:t> </w:t>
            </w:r>
          </w:p>
        </w:tc>
      </w:tr>
      <w:tr>
        <w:trPr/>
        <w:tc>
          <w:tcPr>
            <w:tcW w:w="4550" w:type="dxa"/>
            <w:tcBorders/>
            <w:shd w:fill="auto" w:val="clear"/>
            <w:vAlign w:val="center"/>
          </w:tcPr>
          <w:p>
            <w:pPr>
              <w:pStyle w:val="TableContents"/>
              <w:spacing w:before="0" w:after="0"/>
              <w:ind w:left="0" w:right="0" w:hanging="0"/>
              <w:jc w:val="left"/>
              <w:rPr/>
            </w:pPr>
            <w:r>
              <w:rPr>
                <w:rStyle w:val="StrongEmphasis"/>
                <w:rFonts w:ascii="times new roman" w:hAnsi="times new roman"/>
                <w:sz w:val="20"/>
              </w:rPr>
              <w:t xml:space="preserve">Equity Securities: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5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4550"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Preferred stocks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13,583,942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83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85" w:type="dxa"/>
            <w:tcBorders/>
            <w:shd w:fill="CCEEFF" w:val="clear"/>
            <w:vAlign w:val="center"/>
          </w:tcPr>
          <w:p>
            <w:pPr>
              <w:pStyle w:val="TableContents"/>
              <w:spacing w:before="0" w:after="283"/>
              <w:jc w:val="right"/>
              <w:rPr/>
            </w:pPr>
            <w:r>
              <w:rPr/>
              <w:t>(3,589,313</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9,994,629</w:t>
            </w:r>
          </w:p>
        </w:tc>
        <w:tc>
          <w:tcPr>
            <w:tcW w:w="135" w:type="dxa"/>
            <w:tcBorders/>
            <w:shd w:fill="CCEEFF" w:val="clear"/>
            <w:vAlign w:val="center"/>
          </w:tcPr>
          <w:p>
            <w:pPr>
              <w:pStyle w:val="TableContents"/>
              <w:spacing w:before="0" w:after="0"/>
              <w:ind w:left="0" w:right="0" w:hanging="0"/>
              <w:rPr/>
            </w:pPr>
            <w:r>
              <w:rPr/>
              <w:t> </w:t>
            </w:r>
          </w:p>
        </w:tc>
      </w:tr>
      <w:tr>
        <w:trPr/>
        <w:tc>
          <w:tcPr>
            <w:tcW w:w="4550"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Common stocks, mutual funds, and exchange traded funds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FFFFFF" w:val="clear"/>
            <w:tcMar>
              <w:bottom w:w="28" w:type="dxa"/>
            </w:tcMar>
            <w:vAlign w:val="center"/>
          </w:tcPr>
          <w:p>
            <w:pPr>
              <w:pStyle w:val="TableContents"/>
              <w:spacing w:before="0" w:after="283"/>
              <w:jc w:val="right"/>
              <w:rPr/>
            </w:pPr>
            <w:r>
              <w:rPr/>
              <w:t>4,502,758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158,635</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85" w:type="dxa"/>
            <w:tcBorders>
              <w:bottom w:val="single" w:sz="2" w:space="0" w:color="000000"/>
            </w:tcBorders>
            <w:shd w:fill="FFFFFF" w:val="clear"/>
            <w:tcMar>
              <w:bottom w:w="28" w:type="dxa"/>
            </w:tcMar>
            <w:vAlign w:val="center"/>
          </w:tcPr>
          <w:p>
            <w:pPr>
              <w:pStyle w:val="TableContents"/>
              <w:spacing w:before="0" w:after="283"/>
              <w:jc w:val="right"/>
              <w:rPr/>
            </w:pPr>
            <w:r>
              <w:rPr/>
              <w:t>(821,632</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FFFFFF" w:val="clear"/>
            <w:tcMar>
              <w:bottom w:w="28" w:type="dxa"/>
            </w:tcMar>
            <w:vAlign w:val="center"/>
          </w:tcPr>
          <w:p>
            <w:pPr>
              <w:pStyle w:val="TableContents"/>
              <w:spacing w:before="0" w:after="283"/>
              <w:jc w:val="right"/>
              <w:rPr/>
            </w:pPr>
            <w:r>
              <w:rPr/>
              <w:t>3,839,761</w:t>
            </w:r>
          </w:p>
        </w:tc>
        <w:tc>
          <w:tcPr>
            <w:tcW w:w="135" w:type="dxa"/>
            <w:tcBorders/>
            <w:shd w:fill="FFFFFF" w:val="clear"/>
            <w:vAlign w:val="center"/>
          </w:tcPr>
          <w:p>
            <w:pPr>
              <w:pStyle w:val="TableContents"/>
              <w:spacing w:before="0" w:after="0"/>
              <w:ind w:left="0" w:right="0" w:hanging="0"/>
              <w:rPr/>
            </w:pPr>
            <w:r>
              <w:rPr/>
              <w:t> </w:t>
            </w:r>
          </w:p>
        </w:tc>
      </w:tr>
      <w:tr>
        <w:trPr/>
        <w:tc>
          <w:tcPr>
            <w:tcW w:w="4550"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Total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1130" w:type="dxa"/>
            <w:tcBorders>
              <w:bottom w:val="double" w:sz="5" w:space="0" w:color="000000"/>
            </w:tcBorders>
            <w:shd w:fill="CCEEFF" w:val="clear"/>
            <w:tcMar>
              <w:bottom w:w="28" w:type="dxa"/>
            </w:tcMar>
            <w:vAlign w:val="center"/>
          </w:tcPr>
          <w:p>
            <w:pPr>
              <w:pStyle w:val="TableContents"/>
              <w:spacing w:before="0" w:after="283"/>
              <w:jc w:val="right"/>
              <w:rPr/>
            </w:pPr>
            <w:r>
              <w:rPr/>
              <w:t>18,086,700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830" w:type="dxa"/>
            <w:tcBorders>
              <w:bottom w:val="double" w:sz="5" w:space="0" w:color="000000"/>
            </w:tcBorders>
            <w:shd w:fill="CCEEFF" w:val="clear"/>
            <w:tcMar>
              <w:bottom w:w="28" w:type="dxa"/>
            </w:tcMar>
            <w:vAlign w:val="center"/>
          </w:tcPr>
          <w:p>
            <w:pPr>
              <w:pStyle w:val="TableContents"/>
              <w:spacing w:before="0" w:after="283"/>
              <w:jc w:val="right"/>
              <w:rPr/>
            </w:pPr>
            <w:r>
              <w:rPr/>
              <w:t>158,635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1085" w:type="dxa"/>
            <w:tcBorders>
              <w:bottom w:val="double" w:sz="5" w:space="0" w:color="000000"/>
            </w:tcBorders>
            <w:shd w:fill="CCEEFF" w:val="clear"/>
            <w:tcMar>
              <w:bottom w:w="28" w:type="dxa"/>
            </w:tcMar>
            <w:vAlign w:val="center"/>
          </w:tcPr>
          <w:p>
            <w:pPr>
              <w:pStyle w:val="TableContents"/>
              <w:spacing w:before="0" w:after="283"/>
              <w:jc w:val="right"/>
              <w:rPr/>
            </w:pPr>
            <w:r>
              <w:rPr/>
              <w:t>(4,410,945</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1130" w:type="dxa"/>
            <w:tcBorders>
              <w:bottom w:val="double" w:sz="5" w:space="0" w:color="000000"/>
            </w:tcBorders>
            <w:shd w:fill="CCEEFF" w:val="clear"/>
            <w:tcMar>
              <w:bottom w:w="28" w:type="dxa"/>
            </w:tcMar>
            <w:vAlign w:val="center"/>
          </w:tcPr>
          <w:p>
            <w:pPr>
              <w:pStyle w:val="TableContents"/>
              <w:spacing w:before="0" w:after="283"/>
              <w:jc w:val="right"/>
              <w:rPr/>
            </w:pPr>
            <w:r>
              <w:rPr/>
              <w:t>13,834,390</w:t>
            </w:r>
          </w:p>
        </w:tc>
        <w:tc>
          <w:tcPr>
            <w:tcW w:w="135"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rPr/>
      </w:pPr>
      <w:r>
        <w:rPr/>
        <w:t xml:space="preserve">  </w:t>
      </w:r>
    </w:p>
    <w:tbl>
      <w:tblPr>
        <w:tblW w:w="10205" w:type="dxa"/>
        <w:jc w:val="left"/>
        <w:tblInd w:w="0" w:type="dxa"/>
        <w:tblCellMar>
          <w:top w:w="0" w:type="dxa"/>
          <w:left w:w="0" w:type="dxa"/>
          <w:bottom w:w="0" w:type="dxa"/>
          <w:right w:w="0" w:type="dxa"/>
        </w:tblCellMar>
      </w:tblPr>
      <w:tblGrid>
        <w:gridCol w:w="4550"/>
        <w:gridCol w:w="90"/>
        <w:gridCol w:w="170"/>
        <w:gridCol w:w="1130"/>
        <w:gridCol w:w="90"/>
        <w:gridCol w:w="90"/>
        <w:gridCol w:w="170"/>
        <w:gridCol w:w="1010"/>
        <w:gridCol w:w="90"/>
        <w:gridCol w:w="90"/>
        <w:gridCol w:w="170"/>
        <w:gridCol w:w="905"/>
        <w:gridCol w:w="125"/>
        <w:gridCol w:w="90"/>
        <w:gridCol w:w="170"/>
        <w:gridCol w:w="1130"/>
        <w:gridCol w:w="135"/>
      </w:tblGrid>
      <w:tr>
        <w:trPr/>
        <w:tc>
          <w:tcPr>
            <w:tcW w:w="455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5430" w:type="dxa"/>
            <w:gridSpan w:val="14"/>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2021</w:t>
            </w:r>
          </w:p>
        </w:tc>
        <w:tc>
          <w:tcPr>
            <w:tcW w:w="135" w:type="dxa"/>
            <w:tcBorders/>
            <w:shd w:fill="auto" w:val="clear"/>
            <w:vAlign w:val="center"/>
          </w:tcPr>
          <w:p>
            <w:pPr>
              <w:pStyle w:val="TableContents"/>
              <w:spacing w:before="0" w:after="0"/>
              <w:ind w:left="0" w:right="0" w:hanging="0"/>
              <w:rPr/>
            </w:pPr>
            <w:r>
              <w:rPr>
                <w:rStyle w:val="StrongEmphasis"/>
              </w:rPr>
              <w:t> </w:t>
            </w:r>
          </w:p>
        </w:tc>
      </w:tr>
      <w:tr>
        <w:trPr/>
        <w:tc>
          <w:tcPr>
            <w:tcW w:w="455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0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Gross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075"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Gross </w:t>
            </w:r>
          </w:p>
        </w:tc>
        <w:tc>
          <w:tcPr>
            <w:tcW w:w="12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Estimated </w:t>
            </w:r>
          </w:p>
        </w:tc>
        <w:tc>
          <w:tcPr>
            <w:tcW w:w="135" w:type="dxa"/>
            <w:tcBorders/>
            <w:shd w:fill="auto" w:val="clear"/>
            <w:vAlign w:val="center"/>
          </w:tcPr>
          <w:p>
            <w:pPr>
              <w:pStyle w:val="TableContents"/>
              <w:spacing w:before="0" w:after="0"/>
              <w:ind w:left="0" w:right="0" w:hanging="0"/>
              <w:rPr/>
            </w:pPr>
            <w:r>
              <w:rPr>
                <w:rStyle w:val="StrongEmphasis"/>
              </w:rPr>
              <w:t> </w:t>
            </w:r>
          </w:p>
        </w:tc>
      </w:tr>
      <w:tr>
        <w:trPr/>
        <w:tc>
          <w:tcPr>
            <w:tcW w:w="4550" w:type="dxa"/>
            <w:tcBorders>
              <w:bottom w:val="single" w:sz="8" w:space="0" w:color="000000"/>
            </w:tcBorders>
            <w:shd w:fill="auto" w:val="clear"/>
            <w:tcMar>
              <w:bottom w:w="28" w:type="dxa"/>
            </w:tcMar>
            <w:vAlign w:val="center"/>
          </w:tcPr>
          <w:p>
            <w:pPr>
              <w:pStyle w:val="TableContents"/>
              <w:spacing w:before="0" w:after="0"/>
              <w:ind w:left="0" w:right="0" w:hanging="0"/>
              <w:jc w:val="left"/>
              <w:rPr/>
            </w:pPr>
            <w:r>
              <w:rPr>
                <w:rStyle w:val="StrongEmphasis"/>
                <w:rFonts w:ascii="times new roman" w:hAnsi="times new roman"/>
                <w:sz w:val="20"/>
              </w:rPr>
              <w:t xml:space="preserve">Category </w:t>
            </w:r>
          </w:p>
        </w:tc>
        <w:tc>
          <w:tcPr>
            <w:tcW w:w="90" w:type="dxa"/>
            <w:tcBorders/>
            <w:shd w:fill="auto" w:val="clear"/>
            <w:vAlign w:val="center"/>
          </w:tcPr>
          <w:p>
            <w:pPr>
              <w:pStyle w:val="TableContents"/>
              <w:spacing w:before="0" w:after="0"/>
              <w:ind w:left="0" w:right="0" w:hanging="0"/>
              <w:rPr/>
            </w:pPr>
            <w:r>
              <w:rPr>
                <w:rStyle w:val="StrongEmphasis"/>
              </w:rPr>
              <w:t> </w:t>
            </w:r>
          </w:p>
        </w:tc>
        <w:tc>
          <w:tcPr>
            <w:tcW w:w="130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Cost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18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Gains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075"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Losses </w:t>
            </w:r>
          </w:p>
        </w:tc>
        <w:tc>
          <w:tcPr>
            <w:tcW w:w="12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0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Fair Value </w:t>
            </w:r>
          </w:p>
        </w:tc>
        <w:tc>
          <w:tcPr>
            <w:tcW w:w="135" w:type="dxa"/>
            <w:tcBorders/>
            <w:shd w:fill="auto" w:val="clear"/>
            <w:vAlign w:val="center"/>
          </w:tcPr>
          <w:p>
            <w:pPr>
              <w:pStyle w:val="TableContents"/>
              <w:spacing w:before="0" w:after="0"/>
              <w:ind w:left="0" w:right="0" w:hanging="0"/>
              <w:rPr/>
            </w:pPr>
            <w:r>
              <w:rPr/>
              <w:t> </w:t>
            </w:r>
          </w:p>
        </w:tc>
      </w:tr>
      <w:tr>
        <w:trPr/>
        <w:tc>
          <w:tcPr>
            <w:tcW w:w="455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c>
          <w:tcPr>
            <w:tcW w:w="3915" w:type="dxa"/>
            <w:gridSpan w:val="10"/>
            <w:tcBorders/>
            <w:shd w:fill="auto" w:val="clear"/>
            <w:vAlign w:val="center"/>
          </w:tcPr>
          <w:p>
            <w:pPr>
              <w:pStyle w:val="TableContents"/>
              <w:spacing w:before="0" w:after="0"/>
              <w:ind w:left="0" w:right="0" w:hanging="0"/>
              <w:rPr/>
            </w:pPr>
            <w:r>
              <w:rPr/>
              <w:t> </w:t>
            </w:r>
          </w:p>
        </w:tc>
      </w:tr>
      <w:tr>
        <w:trPr/>
        <w:tc>
          <w:tcPr>
            <w:tcW w:w="4550" w:type="dxa"/>
            <w:tcBorders/>
            <w:shd w:fill="auto" w:val="clear"/>
            <w:vAlign w:val="center"/>
          </w:tcPr>
          <w:p>
            <w:pPr>
              <w:pStyle w:val="TableContents"/>
              <w:spacing w:before="0" w:after="0"/>
              <w:ind w:left="0" w:right="0" w:hanging="0"/>
              <w:jc w:val="left"/>
              <w:rPr/>
            </w:pPr>
            <w:r>
              <w:rPr>
                <w:rStyle w:val="StrongEmphasis"/>
                <w:rFonts w:ascii="times new roman" w:hAnsi="times new roman"/>
                <w:sz w:val="20"/>
              </w:rPr>
              <w:t xml:space="preserve">Equity Securities: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4550"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Preferred stocks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22,019,509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1,007,009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905" w:type="dxa"/>
            <w:tcBorders/>
            <w:shd w:fill="CCEEFF" w:val="clear"/>
            <w:vAlign w:val="center"/>
          </w:tcPr>
          <w:p>
            <w:pPr>
              <w:pStyle w:val="TableContents"/>
              <w:spacing w:before="0" w:after="283"/>
              <w:jc w:val="right"/>
              <w:rPr/>
            </w:pPr>
            <w:r>
              <w:rPr/>
              <w:t>(184,617</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22,841,901</w:t>
            </w:r>
          </w:p>
        </w:tc>
        <w:tc>
          <w:tcPr>
            <w:tcW w:w="135" w:type="dxa"/>
            <w:tcBorders/>
            <w:shd w:fill="CCEEFF" w:val="clear"/>
            <w:vAlign w:val="center"/>
          </w:tcPr>
          <w:p>
            <w:pPr>
              <w:pStyle w:val="TableContents"/>
              <w:spacing w:before="0" w:after="0"/>
              <w:ind w:left="0" w:right="0" w:hanging="0"/>
              <w:rPr/>
            </w:pPr>
            <w:r>
              <w:rPr/>
              <w:t> </w:t>
            </w:r>
          </w:p>
        </w:tc>
      </w:tr>
      <w:tr>
        <w:trPr/>
        <w:tc>
          <w:tcPr>
            <w:tcW w:w="4550"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Common stocks, mutual funds, and exchange traded funds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FFFFFF" w:val="clear"/>
            <w:tcMar>
              <w:bottom w:w="28" w:type="dxa"/>
            </w:tcMar>
            <w:vAlign w:val="center"/>
          </w:tcPr>
          <w:p>
            <w:pPr>
              <w:pStyle w:val="TableContents"/>
              <w:spacing w:before="0" w:after="283"/>
              <w:jc w:val="right"/>
              <w:rPr/>
            </w:pPr>
            <w:r>
              <w:rPr/>
              <w:t>15,451,160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1,573,653</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905" w:type="dxa"/>
            <w:tcBorders>
              <w:bottom w:val="single" w:sz="2" w:space="0" w:color="000000"/>
            </w:tcBorders>
            <w:shd w:fill="FFFFFF" w:val="clear"/>
            <w:tcMar>
              <w:bottom w:w="28" w:type="dxa"/>
            </w:tcMar>
            <w:vAlign w:val="center"/>
          </w:tcPr>
          <w:p>
            <w:pPr>
              <w:pStyle w:val="TableContents"/>
              <w:spacing w:before="0" w:after="283"/>
              <w:jc w:val="right"/>
              <w:rPr/>
            </w:pPr>
            <w:r>
              <w:rPr/>
              <w:t>(179,712</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FFFFFF" w:val="clear"/>
            <w:tcMar>
              <w:bottom w:w="28" w:type="dxa"/>
            </w:tcMar>
            <w:vAlign w:val="center"/>
          </w:tcPr>
          <w:p>
            <w:pPr>
              <w:pStyle w:val="TableContents"/>
              <w:spacing w:before="0" w:after="283"/>
              <w:jc w:val="right"/>
              <w:rPr/>
            </w:pPr>
            <w:r>
              <w:rPr/>
              <w:t>16,845,101</w:t>
            </w:r>
          </w:p>
        </w:tc>
        <w:tc>
          <w:tcPr>
            <w:tcW w:w="135" w:type="dxa"/>
            <w:tcBorders/>
            <w:shd w:fill="FFFFFF" w:val="clear"/>
            <w:vAlign w:val="center"/>
          </w:tcPr>
          <w:p>
            <w:pPr>
              <w:pStyle w:val="TableContents"/>
              <w:spacing w:before="0" w:after="0"/>
              <w:ind w:left="0" w:right="0" w:hanging="0"/>
              <w:rPr/>
            </w:pPr>
            <w:r>
              <w:rPr/>
              <w:t> </w:t>
            </w:r>
          </w:p>
        </w:tc>
      </w:tr>
      <w:tr>
        <w:trPr/>
        <w:tc>
          <w:tcPr>
            <w:tcW w:w="4550"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Total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1130" w:type="dxa"/>
            <w:tcBorders>
              <w:bottom w:val="double" w:sz="5" w:space="0" w:color="000000"/>
            </w:tcBorders>
            <w:shd w:fill="CCEEFF" w:val="clear"/>
            <w:tcMar>
              <w:bottom w:w="28" w:type="dxa"/>
            </w:tcMar>
            <w:vAlign w:val="center"/>
          </w:tcPr>
          <w:p>
            <w:pPr>
              <w:pStyle w:val="TableContents"/>
              <w:spacing w:before="0" w:after="283"/>
              <w:jc w:val="right"/>
              <w:rPr/>
            </w:pPr>
            <w:r>
              <w:rPr/>
              <w:t>37,470,669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5" w:space="0" w:color="000000"/>
            </w:tcBorders>
            <w:shd w:fill="CCEEFF" w:val="clear"/>
            <w:tcMar>
              <w:bottom w:w="28" w:type="dxa"/>
            </w:tcMar>
            <w:vAlign w:val="center"/>
          </w:tcPr>
          <w:p>
            <w:pPr>
              <w:pStyle w:val="TableContents"/>
              <w:spacing w:before="0" w:after="283"/>
              <w:jc w:val="right"/>
              <w:rPr/>
            </w:pPr>
            <w:r>
              <w:rPr/>
              <w:t>2,580,662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905" w:type="dxa"/>
            <w:tcBorders>
              <w:bottom w:val="double" w:sz="5" w:space="0" w:color="000000"/>
            </w:tcBorders>
            <w:shd w:fill="CCEEFF" w:val="clear"/>
            <w:tcMar>
              <w:bottom w:w="28" w:type="dxa"/>
            </w:tcMar>
            <w:vAlign w:val="center"/>
          </w:tcPr>
          <w:p>
            <w:pPr>
              <w:pStyle w:val="TableContents"/>
              <w:spacing w:before="0" w:after="283"/>
              <w:jc w:val="right"/>
              <w:rPr/>
            </w:pPr>
            <w:r>
              <w:rPr/>
              <w:t>(364,329</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1130" w:type="dxa"/>
            <w:tcBorders>
              <w:bottom w:val="double" w:sz="5" w:space="0" w:color="000000"/>
            </w:tcBorders>
            <w:shd w:fill="CCEEFF" w:val="clear"/>
            <w:tcMar>
              <w:bottom w:w="28" w:type="dxa"/>
            </w:tcMar>
            <w:vAlign w:val="center"/>
          </w:tcPr>
          <w:p>
            <w:pPr>
              <w:pStyle w:val="TableContents"/>
              <w:spacing w:before="0" w:after="283"/>
              <w:jc w:val="right"/>
              <w:rPr/>
            </w:pPr>
            <w:r>
              <w:rPr/>
              <w:t>39,687,002</w:t>
            </w:r>
          </w:p>
        </w:tc>
        <w:tc>
          <w:tcPr>
            <w:tcW w:w="135"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Other Investments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cost and estimated fair value of, and gross unrealized gains on, the Company’s other investments as of December 31, 2022 and 2021 are as follows:</w:t>
      </w:r>
    </w:p>
    <w:p>
      <w:pPr>
        <w:pStyle w:val="TextBody"/>
        <w:spacing w:before="0" w:after="0"/>
        <w:ind w:left="0" w:right="0" w:hanging="0"/>
        <w:jc w:val="both"/>
        <w:rPr/>
      </w:pPr>
      <w:r>
        <w:rPr/>
        <w:t> </w:t>
      </w:r>
    </w:p>
    <w:tbl>
      <w:tblPr>
        <w:tblW w:w="9800" w:type="dxa"/>
        <w:jc w:val="left"/>
        <w:tblInd w:w="0" w:type="dxa"/>
        <w:tblCellMar>
          <w:top w:w="0" w:type="dxa"/>
          <w:left w:w="0" w:type="dxa"/>
          <w:bottom w:w="0" w:type="dxa"/>
          <w:right w:w="0" w:type="dxa"/>
        </w:tblCellMar>
      </w:tblPr>
      <w:tblGrid>
        <w:gridCol w:w="1775"/>
        <w:gridCol w:w="90"/>
        <w:gridCol w:w="170"/>
        <w:gridCol w:w="1010"/>
        <w:gridCol w:w="90"/>
        <w:gridCol w:w="90"/>
        <w:gridCol w:w="170"/>
        <w:gridCol w:w="830"/>
        <w:gridCol w:w="90"/>
        <w:gridCol w:w="90"/>
        <w:gridCol w:w="170"/>
        <w:gridCol w:w="1010"/>
        <w:gridCol w:w="90"/>
        <w:gridCol w:w="90"/>
        <w:gridCol w:w="170"/>
        <w:gridCol w:w="1010"/>
        <w:gridCol w:w="90"/>
        <w:gridCol w:w="90"/>
        <w:gridCol w:w="170"/>
        <w:gridCol w:w="1010"/>
        <w:gridCol w:w="90"/>
        <w:gridCol w:w="90"/>
        <w:gridCol w:w="170"/>
        <w:gridCol w:w="1010"/>
        <w:gridCol w:w="135"/>
      </w:tblGrid>
      <w:tr>
        <w:trPr/>
        <w:tc>
          <w:tcPr>
            <w:tcW w:w="177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720" w:type="dxa"/>
            <w:gridSpan w:val="10"/>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2022</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900" w:type="dxa"/>
            <w:gridSpan w:val="10"/>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2021</w:t>
            </w:r>
          </w:p>
        </w:tc>
        <w:tc>
          <w:tcPr>
            <w:tcW w:w="135" w:type="dxa"/>
            <w:tcBorders/>
            <w:shd w:fill="auto" w:val="clear"/>
            <w:vAlign w:val="center"/>
          </w:tcPr>
          <w:p>
            <w:pPr>
              <w:pStyle w:val="TableContents"/>
              <w:spacing w:before="0" w:after="0"/>
              <w:ind w:left="0" w:right="0" w:hanging="0"/>
              <w:rPr/>
            </w:pPr>
            <w:r>
              <w:rPr/>
              <w:t> </w:t>
            </w:r>
          </w:p>
        </w:tc>
      </w:tr>
      <w:tr>
        <w:trPr/>
        <w:tc>
          <w:tcPr>
            <w:tcW w:w="177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Gross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Estimated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Gross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Estimated </w:t>
            </w:r>
          </w:p>
        </w:tc>
        <w:tc>
          <w:tcPr>
            <w:tcW w:w="135" w:type="dxa"/>
            <w:tcBorders/>
            <w:shd w:fill="auto" w:val="clear"/>
            <w:vAlign w:val="center"/>
          </w:tcPr>
          <w:p>
            <w:pPr>
              <w:pStyle w:val="TableContents"/>
              <w:spacing w:before="0" w:after="0"/>
              <w:ind w:left="0" w:right="0" w:hanging="0"/>
              <w:rPr/>
            </w:pPr>
            <w:r>
              <w:rPr/>
              <w:t> </w:t>
            </w:r>
          </w:p>
        </w:tc>
      </w:tr>
      <w:tr>
        <w:trPr/>
        <w:tc>
          <w:tcPr>
            <w:tcW w:w="1775"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Pr>
              <w:t> </w:t>
            </w:r>
            <w:r>
              <w:rPr>
                <w:rStyle w:val="StrongEmphasis"/>
                <w:rFonts w:ascii="times new roman" w:hAnsi="times new roman"/>
                <w:sz w:val="20"/>
              </w:rPr>
              <w:t xml:space="preserve">Category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Cost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Gains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Fair Value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Cost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Gains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Fair Value </w:t>
            </w:r>
          </w:p>
        </w:tc>
        <w:tc>
          <w:tcPr>
            <w:tcW w:w="135" w:type="dxa"/>
            <w:tcBorders/>
            <w:shd w:fill="auto" w:val="clear"/>
            <w:vAlign w:val="center"/>
          </w:tcPr>
          <w:p>
            <w:pPr>
              <w:pStyle w:val="TableContents"/>
              <w:spacing w:before="0" w:after="0"/>
              <w:ind w:left="0" w:right="0" w:hanging="0"/>
              <w:rPr/>
            </w:pPr>
            <w:r>
              <w:rPr/>
              <w:t> </w:t>
            </w:r>
          </w:p>
        </w:tc>
      </w:tr>
      <w:tr>
        <w:trPr/>
        <w:tc>
          <w:tcPr>
            <w:tcW w:w="177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675" w:type="dxa"/>
            <w:gridSpan w:val="7"/>
            <w:tcBorders/>
            <w:shd w:fill="auto" w:val="clear"/>
            <w:vAlign w:val="center"/>
          </w:tcPr>
          <w:p>
            <w:pPr>
              <w:pStyle w:val="TableContents"/>
              <w:spacing w:before="0" w:after="0"/>
              <w:ind w:left="0" w:right="0" w:hanging="0"/>
              <w:rPr/>
            </w:pPr>
            <w:r>
              <w:rPr/>
              <w:t> </w:t>
            </w:r>
          </w:p>
        </w:tc>
      </w:tr>
      <w:tr>
        <w:trPr/>
        <w:tc>
          <w:tcPr>
            <w:tcW w:w="1775" w:type="dxa"/>
            <w:tcBorders/>
            <w:shd w:fill="auto" w:val="clear"/>
            <w:vAlign w:val="center"/>
          </w:tcPr>
          <w:p>
            <w:pPr>
              <w:pStyle w:val="TableContents"/>
              <w:spacing w:before="0" w:after="0"/>
              <w:ind w:left="0" w:right="0" w:hanging="0"/>
              <w:rPr/>
            </w:pPr>
            <w:r>
              <w:rPr>
                <w:rStyle w:val="StrongEmphasis"/>
              </w:rPr>
              <w:t> </w:t>
            </w:r>
            <w:r>
              <w:rPr>
                <w:rStyle w:val="StrongEmphasis"/>
                <w:rFonts w:ascii="times new roman" w:hAnsi="times new roman"/>
                <w:sz w:val="20"/>
              </w:rPr>
              <w:t xml:space="preserve">Other Investments: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1775" w:type="dxa"/>
            <w:tcBorders/>
            <w:shd w:fill="CCEEFF" w:val="clear"/>
            <w:vAlign w:val="center"/>
          </w:tcPr>
          <w:p>
            <w:pPr>
              <w:pStyle w:val="TableContents"/>
              <w:spacing w:before="0" w:after="0"/>
              <w:ind w:left="0" w:right="0" w:hanging="0"/>
              <w:rPr/>
            </w:pPr>
            <w:r>
              <w:rPr/>
              <w:t> </w:t>
            </w:r>
            <w:r>
              <w:rPr>
                <w:rFonts w:ascii="times new roman" w:hAnsi="times new roman"/>
                <w:sz w:val="20"/>
              </w:rPr>
              <w:t xml:space="preserve">Hedge fund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6" w:space="0" w:color="000000"/>
            </w:tcBorders>
            <w:shd w:fill="CCEEFF" w:val="clear"/>
            <w:tcMar>
              <w:bottom w:w="28" w:type="dxa"/>
            </w:tcMar>
            <w:vAlign w:val="center"/>
          </w:tcPr>
          <w:p>
            <w:pPr>
              <w:pStyle w:val="TableContents"/>
              <w:spacing w:before="0" w:after="283"/>
              <w:jc w:val="right"/>
              <w:rPr/>
            </w:pPr>
            <w:r>
              <w:rPr/>
              <w:t>1,987,040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830" w:type="dxa"/>
            <w:tcBorders>
              <w:bottom w:val="double" w:sz="6" w:space="0" w:color="000000"/>
            </w:tcBorders>
            <w:shd w:fill="CCEEFF" w:val="clear"/>
            <w:tcMar>
              <w:bottom w:w="28" w:type="dxa"/>
            </w:tcMar>
            <w:vAlign w:val="center"/>
          </w:tcPr>
          <w:p>
            <w:pPr>
              <w:pStyle w:val="TableContents"/>
              <w:spacing w:before="0" w:after="283"/>
              <w:jc w:val="right"/>
              <w:rPr/>
            </w:pPr>
            <w:r>
              <w:rPr/>
              <w:t>784,612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6" w:space="0" w:color="000000"/>
            </w:tcBorders>
            <w:shd w:fill="CCEEFF" w:val="clear"/>
            <w:tcMar>
              <w:bottom w:w="28" w:type="dxa"/>
            </w:tcMar>
            <w:vAlign w:val="center"/>
          </w:tcPr>
          <w:p>
            <w:pPr>
              <w:pStyle w:val="TableContents"/>
              <w:spacing w:before="0" w:after="283"/>
              <w:jc w:val="right"/>
              <w:rPr/>
            </w:pPr>
            <w:r>
              <w:rPr/>
              <w:t>2,771,652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6" w:space="0" w:color="000000"/>
            </w:tcBorders>
            <w:shd w:fill="CCEEFF" w:val="clear"/>
            <w:tcMar>
              <w:bottom w:w="28" w:type="dxa"/>
            </w:tcMar>
            <w:vAlign w:val="center"/>
          </w:tcPr>
          <w:p>
            <w:pPr>
              <w:pStyle w:val="TableContents"/>
              <w:spacing w:before="0" w:after="283"/>
              <w:jc w:val="right"/>
              <w:rPr/>
            </w:pPr>
            <w:r>
              <w:rPr/>
              <w:t>3,999,381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6" w:space="0" w:color="000000"/>
            </w:tcBorders>
            <w:shd w:fill="CCEEFF" w:val="clear"/>
            <w:tcMar>
              <w:bottom w:w="28" w:type="dxa"/>
            </w:tcMar>
            <w:vAlign w:val="center"/>
          </w:tcPr>
          <w:p>
            <w:pPr>
              <w:pStyle w:val="TableContents"/>
              <w:spacing w:before="0" w:after="283"/>
              <w:jc w:val="right"/>
              <w:rPr/>
            </w:pPr>
            <w:r>
              <w:rPr/>
              <w:t>3,562,034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6" w:space="0" w:color="000000"/>
            </w:tcBorders>
            <w:shd w:fill="CCEEFF" w:val="clear"/>
            <w:tcMar>
              <w:bottom w:w="28" w:type="dxa"/>
            </w:tcMar>
            <w:vAlign w:val="center"/>
          </w:tcPr>
          <w:p>
            <w:pPr>
              <w:pStyle w:val="TableContents"/>
              <w:spacing w:before="0" w:after="283"/>
              <w:jc w:val="right"/>
              <w:rPr/>
            </w:pPr>
            <w:r>
              <w:rPr/>
              <w:t>7,561,415</w:t>
            </w:r>
          </w:p>
        </w:tc>
        <w:tc>
          <w:tcPr>
            <w:tcW w:w="135"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jc w:val="center"/>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F-18</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2022 AND 2021</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Held-to-Maturity Securities</w:t>
      </w:r>
    </w:p>
    <w:p>
      <w:pPr>
        <w:pStyle w:val="TextBody"/>
        <w:spacing w:before="0" w:after="0"/>
        <w:ind w:left="0" w:right="0" w:hanging="0"/>
        <w:jc w:val="both"/>
        <w:rPr/>
      </w:pPr>
      <w:r>
        <w:rPr/>
        <w:t> </w:t>
      </w:r>
    </w:p>
    <w:p>
      <w:pPr>
        <w:pStyle w:val="TextBody"/>
        <w:spacing w:before="0" w:after="0"/>
        <w:ind w:left="0" w:right="0" w:hanging="0"/>
        <w:rPr>
          <w:rFonts w:ascii="times new roman" w:hAnsi="times new roman"/>
          <w:sz w:val="20"/>
        </w:rPr>
      </w:pPr>
      <w:r>
        <w:rPr>
          <w:rFonts w:ascii="times new roman" w:hAnsi="times new roman"/>
          <w:sz w:val="20"/>
        </w:rPr>
        <w:t>The cost or amortized cost and estimated fair value of, and gross unrealized gains and losses on, investments in held-to-maturity fixed-maturity securities as of December 31, 2022 and 2021 are summarized as follows:</w:t>
      </w:r>
    </w:p>
    <w:p>
      <w:pPr>
        <w:pStyle w:val="TextBody"/>
        <w:spacing w:before="0" w:after="0"/>
        <w:ind w:left="0" w:right="0" w:hanging="0"/>
        <w:rPr/>
      </w:pPr>
      <w:r>
        <w:rPr/>
        <w:t> </w:t>
      </w:r>
    </w:p>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2068"/>
        <w:gridCol w:w="90"/>
        <w:gridCol w:w="170"/>
        <w:gridCol w:w="1010"/>
        <w:gridCol w:w="90"/>
        <w:gridCol w:w="90"/>
        <w:gridCol w:w="190"/>
        <w:gridCol w:w="796"/>
        <w:gridCol w:w="90"/>
        <w:gridCol w:w="90"/>
        <w:gridCol w:w="174"/>
        <w:gridCol w:w="933"/>
        <w:gridCol w:w="125"/>
        <w:gridCol w:w="90"/>
        <w:gridCol w:w="189"/>
        <w:gridCol w:w="1008"/>
        <w:gridCol w:w="125"/>
        <w:gridCol w:w="90"/>
        <w:gridCol w:w="170"/>
        <w:gridCol w:w="1010"/>
        <w:gridCol w:w="90"/>
        <w:gridCol w:w="90"/>
        <w:gridCol w:w="170"/>
        <w:gridCol w:w="1085"/>
        <w:gridCol w:w="172"/>
      </w:tblGrid>
      <w:tr>
        <w:trPr/>
        <w:tc>
          <w:tcPr>
            <w:tcW w:w="2068"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875" w:type="dxa"/>
            <w:gridSpan w:val="2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2022</w:t>
            </w:r>
          </w:p>
        </w:tc>
        <w:tc>
          <w:tcPr>
            <w:tcW w:w="172" w:type="dxa"/>
            <w:tcBorders/>
            <w:shd w:fill="auto" w:val="clear"/>
            <w:vAlign w:val="center"/>
          </w:tcPr>
          <w:p>
            <w:pPr>
              <w:pStyle w:val="TableContents"/>
              <w:spacing w:before="0" w:after="0"/>
              <w:ind w:left="0" w:right="0" w:hanging="0"/>
              <w:rPr/>
            </w:pPr>
            <w:r>
              <w:rPr/>
              <w:t> </w:t>
            </w:r>
          </w:p>
        </w:tc>
      </w:tr>
      <w:tr>
        <w:trPr/>
        <w:tc>
          <w:tcPr>
            <w:tcW w:w="2068"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86"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07"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97"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55"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Net </w:t>
            </w:r>
          </w:p>
        </w:tc>
        <w:tc>
          <w:tcPr>
            <w:tcW w:w="172" w:type="dxa"/>
            <w:tcBorders/>
            <w:shd w:fill="auto" w:val="clear"/>
            <w:vAlign w:val="center"/>
          </w:tcPr>
          <w:p>
            <w:pPr>
              <w:pStyle w:val="TableContents"/>
              <w:spacing w:before="0" w:after="0"/>
              <w:ind w:left="0" w:right="0" w:hanging="0"/>
              <w:rPr/>
            </w:pPr>
            <w:r>
              <w:rPr/>
              <w:t> </w:t>
            </w:r>
          </w:p>
        </w:tc>
      </w:tr>
      <w:tr>
        <w:trPr/>
        <w:tc>
          <w:tcPr>
            <w:tcW w:w="2068"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Cost or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86"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Gross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519"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Gross Unrealized Losses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Estimated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55"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Unrealized  </w:t>
            </w:r>
          </w:p>
        </w:tc>
        <w:tc>
          <w:tcPr>
            <w:tcW w:w="172" w:type="dxa"/>
            <w:tcBorders/>
            <w:shd w:fill="auto" w:val="clear"/>
            <w:vAlign w:val="center"/>
          </w:tcPr>
          <w:p>
            <w:pPr>
              <w:pStyle w:val="TableContents"/>
              <w:spacing w:before="0" w:after="0"/>
              <w:ind w:left="0" w:right="0" w:hanging="0"/>
              <w:rPr/>
            </w:pPr>
            <w:r>
              <w:rPr/>
              <w:t> </w:t>
            </w:r>
          </w:p>
        </w:tc>
      </w:tr>
      <w:tr>
        <w:trPr/>
        <w:tc>
          <w:tcPr>
            <w:tcW w:w="2068"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Amortized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86"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Unrealized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07"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Less than 12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97"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More than 12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Fair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55"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Gains/ </w:t>
            </w:r>
          </w:p>
        </w:tc>
        <w:tc>
          <w:tcPr>
            <w:tcW w:w="172" w:type="dxa"/>
            <w:tcBorders/>
            <w:shd w:fill="auto" w:val="clear"/>
            <w:vAlign w:val="center"/>
          </w:tcPr>
          <w:p>
            <w:pPr>
              <w:pStyle w:val="TableContents"/>
              <w:spacing w:before="0" w:after="0"/>
              <w:ind w:left="0" w:right="0" w:hanging="0"/>
              <w:rPr/>
            </w:pPr>
            <w:r>
              <w:rPr/>
              <w:t> </w:t>
            </w:r>
          </w:p>
        </w:tc>
      </w:tr>
      <w:tr>
        <w:trPr/>
        <w:tc>
          <w:tcPr>
            <w:tcW w:w="2068"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Fonts w:ascii="times new roman" w:hAnsi="times new roman"/>
                <w:sz w:val="20"/>
              </w:rPr>
              <w:t xml:space="preserve">Category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Cost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8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Gains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Months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Months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Value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5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(Losses) </w:t>
            </w:r>
          </w:p>
        </w:tc>
        <w:tc>
          <w:tcPr>
            <w:tcW w:w="172" w:type="dxa"/>
            <w:tcBorders/>
            <w:shd w:fill="auto" w:val="clear"/>
            <w:vAlign w:val="center"/>
          </w:tcPr>
          <w:p>
            <w:pPr>
              <w:pStyle w:val="TableContents"/>
              <w:spacing w:before="0" w:after="0"/>
              <w:ind w:left="0" w:right="0" w:hanging="0"/>
              <w:rPr/>
            </w:pPr>
            <w:r>
              <w:rPr/>
              <w:t> </w:t>
            </w:r>
          </w:p>
        </w:tc>
      </w:tr>
      <w:tr>
        <w:trPr/>
        <w:tc>
          <w:tcPr>
            <w:tcW w:w="2068"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90"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5611" w:type="dxa"/>
            <w:gridSpan w:val="16"/>
            <w:tcBorders/>
            <w:shd w:fill="auto" w:val="clear"/>
            <w:vAlign w:val="center"/>
          </w:tcPr>
          <w:p>
            <w:pPr>
              <w:pStyle w:val="TableContents"/>
              <w:spacing w:before="0" w:after="0"/>
              <w:ind w:left="0" w:right="0" w:hanging="0"/>
              <w:rPr/>
            </w:pPr>
            <w:r>
              <w:rPr/>
              <w:t> </w:t>
            </w:r>
          </w:p>
        </w:tc>
      </w:tr>
      <w:tr>
        <w:trPr/>
        <w:tc>
          <w:tcPr>
            <w:tcW w:w="2068" w:type="dxa"/>
            <w:tcBorders/>
            <w:shd w:fill="auto" w:val="clear"/>
            <w:vAlign w:val="center"/>
          </w:tcPr>
          <w:p>
            <w:pPr>
              <w:pStyle w:val="TableContents"/>
              <w:spacing w:before="0" w:after="0"/>
              <w:ind w:left="0" w:right="0" w:hanging="0"/>
              <w:rPr/>
            </w:pPr>
            <w:r>
              <w:rPr>
                <w:rStyle w:val="StrongEmphasis"/>
                <w:rFonts w:ascii="times new roman" w:hAnsi="times new roman"/>
                <w:sz w:val="20"/>
              </w:rPr>
              <w:t xml:space="preserve">Held-to-Maturity Securities: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86"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07"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97"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55" w:type="dxa"/>
            <w:gridSpan w:val="2"/>
            <w:tcBorders/>
            <w:shd w:fill="auto" w:val="clear"/>
            <w:vAlign w:val="center"/>
          </w:tcPr>
          <w:p>
            <w:pPr>
              <w:pStyle w:val="TableContents"/>
              <w:spacing w:before="0" w:after="0"/>
              <w:ind w:left="0" w:right="0" w:hanging="0"/>
              <w:rPr/>
            </w:pPr>
            <w:r>
              <w:rPr/>
              <w:t> </w:t>
            </w:r>
          </w:p>
        </w:tc>
        <w:tc>
          <w:tcPr>
            <w:tcW w:w="172" w:type="dxa"/>
            <w:tcBorders/>
            <w:shd w:fill="auto" w:val="clear"/>
            <w:vAlign w:val="center"/>
          </w:tcPr>
          <w:p>
            <w:pPr>
              <w:pStyle w:val="TableContents"/>
              <w:spacing w:before="0" w:after="0"/>
              <w:ind w:left="0" w:right="0" w:hanging="0"/>
              <w:rPr/>
            </w:pPr>
            <w:r>
              <w:rPr/>
              <w:t> </w:t>
            </w:r>
          </w:p>
        </w:tc>
      </w:tr>
      <w:tr>
        <w:trPr/>
        <w:tc>
          <w:tcPr>
            <w:tcW w:w="2068"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U.S. Treasury securities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1,228,560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0" w:type="dxa"/>
            <w:tcBorders/>
            <w:shd w:fill="CCEEFF" w:val="clear"/>
            <w:vAlign w:val="center"/>
          </w:tcPr>
          <w:p>
            <w:pPr>
              <w:pStyle w:val="TableContents"/>
              <w:spacing w:before="0" w:after="283"/>
              <w:rPr/>
            </w:pPr>
            <w:r>
              <w:rPr/>
              <w:t>$</w:t>
            </w:r>
          </w:p>
        </w:tc>
        <w:tc>
          <w:tcPr>
            <w:tcW w:w="796" w:type="dxa"/>
            <w:tcBorders/>
            <w:shd w:fill="CCEEFF" w:val="clear"/>
            <w:vAlign w:val="center"/>
          </w:tcPr>
          <w:p>
            <w:pPr>
              <w:pStyle w:val="TableContents"/>
              <w:spacing w:before="0" w:after="283"/>
              <w:jc w:val="right"/>
              <w:rPr/>
            </w:pPr>
            <w:r>
              <w:rPr/>
              <w:t>28,400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283"/>
              <w:rPr/>
            </w:pPr>
            <w:r>
              <w:rPr/>
              <w:t>$</w:t>
            </w:r>
          </w:p>
        </w:tc>
        <w:tc>
          <w:tcPr>
            <w:tcW w:w="933" w:type="dxa"/>
            <w:tcBorders/>
            <w:shd w:fill="CCEEFF" w:val="clear"/>
            <w:vAlign w:val="center"/>
          </w:tcPr>
          <w:p>
            <w:pPr>
              <w:pStyle w:val="TableContents"/>
              <w:spacing w:before="0" w:after="283"/>
              <w:jc w:val="right"/>
              <w:rPr/>
            </w:pPr>
            <w:r>
              <w:rPr/>
              <w:t>(34,077</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89" w:type="dxa"/>
            <w:tcBorders/>
            <w:shd w:fill="CCEEFF" w:val="clear"/>
            <w:vAlign w:val="center"/>
          </w:tcPr>
          <w:p>
            <w:pPr>
              <w:pStyle w:val="TableContents"/>
              <w:spacing w:before="0" w:after="283"/>
              <w:rPr/>
            </w:pPr>
            <w:r>
              <w:rPr/>
              <w:t>$</w:t>
            </w:r>
          </w:p>
        </w:tc>
        <w:tc>
          <w:tcPr>
            <w:tcW w:w="1008"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1,222,883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85" w:type="dxa"/>
            <w:tcBorders/>
            <w:shd w:fill="CCEEFF" w:val="clear"/>
            <w:vAlign w:val="center"/>
          </w:tcPr>
          <w:p>
            <w:pPr>
              <w:pStyle w:val="TableContents"/>
              <w:spacing w:before="0" w:after="283"/>
              <w:jc w:val="right"/>
              <w:rPr/>
            </w:pPr>
            <w:r>
              <w:rPr/>
              <w:t>(5,677</w:t>
            </w:r>
          </w:p>
        </w:tc>
        <w:tc>
          <w:tcPr>
            <w:tcW w:w="172" w:type="dxa"/>
            <w:tcBorders/>
            <w:shd w:fill="CCEEFF" w:val="clear"/>
            <w:vAlign w:val="center"/>
          </w:tcPr>
          <w:p>
            <w:pPr>
              <w:pStyle w:val="TableContents"/>
              <w:spacing w:before="0" w:after="283"/>
              <w:rPr/>
            </w:pPr>
            <w:r>
              <w:rPr/>
              <w:t>)</w:t>
            </w:r>
          </w:p>
        </w:tc>
      </w:tr>
      <w:tr>
        <w:trPr/>
        <w:tc>
          <w:tcPr>
            <w:tcW w:w="206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90" w:type="dxa"/>
            <w:tcBorders/>
            <w:shd w:fill="FFFFFF" w:val="clear"/>
            <w:vAlign w:val="center"/>
          </w:tcPr>
          <w:p>
            <w:pPr>
              <w:pStyle w:val="TableContents"/>
              <w:spacing w:before="0" w:after="0"/>
              <w:ind w:left="0" w:right="0" w:hanging="0"/>
              <w:rPr/>
            </w:pPr>
            <w:r>
              <w:rPr/>
              <w:t> </w:t>
            </w:r>
          </w:p>
        </w:tc>
        <w:tc>
          <w:tcPr>
            <w:tcW w:w="796"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0"/>
              <w:ind w:left="0" w:right="0" w:hanging="0"/>
              <w:rPr/>
            </w:pPr>
            <w:r>
              <w:rPr/>
              <w:t> </w:t>
            </w:r>
          </w:p>
        </w:tc>
        <w:tc>
          <w:tcPr>
            <w:tcW w:w="933"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9" w:type="dxa"/>
            <w:tcBorders/>
            <w:shd w:fill="FFFFFF" w:val="clear"/>
            <w:vAlign w:val="center"/>
          </w:tcPr>
          <w:p>
            <w:pPr>
              <w:pStyle w:val="TableContents"/>
              <w:spacing w:before="0" w:after="0"/>
              <w:ind w:left="0" w:right="0" w:hanging="0"/>
              <w:rPr/>
            </w:pPr>
            <w:r>
              <w:rPr/>
              <w:t> </w:t>
            </w:r>
          </w:p>
        </w:tc>
        <w:tc>
          <w:tcPr>
            <w:tcW w:w="1008"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85" w:type="dxa"/>
            <w:tcBorders/>
            <w:shd w:fill="FFFFFF" w:val="clear"/>
            <w:vAlign w:val="center"/>
          </w:tcPr>
          <w:p>
            <w:pPr>
              <w:pStyle w:val="TableContents"/>
              <w:spacing w:before="0" w:after="0"/>
              <w:ind w:left="0" w:right="0" w:hanging="0"/>
              <w:rPr/>
            </w:pPr>
            <w:r>
              <w:rPr/>
              <w:t> </w:t>
            </w:r>
          </w:p>
        </w:tc>
        <w:tc>
          <w:tcPr>
            <w:tcW w:w="172" w:type="dxa"/>
            <w:tcBorders/>
            <w:shd w:fill="FFFFFF" w:val="clear"/>
            <w:vAlign w:val="center"/>
          </w:tcPr>
          <w:p>
            <w:pPr>
              <w:pStyle w:val="TableContents"/>
              <w:spacing w:before="0" w:after="0"/>
              <w:ind w:left="0" w:right="0" w:hanging="0"/>
              <w:rPr/>
            </w:pPr>
            <w:r>
              <w:rPr/>
              <w:t> </w:t>
            </w:r>
          </w:p>
        </w:tc>
      </w:tr>
      <w:tr>
        <w:trPr/>
        <w:tc>
          <w:tcPr>
            <w:tcW w:w="2068"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Political subdivisions of States, Territories and Possessions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498,638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0"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283"/>
              <w:jc w:val="right"/>
              <w:rPr/>
            </w:pPr>
            <w:r>
              <w:rPr/>
              <w:t>2,092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0"/>
              <w:ind w:left="0" w:right="0" w:hanging="0"/>
              <w:rPr/>
            </w:pPr>
            <w:r>
              <w:rPr/>
              <w:t> </w:t>
            </w:r>
          </w:p>
        </w:tc>
        <w:tc>
          <w:tcPr>
            <w:tcW w:w="933"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9" w:type="dxa"/>
            <w:tcBorders/>
            <w:shd w:fill="CCEEFF" w:val="clear"/>
            <w:vAlign w:val="center"/>
          </w:tcPr>
          <w:p>
            <w:pPr>
              <w:pStyle w:val="TableContents"/>
              <w:spacing w:before="0" w:after="0"/>
              <w:ind w:left="0" w:right="0" w:hanging="0"/>
              <w:rPr/>
            </w:pPr>
            <w:r>
              <w:rPr/>
              <w:t> </w:t>
            </w:r>
          </w:p>
        </w:tc>
        <w:tc>
          <w:tcPr>
            <w:tcW w:w="1008"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500,730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85" w:type="dxa"/>
            <w:tcBorders/>
            <w:shd w:fill="CCEEFF" w:val="clear"/>
            <w:vAlign w:val="center"/>
          </w:tcPr>
          <w:p>
            <w:pPr>
              <w:pStyle w:val="TableContents"/>
              <w:spacing w:before="0" w:after="283"/>
              <w:jc w:val="right"/>
              <w:rPr/>
            </w:pPr>
            <w:r>
              <w:rPr/>
              <w:t>2,092</w:t>
            </w:r>
          </w:p>
        </w:tc>
        <w:tc>
          <w:tcPr>
            <w:tcW w:w="172" w:type="dxa"/>
            <w:tcBorders/>
            <w:shd w:fill="CCEEFF" w:val="clear"/>
            <w:vAlign w:val="center"/>
          </w:tcPr>
          <w:p>
            <w:pPr>
              <w:pStyle w:val="TableContents"/>
              <w:spacing w:before="0" w:after="0"/>
              <w:ind w:left="0" w:right="0" w:hanging="0"/>
              <w:rPr/>
            </w:pPr>
            <w:r>
              <w:rPr/>
              <w:t> </w:t>
            </w:r>
          </w:p>
        </w:tc>
      </w:tr>
      <w:tr>
        <w:trPr/>
        <w:tc>
          <w:tcPr>
            <w:tcW w:w="206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90" w:type="dxa"/>
            <w:tcBorders/>
            <w:shd w:fill="FFFFFF" w:val="clear"/>
            <w:vAlign w:val="center"/>
          </w:tcPr>
          <w:p>
            <w:pPr>
              <w:pStyle w:val="TableContents"/>
              <w:spacing w:before="0" w:after="0"/>
              <w:ind w:left="0" w:right="0" w:hanging="0"/>
              <w:rPr/>
            </w:pPr>
            <w:r>
              <w:rPr/>
              <w:t> </w:t>
            </w:r>
          </w:p>
        </w:tc>
        <w:tc>
          <w:tcPr>
            <w:tcW w:w="796"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0"/>
              <w:ind w:left="0" w:right="0" w:hanging="0"/>
              <w:rPr/>
            </w:pPr>
            <w:r>
              <w:rPr/>
              <w:t> </w:t>
            </w:r>
          </w:p>
        </w:tc>
        <w:tc>
          <w:tcPr>
            <w:tcW w:w="933"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9" w:type="dxa"/>
            <w:tcBorders/>
            <w:shd w:fill="FFFFFF" w:val="clear"/>
            <w:vAlign w:val="center"/>
          </w:tcPr>
          <w:p>
            <w:pPr>
              <w:pStyle w:val="TableContents"/>
              <w:spacing w:before="0" w:after="0"/>
              <w:ind w:left="0" w:right="0" w:hanging="0"/>
              <w:rPr/>
            </w:pPr>
            <w:r>
              <w:rPr/>
              <w:t> </w:t>
            </w:r>
          </w:p>
        </w:tc>
        <w:tc>
          <w:tcPr>
            <w:tcW w:w="1008"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85" w:type="dxa"/>
            <w:tcBorders/>
            <w:shd w:fill="FFFFFF" w:val="clear"/>
            <w:vAlign w:val="center"/>
          </w:tcPr>
          <w:p>
            <w:pPr>
              <w:pStyle w:val="TableContents"/>
              <w:spacing w:before="0" w:after="0"/>
              <w:ind w:left="0" w:right="0" w:hanging="0"/>
              <w:rPr/>
            </w:pPr>
            <w:r>
              <w:rPr/>
              <w:t> </w:t>
            </w:r>
          </w:p>
        </w:tc>
        <w:tc>
          <w:tcPr>
            <w:tcW w:w="172" w:type="dxa"/>
            <w:tcBorders/>
            <w:shd w:fill="FFFFFF" w:val="clear"/>
            <w:vAlign w:val="center"/>
          </w:tcPr>
          <w:p>
            <w:pPr>
              <w:pStyle w:val="TableContents"/>
              <w:spacing w:before="0" w:after="0"/>
              <w:ind w:left="0" w:right="0" w:hanging="0"/>
              <w:rPr/>
            </w:pPr>
            <w:r>
              <w:rPr/>
              <w:t> </w:t>
            </w:r>
          </w:p>
        </w:tc>
      </w:tr>
      <w:tr>
        <w:trPr/>
        <w:tc>
          <w:tcPr>
            <w:tcW w:w="2068"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Exchange traded debt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304,111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0"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0"/>
              <w:ind w:left="0" w:right="0" w:hanging="0"/>
              <w:rPr/>
            </w:pPr>
            <w:r>
              <w:rPr/>
              <w:t> </w:t>
            </w:r>
          </w:p>
        </w:tc>
        <w:tc>
          <w:tcPr>
            <w:tcW w:w="933" w:type="dxa"/>
            <w:tcBorders/>
            <w:shd w:fill="CCEEFF" w:val="clear"/>
            <w:vAlign w:val="center"/>
          </w:tcPr>
          <w:p>
            <w:pPr>
              <w:pStyle w:val="TableContents"/>
              <w:spacing w:before="0" w:after="283"/>
              <w:jc w:val="right"/>
              <w:rPr/>
            </w:pPr>
            <w:r>
              <w:rPr/>
              <w:t>(29,111</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89" w:type="dxa"/>
            <w:tcBorders/>
            <w:shd w:fill="CCEEFF" w:val="clear"/>
            <w:vAlign w:val="center"/>
          </w:tcPr>
          <w:p>
            <w:pPr>
              <w:pStyle w:val="TableContents"/>
              <w:spacing w:before="0" w:after="0"/>
              <w:ind w:left="0" w:right="0" w:hanging="0"/>
              <w:rPr/>
            </w:pPr>
            <w:r>
              <w:rPr/>
              <w:t> </w:t>
            </w:r>
          </w:p>
        </w:tc>
        <w:tc>
          <w:tcPr>
            <w:tcW w:w="1008"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275,000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85" w:type="dxa"/>
            <w:tcBorders/>
            <w:shd w:fill="CCEEFF" w:val="clear"/>
            <w:vAlign w:val="center"/>
          </w:tcPr>
          <w:p>
            <w:pPr>
              <w:pStyle w:val="TableContents"/>
              <w:spacing w:before="0" w:after="283"/>
              <w:jc w:val="right"/>
              <w:rPr/>
            </w:pPr>
            <w:r>
              <w:rPr/>
              <w:t>(29,111</w:t>
            </w:r>
          </w:p>
        </w:tc>
        <w:tc>
          <w:tcPr>
            <w:tcW w:w="172" w:type="dxa"/>
            <w:tcBorders/>
            <w:shd w:fill="CCEEFF" w:val="clear"/>
            <w:vAlign w:val="center"/>
          </w:tcPr>
          <w:p>
            <w:pPr>
              <w:pStyle w:val="TableContents"/>
              <w:spacing w:before="0" w:after="283"/>
              <w:rPr/>
            </w:pPr>
            <w:r>
              <w:rPr/>
              <w:t>)</w:t>
            </w:r>
          </w:p>
        </w:tc>
      </w:tr>
      <w:tr>
        <w:trPr/>
        <w:tc>
          <w:tcPr>
            <w:tcW w:w="206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90" w:type="dxa"/>
            <w:tcBorders/>
            <w:shd w:fill="FFFFFF" w:val="clear"/>
            <w:vAlign w:val="center"/>
          </w:tcPr>
          <w:p>
            <w:pPr>
              <w:pStyle w:val="TableContents"/>
              <w:spacing w:before="0" w:after="0"/>
              <w:ind w:left="0" w:right="0" w:hanging="0"/>
              <w:rPr/>
            </w:pPr>
            <w:r>
              <w:rPr/>
              <w:t> </w:t>
            </w:r>
          </w:p>
        </w:tc>
        <w:tc>
          <w:tcPr>
            <w:tcW w:w="796"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0"/>
              <w:ind w:left="0" w:right="0" w:hanging="0"/>
              <w:rPr/>
            </w:pPr>
            <w:r>
              <w:rPr/>
              <w:t> </w:t>
            </w:r>
          </w:p>
        </w:tc>
        <w:tc>
          <w:tcPr>
            <w:tcW w:w="933"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9" w:type="dxa"/>
            <w:tcBorders/>
            <w:shd w:fill="FFFFFF" w:val="clear"/>
            <w:vAlign w:val="center"/>
          </w:tcPr>
          <w:p>
            <w:pPr>
              <w:pStyle w:val="TableContents"/>
              <w:spacing w:before="0" w:after="0"/>
              <w:ind w:left="0" w:right="0" w:hanging="0"/>
              <w:rPr/>
            </w:pPr>
            <w:r>
              <w:rPr/>
              <w:t> </w:t>
            </w:r>
          </w:p>
        </w:tc>
        <w:tc>
          <w:tcPr>
            <w:tcW w:w="1008"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85" w:type="dxa"/>
            <w:tcBorders/>
            <w:shd w:fill="FFFFFF" w:val="clear"/>
            <w:vAlign w:val="center"/>
          </w:tcPr>
          <w:p>
            <w:pPr>
              <w:pStyle w:val="TableContents"/>
              <w:spacing w:before="0" w:after="0"/>
              <w:ind w:left="0" w:right="0" w:hanging="0"/>
              <w:rPr/>
            </w:pPr>
            <w:r>
              <w:rPr/>
              <w:t> </w:t>
            </w:r>
          </w:p>
        </w:tc>
        <w:tc>
          <w:tcPr>
            <w:tcW w:w="172" w:type="dxa"/>
            <w:tcBorders/>
            <w:shd w:fill="FFFFFF" w:val="clear"/>
            <w:vAlign w:val="center"/>
          </w:tcPr>
          <w:p>
            <w:pPr>
              <w:pStyle w:val="TableContents"/>
              <w:spacing w:before="0" w:after="0"/>
              <w:ind w:left="0" w:right="0" w:hanging="0"/>
              <w:rPr/>
            </w:pPr>
            <w:r>
              <w:rPr/>
              <w:t> </w:t>
            </w:r>
          </w:p>
        </w:tc>
      </w:tr>
      <w:tr>
        <w:trPr/>
        <w:tc>
          <w:tcPr>
            <w:tcW w:w="2068"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Corporate and other bonds Industrial and miscellaneous</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5,734,831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283"/>
              <w:jc w:val="right"/>
              <w:rPr/>
            </w:pPr>
            <w:r>
              <w:rPr/>
              <w:t>36,968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3" w:type="dxa"/>
            <w:tcBorders>
              <w:bottom w:val="single" w:sz="2" w:space="0" w:color="000000"/>
            </w:tcBorders>
            <w:shd w:fill="CCEEFF" w:val="clear"/>
            <w:tcMar>
              <w:bottom w:w="28" w:type="dxa"/>
            </w:tcMar>
            <w:vAlign w:val="center"/>
          </w:tcPr>
          <w:p>
            <w:pPr>
              <w:pStyle w:val="TableContents"/>
              <w:spacing w:before="0" w:after="283"/>
              <w:jc w:val="right"/>
              <w:rPr/>
            </w:pPr>
            <w:r>
              <w:rPr/>
              <w:t>(809,746</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8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08" w:type="dxa"/>
            <w:tcBorders>
              <w:bottom w:val="single" w:sz="2" w:space="0" w:color="000000"/>
            </w:tcBorders>
            <w:shd w:fill="CCEEFF" w:val="clear"/>
            <w:tcMar>
              <w:bottom w:w="28" w:type="dxa"/>
            </w:tcMar>
            <w:vAlign w:val="center"/>
          </w:tcPr>
          <w:p>
            <w:pPr>
              <w:pStyle w:val="TableContents"/>
              <w:spacing w:before="0" w:after="283"/>
              <w:jc w:val="right"/>
              <w:rPr/>
            </w:pPr>
            <w:r>
              <w:rPr/>
              <w:t>(360,278</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4,601,775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85" w:type="dxa"/>
            <w:tcBorders>
              <w:bottom w:val="single" w:sz="2" w:space="0" w:color="000000"/>
            </w:tcBorders>
            <w:shd w:fill="CCEEFF" w:val="clear"/>
            <w:tcMar>
              <w:bottom w:w="28" w:type="dxa"/>
            </w:tcMar>
            <w:vAlign w:val="center"/>
          </w:tcPr>
          <w:p>
            <w:pPr>
              <w:pStyle w:val="TableContents"/>
              <w:spacing w:before="0" w:after="283"/>
              <w:jc w:val="right"/>
              <w:rPr/>
            </w:pPr>
            <w:r>
              <w:rPr/>
              <w:t>(1,133,056</w:t>
            </w:r>
          </w:p>
        </w:tc>
        <w:tc>
          <w:tcPr>
            <w:tcW w:w="172" w:type="dxa"/>
            <w:tcBorders/>
            <w:shd w:fill="CCEEFF" w:val="clear"/>
            <w:vAlign w:val="center"/>
          </w:tcPr>
          <w:p>
            <w:pPr>
              <w:pStyle w:val="TableContents"/>
              <w:spacing w:before="0" w:after="283"/>
              <w:rPr/>
            </w:pPr>
            <w:r>
              <w:rPr/>
              <w:t>)</w:t>
            </w:r>
          </w:p>
        </w:tc>
      </w:tr>
      <w:tr>
        <w:trPr/>
        <w:tc>
          <w:tcPr>
            <w:tcW w:w="2068"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Total</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010" w:type="dxa"/>
            <w:tcBorders>
              <w:bottom w:val="double" w:sz="6" w:space="0" w:color="000000"/>
            </w:tcBorders>
            <w:shd w:fill="FFFFFF" w:val="clear"/>
            <w:tcMar>
              <w:bottom w:w="28" w:type="dxa"/>
            </w:tcMar>
            <w:vAlign w:val="center"/>
          </w:tcPr>
          <w:p>
            <w:pPr>
              <w:pStyle w:val="TableContents"/>
              <w:spacing w:before="0" w:after="283"/>
              <w:jc w:val="right"/>
              <w:rPr/>
            </w:pPr>
            <w:r>
              <w:rPr/>
              <w:t>7,766,140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90" w:type="dxa"/>
            <w:tcBorders>
              <w:bottom w:val="double" w:sz="6" w:space="0" w:color="000000"/>
            </w:tcBorders>
            <w:shd w:fill="FFFFFF" w:val="clear"/>
            <w:tcMar>
              <w:bottom w:w="28" w:type="dxa"/>
            </w:tcMar>
            <w:vAlign w:val="center"/>
          </w:tcPr>
          <w:p>
            <w:pPr>
              <w:pStyle w:val="TableContents"/>
              <w:spacing w:before="0" w:after="283"/>
              <w:rPr/>
            </w:pPr>
            <w:r>
              <w:rPr/>
              <w:t>$</w:t>
            </w:r>
          </w:p>
        </w:tc>
        <w:tc>
          <w:tcPr>
            <w:tcW w:w="796" w:type="dxa"/>
            <w:tcBorders>
              <w:bottom w:val="double" w:sz="6" w:space="0" w:color="000000"/>
            </w:tcBorders>
            <w:shd w:fill="FFFFFF" w:val="clear"/>
            <w:tcMar>
              <w:bottom w:w="28" w:type="dxa"/>
            </w:tcMar>
            <w:vAlign w:val="center"/>
          </w:tcPr>
          <w:p>
            <w:pPr>
              <w:pStyle w:val="TableContents"/>
              <w:spacing w:before="0" w:after="283"/>
              <w:jc w:val="right"/>
              <w:rPr/>
            </w:pPr>
            <w:r>
              <w:rPr/>
              <w:t>67,460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4" w:type="dxa"/>
            <w:tcBorders>
              <w:bottom w:val="double" w:sz="6" w:space="0" w:color="000000"/>
            </w:tcBorders>
            <w:shd w:fill="FFFFFF" w:val="clear"/>
            <w:tcMar>
              <w:bottom w:w="28" w:type="dxa"/>
            </w:tcMar>
            <w:vAlign w:val="center"/>
          </w:tcPr>
          <w:p>
            <w:pPr>
              <w:pStyle w:val="TableContents"/>
              <w:spacing w:before="0" w:after="283"/>
              <w:rPr/>
            </w:pPr>
            <w:r>
              <w:rPr/>
              <w:t>$</w:t>
            </w:r>
          </w:p>
        </w:tc>
        <w:tc>
          <w:tcPr>
            <w:tcW w:w="933" w:type="dxa"/>
            <w:tcBorders>
              <w:bottom w:val="double" w:sz="6" w:space="0" w:color="000000"/>
            </w:tcBorders>
            <w:shd w:fill="FFFFFF" w:val="clear"/>
            <w:tcMar>
              <w:bottom w:w="28" w:type="dxa"/>
            </w:tcMar>
            <w:vAlign w:val="center"/>
          </w:tcPr>
          <w:p>
            <w:pPr>
              <w:pStyle w:val="TableContents"/>
              <w:spacing w:before="0" w:after="283"/>
              <w:jc w:val="right"/>
              <w:rPr/>
            </w:pPr>
            <w:r>
              <w:rPr/>
              <w:t>(872,934</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89" w:type="dxa"/>
            <w:tcBorders>
              <w:bottom w:val="double" w:sz="6" w:space="0" w:color="000000"/>
            </w:tcBorders>
            <w:shd w:fill="FFFFFF" w:val="clear"/>
            <w:tcMar>
              <w:bottom w:w="28" w:type="dxa"/>
            </w:tcMar>
            <w:vAlign w:val="center"/>
          </w:tcPr>
          <w:p>
            <w:pPr>
              <w:pStyle w:val="TableContents"/>
              <w:spacing w:before="0" w:after="283"/>
              <w:rPr/>
            </w:pPr>
            <w:r>
              <w:rPr/>
              <w:t>$</w:t>
            </w:r>
          </w:p>
        </w:tc>
        <w:tc>
          <w:tcPr>
            <w:tcW w:w="1008" w:type="dxa"/>
            <w:tcBorders>
              <w:bottom w:val="double" w:sz="6" w:space="0" w:color="000000"/>
            </w:tcBorders>
            <w:shd w:fill="FFFFFF" w:val="clear"/>
            <w:tcMar>
              <w:bottom w:w="28" w:type="dxa"/>
            </w:tcMar>
            <w:vAlign w:val="center"/>
          </w:tcPr>
          <w:p>
            <w:pPr>
              <w:pStyle w:val="TableContents"/>
              <w:spacing w:before="0" w:after="283"/>
              <w:jc w:val="right"/>
              <w:rPr/>
            </w:pPr>
            <w:r>
              <w:rPr/>
              <w:t>(360,278</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010" w:type="dxa"/>
            <w:tcBorders>
              <w:bottom w:val="double" w:sz="6" w:space="0" w:color="000000"/>
            </w:tcBorders>
            <w:shd w:fill="FFFFFF" w:val="clear"/>
            <w:tcMar>
              <w:bottom w:w="28" w:type="dxa"/>
            </w:tcMar>
            <w:vAlign w:val="center"/>
          </w:tcPr>
          <w:p>
            <w:pPr>
              <w:pStyle w:val="TableContents"/>
              <w:spacing w:before="0" w:after="283"/>
              <w:jc w:val="right"/>
              <w:rPr/>
            </w:pPr>
            <w:r>
              <w:rPr/>
              <w:t>6,600,388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085" w:type="dxa"/>
            <w:tcBorders>
              <w:bottom w:val="double" w:sz="6" w:space="0" w:color="000000"/>
            </w:tcBorders>
            <w:shd w:fill="FFFFFF" w:val="clear"/>
            <w:tcMar>
              <w:bottom w:w="28" w:type="dxa"/>
            </w:tcMar>
            <w:vAlign w:val="center"/>
          </w:tcPr>
          <w:p>
            <w:pPr>
              <w:pStyle w:val="TableContents"/>
              <w:spacing w:before="0" w:after="283"/>
              <w:jc w:val="right"/>
              <w:rPr/>
            </w:pPr>
            <w:r>
              <w:rPr/>
              <w:t>(1,165,752</w:t>
            </w:r>
          </w:p>
        </w:tc>
        <w:tc>
          <w:tcPr>
            <w:tcW w:w="172" w:type="dxa"/>
            <w:tcBorders/>
            <w:shd w:fill="FFFFFF" w:val="clear"/>
            <w:vAlign w:val="center"/>
          </w:tcPr>
          <w:p>
            <w:pPr>
              <w:pStyle w:val="TableContents"/>
              <w:spacing w:before="0" w:after="283"/>
              <w:rPr/>
            </w:pPr>
            <w:r>
              <w:rPr/>
              <w:t>)</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2163"/>
        <w:gridCol w:w="90"/>
        <w:gridCol w:w="170"/>
        <w:gridCol w:w="1010"/>
        <w:gridCol w:w="90"/>
        <w:gridCol w:w="90"/>
        <w:gridCol w:w="170"/>
        <w:gridCol w:w="833"/>
        <w:gridCol w:w="90"/>
        <w:gridCol w:w="90"/>
        <w:gridCol w:w="258"/>
        <w:gridCol w:w="909"/>
        <w:gridCol w:w="137"/>
        <w:gridCol w:w="98"/>
        <w:gridCol w:w="689"/>
        <w:gridCol w:w="508"/>
        <w:gridCol w:w="90"/>
        <w:gridCol w:w="90"/>
        <w:gridCol w:w="170"/>
        <w:gridCol w:w="1010"/>
        <w:gridCol w:w="90"/>
        <w:gridCol w:w="90"/>
        <w:gridCol w:w="185"/>
        <w:gridCol w:w="908"/>
        <w:gridCol w:w="177"/>
      </w:tblGrid>
      <w:tr>
        <w:trPr/>
        <w:tc>
          <w:tcPr>
            <w:tcW w:w="2163"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775" w:type="dxa"/>
            <w:gridSpan w:val="2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2021</w:t>
            </w:r>
          </w:p>
        </w:tc>
        <w:tc>
          <w:tcPr>
            <w:tcW w:w="177" w:type="dxa"/>
            <w:tcBorders/>
            <w:shd w:fill="auto" w:val="clear"/>
            <w:vAlign w:val="center"/>
          </w:tcPr>
          <w:p>
            <w:pPr>
              <w:pStyle w:val="TableContents"/>
              <w:spacing w:before="0" w:after="0"/>
              <w:ind w:left="0" w:right="0" w:hanging="0"/>
              <w:rPr/>
            </w:pPr>
            <w:r>
              <w:rPr/>
              <w:t> </w:t>
            </w:r>
          </w:p>
        </w:tc>
      </w:tr>
      <w:tr>
        <w:trPr/>
        <w:tc>
          <w:tcPr>
            <w:tcW w:w="2163"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3"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67" w:type="dxa"/>
            <w:gridSpan w:val="2"/>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0"/>
              <w:ind w:left="0" w:right="0" w:hanging="0"/>
              <w:rPr/>
            </w:pPr>
            <w:r>
              <w:rPr/>
              <w:t> </w:t>
            </w:r>
          </w:p>
        </w:tc>
        <w:tc>
          <w:tcPr>
            <w:tcW w:w="98" w:type="dxa"/>
            <w:tcBorders/>
            <w:shd w:fill="auto" w:val="clear"/>
            <w:vAlign w:val="center"/>
          </w:tcPr>
          <w:p>
            <w:pPr>
              <w:pStyle w:val="TableContents"/>
              <w:spacing w:before="0" w:after="0"/>
              <w:ind w:left="0" w:right="0" w:hanging="0"/>
              <w:rPr/>
            </w:pPr>
            <w:r>
              <w:rPr/>
              <w:t> </w:t>
            </w:r>
          </w:p>
        </w:tc>
        <w:tc>
          <w:tcPr>
            <w:tcW w:w="1197"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93"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Net </w:t>
            </w:r>
          </w:p>
        </w:tc>
        <w:tc>
          <w:tcPr>
            <w:tcW w:w="177" w:type="dxa"/>
            <w:tcBorders/>
            <w:shd w:fill="auto" w:val="clear"/>
            <w:vAlign w:val="center"/>
          </w:tcPr>
          <w:p>
            <w:pPr>
              <w:pStyle w:val="TableContents"/>
              <w:spacing w:before="0" w:after="0"/>
              <w:ind w:left="0" w:right="0" w:hanging="0"/>
              <w:rPr/>
            </w:pPr>
            <w:r>
              <w:rPr/>
              <w:t> </w:t>
            </w:r>
          </w:p>
        </w:tc>
      </w:tr>
      <w:tr>
        <w:trPr/>
        <w:tc>
          <w:tcPr>
            <w:tcW w:w="2163"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Cost or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3"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Gross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599"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Gross Unrealized Losses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Estimated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93"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Unrealized  </w:t>
            </w:r>
          </w:p>
        </w:tc>
        <w:tc>
          <w:tcPr>
            <w:tcW w:w="177" w:type="dxa"/>
            <w:tcBorders/>
            <w:shd w:fill="auto" w:val="clear"/>
            <w:vAlign w:val="center"/>
          </w:tcPr>
          <w:p>
            <w:pPr>
              <w:pStyle w:val="TableContents"/>
              <w:spacing w:before="0" w:after="0"/>
              <w:ind w:left="0" w:right="0" w:hanging="0"/>
              <w:rPr/>
            </w:pPr>
            <w:r>
              <w:rPr/>
              <w:t> </w:t>
            </w:r>
          </w:p>
        </w:tc>
      </w:tr>
      <w:tr>
        <w:trPr/>
        <w:tc>
          <w:tcPr>
            <w:tcW w:w="2163"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Amortized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3"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Unrealized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67"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Less than 12 </w:t>
            </w:r>
          </w:p>
        </w:tc>
        <w:tc>
          <w:tcPr>
            <w:tcW w:w="137" w:type="dxa"/>
            <w:tcBorders/>
            <w:shd w:fill="auto" w:val="clear"/>
            <w:vAlign w:val="center"/>
          </w:tcPr>
          <w:p>
            <w:pPr>
              <w:pStyle w:val="TableContents"/>
              <w:spacing w:before="0" w:after="0"/>
              <w:ind w:left="0" w:right="0" w:hanging="0"/>
              <w:rPr/>
            </w:pPr>
            <w:r>
              <w:rPr/>
              <w:t> </w:t>
            </w:r>
          </w:p>
        </w:tc>
        <w:tc>
          <w:tcPr>
            <w:tcW w:w="98" w:type="dxa"/>
            <w:tcBorders/>
            <w:shd w:fill="auto" w:val="clear"/>
            <w:vAlign w:val="center"/>
          </w:tcPr>
          <w:p>
            <w:pPr>
              <w:pStyle w:val="TableContents"/>
              <w:spacing w:before="0" w:after="0"/>
              <w:ind w:left="0" w:right="0" w:hanging="0"/>
              <w:rPr/>
            </w:pPr>
            <w:r>
              <w:rPr/>
              <w:t> </w:t>
            </w:r>
          </w:p>
        </w:tc>
        <w:tc>
          <w:tcPr>
            <w:tcW w:w="1197"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More than 12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Fair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93"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Gains/ </w:t>
            </w:r>
          </w:p>
        </w:tc>
        <w:tc>
          <w:tcPr>
            <w:tcW w:w="177" w:type="dxa"/>
            <w:tcBorders/>
            <w:shd w:fill="auto" w:val="clear"/>
            <w:vAlign w:val="center"/>
          </w:tcPr>
          <w:p>
            <w:pPr>
              <w:pStyle w:val="TableContents"/>
              <w:spacing w:before="0" w:after="0"/>
              <w:ind w:left="0" w:right="0" w:hanging="0"/>
              <w:rPr/>
            </w:pPr>
            <w:r>
              <w:rPr/>
              <w:t> </w:t>
            </w:r>
          </w:p>
        </w:tc>
      </w:tr>
      <w:tr>
        <w:trPr/>
        <w:tc>
          <w:tcPr>
            <w:tcW w:w="2163"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Fonts w:ascii="times new roman" w:hAnsi="times new roman"/>
                <w:sz w:val="20"/>
              </w:rPr>
              <w:t xml:space="preserve">Category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Cost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Gains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6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Months </w:t>
            </w:r>
          </w:p>
        </w:tc>
        <w:tc>
          <w:tcPr>
            <w:tcW w:w="137" w:type="dxa"/>
            <w:tcBorders/>
            <w:shd w:fill="auto" w:val="clear"/>
            <w:vAlign w:val="center"/>
          </w:tcPr>
          <w:p>
            <w:pPr>
              <w:pStyle w:val="TableContents"/>
              <w:spacing w:before="0" w:after="0"/>
              <w:ind w:left="0" w:right="0" w:hanging="0"/>
              <w:rPr/>
            </w:pPr>
            <w:r>
              <w:rPr/>
              <w:t> </w:t>
            </w:r>
          </w:p>
        </w:tc>
        <w:tc>
          <w:tcPr>
            <w:tcW w:w="98" w:type="dxa"/>
            <w:tcBorders/>
            <w:shd w:fill="auto" w:val="clear"/>
            <w:vAlign w:val="center"/>
          </w:tcPr>
          <w:p>
            <w:pPr>
              <w:pStyle w:val="TableContents"/>
              <w:spacing w:before="0" w:after="0"/>
              <w:ind w:left="0" w:right="0" w:hanging="0"/>
              <w:rPr/>
            </w:pPr>
            <w:r>
              <w:rPr/>
              <w:t> </w:t>
            </w:r>
          </w:p>
        </w:tc>
        <w:tc>
          <w:tcPr>
            <w:tcW w:w="11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Months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Value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9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(Losses) </w:t>
            </w:r>
          </w:p>
        </w:tc>
        <w:tc>
          <w:tcPr>
            <w:tcW w:w="177" w:type="dxa"/>
            <w:tcBorders/>
            <w:shd w:fill="auto" w:val="clear"/>
            <w:vAlign w:val="center"/>
          </w:tcPr>
          <w:p>
            <w:pPr>
              <w:pStyle w:val="TableContents"/>
              <w:spacing w:before="0" w:after="0"/>
              <w:ind w:left="0" w:right="0" w:hanging="0"/>
              <w:rPr/>
            </w:pPr>
            <w:r>
              <w:rPr/>
              <w:t> </w:t>
            </w:r>
          </w:p>
        </w:tc>
      </w:tr>
      <w:tr>
        <w:trPr/>
        <w:tc>
          <w:tcPr>
            <w:tcW w:w="2163"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c>
          <w:tcPr>
            <w:tcW w:w="833"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5499" w:type="dxa"/>
            <w:gridSpan w:val="16"/>
            <w:tcBorders/>
            <w:shd w:fill="auto" w:val="clear"/>
            <w:vAlign w:val="center"/>
          </w:tcPr>
          <w:p>
            <w:pPr>
              <w:pStyle w:val="TableContents"/>
              <w:spacing w:before="0" w:after="0"/>
              <w:ind w:left="0" w:right="0" w:hanging="0"/>
              <w:rPr/>
            </w:pPr>
            <w:r>
              <w:rPr/>
              <w:t> </w:t>
            </w:r>
          </w:p>
        </w:tc>
      </w:tr>
      <w:tr>
        <w:trPr/>
        <w:tc>
          <w:tcPr>
            <w:tcW w:w="2163" w:type="dxa"/>
            <w:tcBorders/>
            <w:shd w:fill="auto" w:val="clear"/>
            <w:vAlign w:val="center"/>
          </w:tcPr>
          <w:p>
            <w:pPr>
              <w:pStyle w:val="TableContents"/>
              <w:spacing w:before="0" w:after="0"/>
              <w:ind w:left="0" w:right="0" w:hanging="0"/>
              <w:rPr/>
            </w:pPr>
            <w:r>
              <w:rPr>
                <w:rStyle w:val="StrongEmphasis"/>
                <w:rFonts w:ascii="times new roman" w:hAnsi="times new roman"/>
                <w:sz w:val="20"/>
              </w:rPr>
              <w:t xml:space="preserve">Held-to-Maturity Securities: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3"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67" w:type="dxa"/>
            <w:gridSpan w:val="2"/>
            <w:tcBorders/>
            <w:shd w:fill="auto" w:val="clear"/>
            <w:vAlign w:val="center"/>
          </w:tcPr>
          <w:p>
            <w:pPr>
              <w:pStyle w:val="TableContents"/>
              <w:spacing w:before="0" w:after="0"/>
              <w:ind w:left="0" w:right="0" w:hanging="0"/>
              <w:rPr/>
            </w:pPr>
            <w:r>
              <w:rPr/>
              <w:t> </w:t>
            </w:r>
          </w:p>
        </w:tc>
        <w:tc>
          <w:tcPr>
            <w:tcW w:w="137" w:type="dxa"/>
            <w:tcBorders/>
            <w:shd w:fill="auto" w:val="clear"/>
            <w:vAlign w:val="center"/>
          </w:tcPr>
          <w:p>
            <w:pPr>
              <w:pStyle w:val="TableContents"/>
              <w:spacing w:before="0" w:after="0"/>
              <w:ind w:left="0" w:right="0" w:hanging="0"/>
              <w:rPr/>
            </w:pPr>
            <w:r>
              <w:rPr/>
              <w:t> </w:t>
            </w:r>
          </w:p>
        </w:tc>
        <w:tc>
          <w:tcPr>
            <w:tcW w:w="98" w:type="dxa"/>
            <w:tcBorders/>
            <w:shd w:fill="auto" w:val="clear"/>
            <w:vAlign w:val="center"/>
          </w:tcPr>
          <w:p>
            <w:pPr>
              <w:pStyle w:val="TableContents"/>
              <w:spacing w:before="0" w:after="0"/>
              <w:ind w:left="0" w:right="0" w:hanging="0"/>
              <w:rPr/>
            </w:pPr>
            <w:r>
              <w:rPr/>
              <w:t> </w:t>
            </w:r>
          </w:p>
        </w:tc>
        <w:tc>
          <w:tcPr>
            <w:tcW w:w="1197"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93" w:type="dxa"/>
            <w:gridSpan w:val="2"/>
            <w:tcBorders/>
            <w:shd w:fill="auto" w:val="clear"/>
            <w:vAlign w:val="center"/>
          </w:tcPr>
          <w:p>
            <w:pPr>
              <w:pStyle w:val="TableContents"/>
              <w:spacing w:before="0" w:after="0"/>
              <w:ind w:left="0" w:right="0" w:hanging="0"/>
              <w:rPr/>
            </w:pPr>
            <w:r>
              <w:rPr/>
              <w:t> </w:t>
            </w:r>
          </w:p>
        </w:tc>
        <w:tc>
          <w:tcPr>
            <w:tcW w:w="177" w:type="dxa"/>
            <w:tcBorders/>
            <w:shd w:fill="auto" w:val="clear"/>
            <w:vAlign w:val="center"/>
          </w:tcPr>
          <w:p>
            <w:pPr>
              <w:pStyle w:val="TableContents"/>
              <w:spacing w:before="0" w:after="0"/>
              <w:ind w:left="0" w:right="0" w:hanging="0"/>
              <w:rPr/>
            </w:pPr>
            <w:r>
              <w:rPr/>
              <w:t> </w:t>
            </w:r>
          </w:p>
        </w:tc>
      </w:tr>
      <w:tr>
        <w:trPr/>
        <w:tc>
          <w:tcPr>
            <w:tcW w:w="2163"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U.S. Treasury securities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729,642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833" w:type="dxa"/>
            <w:tcBorders/>
            <w:shd w:fill="CCEEFF" w:val="clear"/>
            <w:vAlign w:val="center"/>
          </w:tcPr>
          <w:p>
            <w:pPr>
              <w:pStyle w:val="TableContents"/>
              <w:spacing w:before="0" w:after="283"/>
              <w:jc w:val="right"/>
              <w:rPr/>
            </w:pPr>
            <w:r>
              <w:rPr/>
              <w:t>209,633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58" w:type="dxa"/>
            <w:tcBorders/>
            <w:shd w:fill="CCEEFF" w:val="clear"/>
            <w:vAlign w:val="center"/>
          </w:tcPr>
          <w:p>
            <w:pPr>
              <w:pStyle w:val="TableContents"/>
              <w:spacing w:before="0" w:after="283"/>
              <w:rPr/>
            </w:pPr>
            <w:r>
              <w:rPr/>
              <w:t>$</w:t>
            </w:r>
          </w:p>
        </w:tc>
        <w:tc>
          <w:tcPr>
            <w:tcW w:w="909" w:type="dxa"/>
            <w:tcBorders/>
            <w:shd w:fill="CCEEFF" w:val="clear"/>
            <w:vAlign w:val="center"/>
          </w:tcPr>
          <w:p>
            <w:pPr>
              <w:pStyle w:val="TableContents"/>
              <w:spacing w:before="0" w:after="283"/>
              <w:jc w:val="right"/>
              <w:rPr/>
            </w:pPr>
            <w:r>
              <w:rPr/>
              <w:t>-</w:t>
            </w:r>
          </w:p>
        </w:tc>
        <w:tc>
          <w:tcPr>
            <w:tcW w:w="137" w:type="dxa"/>
            <w:tcBorders/>
            <w:shd w:fill="CCEEFF" w:val="clear"/>
            <w:vAlign w:val="center"/>
          </w:tcPr>
          <w:p>
            <w:pPr>
              <w:pStyle w:val="TableContents"/>
              <w:spacing w:before="0" w:after="0"/>
              <w:ind w:left="0" w:right="0" w:hanging="0"/>
              <w:rPr/>
            </w:pPr>
            <w:r>
              <w:rPr/>
              <w:t> </w:t>
            </w:r>
          </w:p>
        </w:tc>
        <w:tc>
          <w:tcPr>
            <w:tcW w:w="98" w:type="dxa"/>
            <w:tcBorders/>
            <w:shd w:fill="CCEEFF" w:val="clear"/>
            <w:vAlign w:val="center"/>
          </w:tcPr>
          <w:p>
            <w:pPr>
              <w:pStyle w:val="TableContents"/>
              <w:spacing w:before="0" w:after="0"/>
              <w:ind w:left="0" w:right="0" w:hanging="0"/>
              <w:rPr/>
            </w:pPr>
            <w:r>
              <w:rPr/>
              <w:t> </w:t>
            </w:r>
          </w:p>
        </w:tc>
        <w:tc>
          <w:tcPr>
            <w:tcW w:w="689" w:type="dxa"/>
            <w:tcBorders/>
            <w:shd w:fill="CCEEFF" w:val="clear"/>
            <w:vAlign w:val="center"/>
          </w:tcPr>
          <w:p>
            <w:pPr>
              <w:pStyle w:val="TableContents"/>
              <w:spacing w:before="0" w:after="283"/>
              <w:rPr/>
            </w:pPr>
            <w:r>
              <w:rPr/>
              <w:t>$</w:t>
            </w:r>
          </w:p>
        </w:tc>
        <w:tc>
          <w:tcPr>
            <w:tcW w:w="508"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939,275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5" w:type="dxa"/>
            <w:tcBorders/>
            <w:shd w:fill="CCEEFF" w:val="clear"/>
            <w:vAlign w:val="center"/>
          </w:tcPr>
          <w:p>
            <w:pPr>
              <w:pStyle w:val="TableContents"/>
              <w:spacing w:before="0" w:after="283"/>
              <w:rPr/>
            </w:pPr>
            <w:r>
              <w:rPr/>
              <w:t>$</w:t>
            </w:r>
          </w:p>
        </w:tc>
        <w:tc>
          <w:tcPr>
            <w:tcW w:w="908" w:type="dxa"/>
            <w:tcBorders/>
            <w:shd w:fill="CCEEFF" w:val="clear"/>
            <w:vAlign w:val="center"/>
          </w:tcPr>
          <w:p>
            <w:pPr>
              <w:pStyle w:val="TableContents"/>
              <w:spacing w:before="0" w:after="283"/>
              <w:jc w:val="right"/>
              <w:rPr/>
            </w:pPr>
            <w:r>
              <w:rPr/>
              <w:t>209,633</w:t>
            </w:r>
          </w:p>
        </w:tc>
        <w:tc>
          <w:tcPr>
            <w:tcW w:w="177" w:type="dxa"/>
            <w:tcBorders/>
            <w:shd w:fill="CCEEFF" w:val="clear"/>
            <w:vAlign w:val="center"/>
          </w:tcPr>
          <w:p>
            <w:pPr>
              <w:pStyle w:val="TableContents"/>
              <w:spacing w:before="0" w:after="0"/>
              <w:ind w:left="0" w:right="0" w:hanging="0"/>
              <w:rPr/>
            </w:pPr>
            <w:r>
              <w:rPr/>
              <w:t> </w:t>
            </w:r>
          </w:p>
        </w:tc>
      </w:tr>
      <w:tr>
        <w:trPr/>
        <w:tc>
          <w:tcPr>
            <w:tcW w:w="2163"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3"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58" w:type="dxa"/>
            <w:tcBorders/>
            <w:shd w:fill="FFFFFF" w:val="clear"/>
            <w:vAlign w:val="center"/>
          </w:tcPr>
          <w:p>
            <w:pPr>
              <w:pStyle w:val="TableContents"/>
              <w:spacing w:before="0" w:after="0"/>
              <w:ind w:left="0" w:right="0" w:hanging="0"/>
              <w:rPr/>
            </w:pPr>
            <w:r>
              <w:rPr/>
              <w:t> </w:t>
            </w:r>
          </w:p>
        </w:tc>
        <w:tc>
          <w:tcPr>
            <w:tcW w:w="909" w:type="dxa"/>
            <w:tcBorders/>
            <w:shd w:fill="FFFFFF" w:val="clear"/>
            <w:vAlign w:val="center"/>
          </w:tcPr>
          <w:p>
            <w:pPr>
              <w:pStyle w:val="TableContents"/>
              <w:spacing w:before="0" w:after="0"/>
              <w:ind w:left="0" w:right="0" w:hanging="0"/>
              <w:rPr/>
            </w:pPr>
            <w:r>
              <w:rPr/>
              <w:t> </w:t>
            </w:r>
          </w:p>
        </w:tc>
        <w:tc>
          <w:tcPr>
            <w:tcW w:w="137" w:type="dxa"/>
            <w:tcBorders/>
            <w:shd w:fill="FFFFFF" w:val="clear"/>
            <w:vAlign w:val="center"/>
          </w:tcPr>
          <w:p>
            <w:pPr>
              <w:pStyle w:val="TableContents"/>
              <w:spacing w:before="0" w:after="0"/>
              <w:ind w:left="0" w:right="0" w:hanging="0"/>
              <w:rPr/>
            </w:pPr>
            <w:r>
              <w:rPr/>
              <w:t> </w:t>
            </w:r>
          </w:p>
        </w:tc>
        <w:tc>
          <w:tcPr>
            <w:tcW w:w="98" w:type="dxa"/>
            <w:tcBorders/>
            <w:shd w:fill="FFFFFF" w:val="clear"/>
            <w:vAlign w:val="center"/>
          </w:tcPr>
          <w:p>
            <w:pPr>
              <w:pStyle w:val="TableContents"/>
              <w:spacing w:before="0" w:after="0"/>
              <w:ind w:left="0" w:right="0" w:hanging="0"/>
              <w:rPr/>
            </w:pPr>
            <w:r>
              <w:rPr/>
              <w:t> </w:t>
            </w:r>
          </w:p>
        </w:tc>
        <w:tc>
          <w:tcPr>
            <w:tcW w:w="689" w:type="dxa"/>
            <w:tcBorders/>
            <w:shd w:fill="FFFFFF" w:val="clear"/>
            <w:vAlign w:val="center"/>
          </w:tcPr>
          <w:p>
            <w:pPr>
              <w:pStyle w:val="TableContents"/>
              <w:spacing w:before="0" w:after="0"/>
              <w:ind w:left="0" w:right="0" w:hanging="0"/>
              <w:rPr/>
            </w:pPr>
            <w:r>
              <w:rPr/>
              <w:t> </w:t>
            </w:r>
          </w:p>
        </w:tc>
        <w:tc>
          <w:tcPr>
            <w:tcW w:w="50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5" w:type="dxa"/>
            <w:tcBorders/>
            <w:shd w:fill="FFFFFF" w:val="clear"/>
            <w:vAlign w:val="center"/>
          </w:tcPr>
          <w:p>
            <w:pPr>
              <w:pStyle w:val="TableContents"/>
              <w:spacing w:before="0" w:after="0"/>
              <w:ind w:left="0" w:right="0" w:hanging="0"/>
              <w:rPr/>
            </w:pPr>
            <w:r>
              <w:rPr/>
              <w:t> </w:t>
            </w:r>
          </w:p>
        </w:tc>
        <w:tc>
          <w:tcPr>
            <w:tcW w:w="908" w:type="dxa"/>
            <w:tcBorders/>
            <w:shd w:fill="FFFFFF" w:val="clear"/>
            <w:vAlign w:val="center"/>
          </w:tcPr>
          <w:p>
            <w:pPr>
              <w:pStyle w:val="TableContents"/>
              <w:spacing w:before="0" w:after="0"/>
              <w:ind w:left="0" w:right="0" w:hanging="0"/>
              <w:rPr/>
            </w:pPr>
            <w:r>
              <w:rPr/>
              <w:t> </w:t>
            </w:r>
          </w:p>
        </w:tc>
        <w:tc>
          <w:tcPr>
            <w:tcW w:w="177" w:type="dxa"/>
            <w:tcBorders/>
            <w:shd w:fill="FFFFFF" w:val="clear"/>
            <w:vAlign w:val="center"/>
          </w:tcPr>
          <w:p>
            <w:pPr>
              <w:pStyle w:val="TableContents"/>
              <w:spacing w:before="0" w:after="0"/>
              <w:ind w:left="0" w:right="0" w:hanging="0"/>
              <w:rPr/>
            </w:pPr>
            <w:r>
              <w:rPr/>
              <w:t> </w:t>
            </w:r>
          </w:p>
        </w:tc>
      </w:tr>
      <w:tr>
        <w:trPr/>
        <w:tc>
          <w:tcPr>
            <w:tcW w:w="2163"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Political subdivisions of States, Territories and Possessions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998,239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3" w:type="dxa"/>
            <w:tcBorders/>
            <w:shd w:fill="CCEEFF" w:val="clear"/>
            <w:vAlign w:val="center"/>
          </w:tcPr>
          <w:p>
            <w:pPr>
              <w:pStyle w:val="TableContents"/>
              <w:spacing w:before="0" w:after="283"/>
              <w:jc w:val="right"/>
              <w:rPr/>
            </w:pPr>
            <w:r>
              <w:rPr/>
              <w:t>22,856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58" w:type="dxa"/>
            <w:tcBorders/>
            <w:shd w:fill="CCEEFF" w:val="clear"/>
            <w:vAlign w:val="center"/>
          </w:tcPr>
          <w:p>
            <w:pPr>
              <w:pStyle w:val="TableContents"/>
              <w:spacing w:before="0" w:after="0"/>
              <w:ind w:left="0" w:right="0" w:hanging="0"/>
              <w:rPr/>
            </w:pPr>
            <w:r>
              <w:rPr/>
              <w:t> </w:t>
            </w:r>
          </w:p>
        </w:tc>
        <w:tc>
          <w:tcPr>
            <w:tcW w:w="909" w:type="dxa"/>
            <w:tcBorders/>
            <w:shd w:fill="CCEEFF" w:val="clear"/>
            <w:vAlign w:val="center"/>
          </w:tcPr>
          <w:p>
            <w:pPr>
              <w:pStyle w:val="TableContents"/>
              <w:spacing w:before="0" w:after="283"/>
              <w:jc w:val="right"/>
              <w:rPr/>
            </w:pPr>
            <w:r>
              <w:rPr/>
              <w:t>-</w:t>
            </w:r>
          </w:p>
        </w:tc>
        <w:tc>
          <w:tcPr>
            <w:tcW w:w="137" w:type="dxa"/>
            <w:tcBorders/>
            <w:shd w:fill="CCEEFF" w:val="clear"/>
            <w:vAlign w:val="center"/>
          </w:tcPr>
          <w:p>
            <w:pPr>
              <w:pStyle w:val="TableContents"/>
              <w:spacing w:before="0" w:after="0"/>
              <w:ind w:left="0" w:right="0" w:hanging="0"/>
              <w:rPr/>
            </w:pPr>
            <w:r>
              <w:rPr/>
              <w:t> </w:t>
            </w:r>
          </w:p>
        </w:tc>
        <w:tc>
          <w:tcPr>
            <w:tcW w:w="98" w:type="dxa"/>
            <w:tcBorders/>
            <w:shd w:fill="CCEEFF" w:val="clear"/>
            <w:vAlign w:val="center"/>
          </w:tcPr>
          <w:p>
            <w:pPr>
              <w:pStyle w:val="TableContents"/>
              <w:spacing w:before="0" w:after="0"/>
              <w:ind w:left="0" w:right="0" w:hanging="0"/>
              <w:rPr/>
            </w:pPr>
            <w:r>
              <w:rPr/>
              <w:t> </w:t>
            </w:r>
          </w:p>
        </w:tc>
        <w:tc>
          <w:tcPr>
            <w:tcW w:w="689" w:type="dxa"/>
            <w:tcBorders/>
            <w:shd w:fill="CCEEFF" w:val="clear"/>
            <w:vAlign w:val="center"/>
          </w:tcPr>
          <w:p>
            <w:pPr>
              <w:pStyle w:val="TableContents"/>
              <w:spacing w:before="0" w:after="0"/>
              <w:ind w:left="0" w:right="0" w:hanging="0"/>
              <w:rPr/>
            </w:pPr>
            <w:r>
              <w:rPr/>
              <w:t> </w:t>
            </w:r>
          </w:p>
        </w:tc>
        <w:tc>
          <w:tcPr>
            <w:tcW w:w="508"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1,021,095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5" w:type="dxa"/>
            <w:tcBorders/>
            <w:shd w:fill="CCEEFF" w:val="clear"/>
            <w:vAlign w:val="center"/>
          </w:tcPr>
          <w:p>
            <w:pPr>
              <w:pStyle w:val="TableContents"/>
              <w:spacing w:before="0" w:after="0"/>
              <w:ind w:left="0" w:right="0" w:hanging="0"/>
              <w:rPr/>
            </w:pPr>
            <w:r>
              <w:rPr/>
              <w:t> </w:t>
            </w:r>
          </w:p>
        </w:tc>
        <w:tc>
          <w:tcPr>
            <w:tcW w:w="908" w:type="dxa"/>
            <w:tcBorders/>
            <w:shd w:fill="CCEEFF" w:val="clear"/>
            <w:vAlign w:val="center"/>
          </w:tcPr>
          <w:p>
            <w:pPr>
              <w:pStyle w:val="TableContents"/>
              <w:spacing w:before="0" w:after="283"/>
              <w:jc w:val="right"/>
              <w:rPr/>
            </w:pPr>
            <w:r>
              <w:rPr/>
              <w:t>22,856</w:t>
            </w:r>
          </w:p>
        </w:tc>
        <w:tc>
          <w:tcPr>
            <w:tcW w:w="177" w:type="dxa"/>
            <w:tcBorders/>
            <w:shd w:fill="CCEEFF" w:val="clear"/>
            <w:vAlign w:val="center"/>
          </w:tcPr>
          <w:p>
            <w:pPr>
              <w:pStyle w:val="TableContents"/>
              <w:spacing w:before="0" w:after="0"/>
              <w:ind w:left="0" w:right="0" w:hanging="0"/>
              <w:rPr/>
            </w:pPr>
            <w:r>
              <w:rPr/>
              <w:t> </w:t>
            </w:r>
          </w:p>
        </w:tc>
      </w:tr>
      <w:tr>
        <w:trPr/>
        <w:tc>
          <w:tcPr>
            <w:tcW w:w="2163"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3"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58" w:type="dxa"/>
            <w:tcBorders/>
            <w:shd w:fill="FFFFFF" w:val="clear"/>
            <w:vAlign w:val="center"/>
          </w:tcPr>
          <w:p>
            <w:pPr>
              <w:pStyle w:val="TableContents"/>
              <w:spacing w:before="0" w:after="0"/>
              <w:ind w:left="0" w:right="0" w:hanging="0"/>
              <w:rPr/>
            </w:pPr>
            <w:r>
              <w:rPr/>
              <w:t> </w:t>
            </w:r>
          </w:p>
        </w:tc>
        <w:tc>
          <w:tcPr>
            <w:tcW w:w="909" w:type="dxa"/>
            <w:tcBorders/>
            <w:shd w:fill="FFFFFF" w:val="clear"/>
            <w:vAlign w:val="center"/>
          </w:tcPr>
          <w:p>
            <w:pPr>
              <w:pStyle w:val="TableContents"/>
              <w:spacing w:before="0" w:after="0"/>
              <w:ind w:left="0" w:right="0" w:hanging="0"/>
              <w:rPr/>
            </w:pPr>
            <w:r>
              <w:rPr/>
              <w:t> </w:t>
            </w:r>
          </w:p>
        </w:tc>
        <w:tc>
          <w:tcPr>
            <w:tcW w:w="137" w:type="dxa"/>
            <w:tcBorders/>
            <w:shd w:fill="FFFFFF" w:val="clear"/>
            <w:vAlign w:val="center"/>
          </w:tcPr>
          <w:p>
            <w:pPr>
              <w:pStyle w:val="TableContents"/>
              <w:spacing w:before="0" w:after="0"/>
              <w:ind w:left="0" w:right="0" w:hanging="0"/>
              <w:rPr/>
            </w:pPr>
            <w:r>
              <w:rPr/>
              <w:t> </w:t>
            </w:r>
          </w:p>
        </w:tc>
        <w:tc>
          <w:tcPr>
            <w:tcW w:w="98" w:type="dxa"/>
            <w:tcBorders/>
            <w:shd w:fill="FFFFFF" w:val="clear"/>
            <w:vAlign w:val="center"/>
          </w:tcPr>
          <w:p>
            <w:pPr>
              <w:pStyle w:val="TableContents"/>
              <w:spacing w:before="0" w:after="0"/>
              <w:ind w:left="0" w:right="0" w:hanging="0"/>
              <w:rPr/>
            </w:pPr>
            <w:r>
              <w:rPr/>
              <w:t> </w:t>
            </w:r>
          </w:p>
        </w:tc>
        <w:tc>
          <w:tcPr>
            <w:tcW w:w="689" w:type="dxa"/>
            <w:tcBorders/>
            <w:shd w:fill="FFFFFF" w:val="clear"/>
            <w:vAlign w:val="center"/>
          </w:tcPr>
          <w:p>
            <w:pPr>
              <w:pStyle w:val="TableContents"/>
              <w:spacing w:before="0" w:after="0"/>
              <w:ind w:left="0" w:right="0" w:hanging="0"/>
              <w:rPr/>
            </w:pPr>
            <w:r>
              <w:rPr/>
              <w:t> </w:t>
            </w:r>
          </w:p>
        </w:tc>
        <w:tc>
          <w:tcPr>
            <w:tcW w:w="50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5" w:type="dxa"/>
            <w:tcBorders/>
            <w:shd w:fill="FFFFFF" w:val="clear"/>
            <w:vAlign w:val="center"/>
          </w:tcPr>
          <w:p>
            <w:pPr>
              <w:pStyle w:val="TableContents"/>
              <w:spacing w:before="0" w:after="0"/>
              <w:ind w:left="0" w:right="0" w:hanging="0"/>
              <w:rPr/>
            </w:pPr>
            <w:r>
              <w:rPr/>
              <w:t> </w:t>
            </w:r>
          </w:p>
        </w:tc>
        <w:tc>
          <w:tcPr>
            <w:tcW w:w="908" w:type="dxa"/>
            <w:tcBorders/>
            <w:shd w:fill="FFFFFF" w:val="clear"/>
            <w:vAlign w:val="center"/>
          </w:tcPr>
          <w:p>
            <w:pPr>
              <w:pStyle w:val="TableContents"/>
              <w:spacing w:before="0" w:after="0"/>
              <w:ind w:left="0" w:right="0" w:hanging="0"/>
              <w:rPr/>
            </w:pPr>
            <w:r>
              <w:rPr/>
              <w:t> </w:t>
            </w:r>
          </w:p>
        </w:tc>
        <w:tc>
          <w:tcPr>
            <w:tcW w:w="177" w:type="dxa"/>
            <w:tcBorders/>
            <w:shd w:fill="FFFFFF" w:val="clear"/>
            <w:vAlign w:val="center"/>
          </w:tcPr>
          <w:p>
            <w:pPr>
              <w:pStyle w:val="TableContents"/>
              <w:spacing w:before="0" w:after="0"/>
              <w:ind w:left="0" w:right="0" w:hanging="0"/>
              <w:rPr/>
            </w:pPr>
            <w:r>
              <w:rPr/>
              <w:t> </w:t>
            </w:r>
          </w:p>
        </w:tc>
      </w:tr>
      <w:tr>
        <w:trPr/>
        <w:tc>
          <w:tcPr>
            <w:tcW w:w="2163"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Exchange traded debt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304,111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3" w:type="dxa"/>
            <w:tcBorders/>
            <w:shd w:fill="CCEEFF" w:val="clear"/>
            <w:vAlign w:val="center"/>
          </w:tcPr>
          <w:p>
            <w:pPr>
              <w:pStyle w:val="TableContents"/>
              <w:spacing w:before="0" w:after="283"/>
              <w:jc w:val="right"/>
              <w:rPr/>
            </w:pPr>
            <w:r>
              <w:rPr/>
              <w:t>85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58" w:type="dxa"/>
            <w:tcBorders/>
            <w:shd w:fill="CCEEFF" w:val="clear"/>
            <w:vAlign w:val="center"/>
          </w:tcPr>
          <w:p>
            <w:pPr>
              <w:pStyle w:val="TableContents"/>
              <w:spacing w:before="0" w:after="0"/>
              <w:ind w:left="0" w:right="0" w:hanging="0"/>
              <w:rPr/>
            </w:pPr>
            <w:r>
              <w:rPr/>
              <w:t> </w:t>
            </w:r>
          </w:p>
        </w:tc>
        <w:tc>
          <w:tcPr>
            <w:tcW w:w="909" w:type="dxa"/>
            <w:tcBorders/>
            <w:shd w:fill="CCEEFF" w:val="clear"/>
            <w:vAlign w:val="center"/>
          </w:tcPr>
          <w:p>
            <w:pPr>
              <w:pStyle w:val="TableContents"/>
              <w:spacing w:before="0" w:after="283"/>
              <w:jc w:val="right"/>
              <w:rPr/>
            </w:pPr>
            <w:r>
              <w:rPr/>
              <w:t>13,921</w:t>
            </w:r>
          </w:p>
        </w:tc>
        <w:tc>
          <w:tcPr>
            <w:tcW w:w="137" w:type="dxa"/>
            <w:tcBorders/>
            <w:shd w:fill="CCEEFF" w:val="clear"/>
            <w:vAlign w:val="center"/>
          </w:tcPr>
          <w:p>
            <w:pPr>
              <w:pStyle w:val="TableContents"/>
              <w:spacing w:before="0" w:after="283"/>
              <w:rPr/>
            </w:pPr>
            <w:r>
              <w:rPr/>
              <w:t>)</w:t>
            </w:r>
          </w:p>
        </w:tc>
        <w:tc>
          <w:tcPr>
            <w:tcW w:w="98" w:type="dxa"/>
            <w:tcBorders/>
            <w:shd w:fill="CCEEFF" w:val="clear"/>
            <w:vAlign w:val="center"/>
          </w:tcPr>
          <w:p>
            <w:pPr>
              <w:pStyle w:val="TableContents"/>
              <w:spacing w:before="0" w:after="0"/>
              <w:ind w:left="0" w:right="0" w:hanging="0"/>
              <w:rPr/>
            </w:pPr>
            <w:r>
              <w:rPr/>
              <w:t> </w:t>
            </w:r>
          </w:p>
        </w:tc>
        <w:tc>
          <w:tcPr>
            <w:tcW w:w="689" w:type="dxa"/>
            <w:tcBorders/>
            <w:shd w:fill="CCEEFF" w:val="clear"/>
            <w:vAlign w:val="center"/>
          </w:tcPr>
          <w:p>
            <w:pPr>
              <w:pStyle w:val="TableContents"/>
              <w:spacing w:before="0" w:after="0"/>
              <w:ind w:left="0" w:right="0" w:hanging="0"/>
              <w:rPr/>
            </w:pPr>
            <w:r>
              <w:rPr/>
              <w:t> </w:t>
            </w:r>
          </w:p>
        </w:tc>
        <w:tc>
          <w:tcPr>
            <w:tcW w:w="508"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290,275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5" w:type="dxa"/>
            <w:tcBorders/>
            <w:shd w:fill="CCEEFF" w:val="clear"/>
            <w:vAlign w:val="center"/>
          </w:tcPr>
          <w:p>
            <w:pPr>
              <w:pStyle w:val="TableContents"/>
              <w:spacing w:before="0" w:after="0"/>
              <w:ind w:left="0" w:right="0" w:hanging="0"/>
              <w:rPr/>
            </w:pPr>
            <w:r>
              <w:rPr/>
              <w:t> </w:t>
            </w:r>
          </w:p>
        </w:tc>
        <w:tc>
          <w:tcPr>
            <w:tcW w:w="908" w:type="dxa"/>
            <w:tcBorders/>
            <w:shd w:fill="CCEEFF" w:val="clear"/>
            <w:vAlign w:val="center"/>
          </w:tcPr>
          <w:p>
            <w:pPr>
              <w:pStyle w:val="TableContents"/>
              <w:spacing w:before="0" w:after="283"/>
              <w:jc w:val="right"/>
              <w:rPr/>
            </w:pPr>
            <w:r>
              <w:rPr/>
              <w:t>(13,836</w:t>
            </w:r>
          </w:p>
        </w:tc>
        <w:tc>
          <w:tcPr>
            <w:tcW w:w="177" w:type="dxa"/>
            <w:tcBorders/>
            <w:shd w:fill="CCEEFF" w:val="clear"/>
            <w:vAlign w:val="center"/>
          </w:tcPr>
          <w:p>
            <w:pPr>
              <w:pStyle w:val="TableContents"/>
              <w:spacing w:before="0" w:after="283"/>
              <w:rPr/>
            </w:pPr>
            <w:r>
              <w:rPr/>
              <w:t>)</w:t>
            </w:r>
          </w:p>
        </w:tc>
      </w:tr>
      <w:tr>
        <w:trPr/>
        <w:tc>
          <w:tcPr>
            <w:tcW w:w="2163"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3"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58" w:type="dxa"/>
            <w:tcBorders/>
            <w:shd w:fill="FFFFFF" w:val="clear"/>
            <w:vAlign w:val="center"/>
          </w:tcPr>
          <w:p>
            <w:pPr>
              <w:pStyle w:val="TableContents"/>
              <w:spacing w:before="0" w:after="0"/>
              <w:ind w:left="0" w:right="0" w:hanging="0"/>
              <w:rPr/>
            </w:pPr>
            <w:r>
              <w:rPr/>
              <w:t> </w:t>
            </w:r>
          </w:p>
        </w:tc>
        <w:tc>
          <w:tcPr>
            <w:tcW w:w="909" w:type="dxa"/>
            <w:tcBorders/>
            <w:shd w:fill="FFFFFF" w:val="clear"/>
            <w:vAlign w:val="center"/>
          </w:tcPr>
          <w:p>
            <w:pPr>
              <w:pStyle w:val="TableContents"/>
              <w:spacing w:before="0" w:after="0"/>
              <w:ind w:left="0" w:right="0" w:hanging="0"/>
              <w:rPr/>
            </w:pPr>
            <w:r>
              <w:rPr/>
              <w:t> </w:t>
            </w:r>
          </w:p>
        </w:tc>
        <w:tc>
          <w:tcPr>
            <w:tcW w:w="137" w:type="dxa"/>
            <w:tcBorders/>
            <w:shd w:fill="FFFFFF" w:val="clear"/>
            <w:vAlign w:val="center"/>
          </w:tcPr>
          <w:p>
            <w:pPr>
              <w:pStyle w:val="TableContents"/>
              <w:spacing w:before="0" w:after="0"/>
              <w:ind w:left="0" w:right="0" w:hanging="0"/>
              <w:rPr/>
            </w:pPr>
            <w:r>
              <w:rPr/>
              <w:t> </w:t>
            </w:r>
          </w:p>
        </w:tc>
        <w:tc>
          <w:tcPr>
            <w:tcW w:w="98" w:type="dxa"/>
            <w:tcBorders/>
            <w:shd w:fill="FFFFFF" w:val="clear"/>
            <w:vAlign w:val="center"/>
          </w:tcPr>
          <w:p>
            <w:pPr>
              <w:pStyle w:val="TableContents"/>
              <w:spacing w:before="0" w:after="0"/>
              <w:ind w:left="0" w:right="0" w:hanging="0"/>
              <w:rPr/>
            </w:pPr>
            <w:r>
              <w:rPr/>
              <w:t> </w:t>
            </w:r>
          </w:p>
        </w:tc>
        <w:tc>
          <w:tcPr>
            <w:tcW w:w="689" w:type="dxa"/>
            <w:tcBorders/>
            <w:shd w:fill="FFFFFF" w:val="clear"/>
            <w:vAlign w:val="center"/>
          </w:tcPr>
          <w:p>
            <w:pPr>
              <w:pStyle w:val="TableContents"/>
              <w:spacing w:before="0" w:after="0"/>
              <w:ind w:left="0" w:right="0" w:hanging="0"/>
              <w:rPr/>
            </w:pPr>
            <w:r>
              <w:rPr/>
              <w:t> </w:t>
            </w:r>
          </w:p>
        </w:tc>
        <w:tc>
          <w:tcPr>
            <w:tcW w:w="50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5" w:type="dxa"/>
            <w:tcBorders/>
            <w:shd w:fill="FFFFFF" w:val="clear"/>
            <w:vAlign w:val="center"/>
          </w:tcPr>
          <w:p>
            <w:pPr>
              <w:pStyle w:val="TableContents"/>
              <w:spacing w:before="0" w:after="0"/>
              <w:ind w:left="0" w:right="0" w:hanging="0"/>
              <w:rPr/>
            </w:pPr>
            <w:r>
              <w:rPr/>
              <w:t> </w:t>
            </w:r>
          </w:p>
        </w:tc>
        <w:tc>
          <w:tcPr>
            <w:tcW w:w="908" w:type="dxa"/>
            <w:tcBorders/>
            <w:shd w:fill="FFFFFF" w:val="clear"/>
            <w:vAlign w:val="center"/>
          </w:tcPr>
          <w:p>
            <w:pPr>
              <w:pStyle w:val="TableContents"/>
              <w:spacing w:before="0" w:after="0"/>
              <w:ind w:left="0" w:right="0" w:hanging="0"/>
              <w:rPr/>
            </w:pPr>
            <w:r>
              <w:rPr/>
              <w:t> </w:t>
            </w:r>
          </w:p>
        </w:tc>
        <w:tc>
          <w:tcPr>
            <w:tcW w:w="177" w:type="dxa"/>
            <w:tcBorders/>
            <w:shd w:fill="FFFFFF" w:val="clear"/>
            <w:vAlign w:val="center"/>
          </w:tcPr>
          <w:p>
            <w:pPr>
              <w:pStyle w:val="TableContents"/>
              <w:spacing w:before="0" w:after="0"/>
              <w:ind w:left="0" w:right="0" w:hanging="0"/>
              <w:rPr/>
            </w:pPr>
            <w:r>
              <w:rPr/>
              <w:t> </w:t>
            </w:r>
          </w:p>
        </w:tc>
      </w:tr>
      <w:tr>
        <w:trPr/>
        <w:tc>
          <w:tcPr>
            <w:tcW w:w="2163"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Corporate and other bonds Industrial and miscellaneous</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6,234,342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3" w:type="dxa"/>
            <w:tcBorders>
              <w:bottom w:val="single" w:sz="2" w:space="0" w:color="000000"/>
            </w:tcBorders>
            <w:shd w:fill="CCEEFF" w:val="clear"/>
            <w:tcMar>
              <w:bottom w:w="28" w:type="dxa"/>
            </w:tcMar>
            <w:vAlign w:val="center"/>
          </w:tcPr>
          <w:p>
            <w:pPr>
              <w:pStyle w:val="TableContents"/>
              <w:spacing w:before="0" w:after="283"/>
              <w:jc w:val="right"/>
              <w:rPr/>
            </w:pPr>
            <w:r>
              <w:rPr/>
              <w:t>280,951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5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09" w:type="dxa"/>
            <w:tcBorders>
              <w:bottom w:val="single" w:sz="2" w:space="0" w:color="000000"/>
            </w:tcBorders>
            <w:shd w:fill="CCEEFF" w:val="clear"/>
            <w:tcMar>
              <w:bottom w:w="28" w:type="dxa"/>
            </w:tcMar>
            <w:vAlign w:val="center"/>
          </w:tcPr>
          <w:p>
            <w:pPr>
              <w:pStyle w:val="TableContents"/>
              <w:spacing w:before="0" w:after="283"/>
              <w:jc w:val="right"/>
              <w:rPr/>
            </w:pPr>
            <w:r>
              <w:rPr/>
              <w:t>(12,779</w:t>
            </w:r>
          </w:p>
        </w:tc>
        <w:tc>
          <w:tcPr>
            <w:tcW w:w="137" w:type="dxa"/>
            <w:tcBorders/>
            <w:shd w:fill="CCEEFF" w:val="clear"/>
            <w:vAlign w:val="center"/>
          </w:tcPr>
          <w:p>
            <w:pPr>
              <w:pStyle w:val="TableContents"/>
              <w:spacing w:before="0" w:after="283"/>
              <w:rPr/>
            </w:pPr>
            <w:r>
              <w:rPr/>
              <w:t>)</w:t>
            </w:r>
          </w:p>
        </w:tc>
        <w:tc>
          <w:tcPr>
            <w:tcW w:w="98" w:type="dxa"/>
            <w:tcBorders/>
            <w:shd w:fill="CCEEFF" w:val="clear"/>
            <w:vAlign w:val="center"/>
          </w:tcPr>
          <w:p>
            <w:pPr>
              <w:pStyle w:val="TableContents"/>
              <w:spacing w:before="0" w:after="0"/>
              <w:ind w:left="0" w:right="0" w:hanging="0"/>
              <w:rPr/>
            </w:pPr>
            <w:r>
              <w:rPr/>
              <w:t> </w:t>
            </w:r>
          </w:p>
        </w:tc>
        <w:tc>
          <w:tcPr>
            <w:tcW w:w="68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08"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6,502,514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08" w:type="dxa"/>
            <w:tcBorders>
              <w:bottom w:val="single" w:sz="2" w:space="0" w:color="000000"/>
            </w:tcBorders>
            <w:shd w:fill="CCEEFF" w:val="clear"/>
            <w:tcMar>
              <w:bottom w:w="28" w:type="dxa"/>
            </w:tcMar>
            <w:vAlign w:val="center"/>
          </w:tcPr>
          <w:p>
            <w:pPr>
              <w:pStyle w:val="TableContents"/>
              <w:spacing w:before="0" w:after="283"/>
              <w:jc w:val="right"/>
              <w:rPr/>
            </w:pPr>
            <w:r>
              <w:rPr/>
              <w:t>268,172</w:t>
            </w:r>
          </w:p>
        </w:tc>
        <w:tc>
          <w:tcPr>
            <w:tcW w:w="177" w:type="dxa"/>
            <w:tcBorders/>
            <w:shd w:fill="CCEEFF" w:val="clear"/>
            <w:vAlign w:val="center"/>
          </w:tcPr>
          <w:p>
            <w:pPr>
              <w:pStyle w:val="TableContents"/>
              <w:spacing w:before="0" w:after="0"/>
              <w:ind w:left="0" w:right="0" w:hanging="0"/>
              <w:rPr/>
            </w:pPr>
            <w:r>
              <w:rPr/>
              <w:t> </w:t>
            </w:r>
          </w:p>
        </w:tc>
      </w:tr>
      <w:tr>
        <w:trPr/>
        <w:tc>
          <w:tcPr>
            <w:tcW w:w="2163"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Total</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010" w:type="dxa"/>
            <w:tcBorders>
              <w:bottom w:val="double" w:sz="6" w:space="0" w:color="000000"/>
            </w:tcBorders>
            <w:shd w:fill="FFFFFF" w:val="clear"/>
            <w:tcMar>
              <w:bottom w:w="28" w:type="dxa"/>
            </w:tcMar>
            <w:vAlign w:val="center"/>
          </w:tcPr>
          <w:p>
            <w:pPr>
              <w:pStyle w:val="TableContents"/>
              <w:spacing w:before="0" w:after="283"/>
              <w:jc w:val="right"/>
              <w:rPr/>
            </w:pPr>
            <w:r>
              <w:rPr/>
              <w:t>8,266,334</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833" w:type="dxa"/>
            <w:tcBorders>
              <w:bottom w:val="double" w:sz="6" w:space="0" w:color="000000"/>
            </w:tcBorders>
            <w:shd w:fill="FFFFFF" w:val="clear"/>
            <w:tcMar>
              <w:bottom w:w="28" w:type="dxa"/>
            </w:tcMar>
            <w:vAlign w:val="center"/>
          </w:tcPr>
          <w:p>
            <w:pPr>
              <w:pStyle w:val="TableContents"/>
              <w:spacing w:before="0" w:after="283"/>
              <w:jc w:val="right"/>
              <w:rPr/>
            </w:pPr>
            <w:r>
              <w:rPr/>
              <w:t>513,525</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58" w:type="dxa"/>
            <w:tcBorders>
              <w:bottom w:val="double" w:sz="6" w:space="0" w:color="000000"/>
            </w:tcBorders>
            <w:shd w:fill="FFFFFF" w:val="clear"/>
            <w:tcMar>
              <w:bottom w:w="28" w:type="dxa"/>
            </w:tcMar>
            <w:vAlign w:val="center"/>
          </w:tcPr>
          <w:p>
            <w:pPr>
              <w:pStyle w:val="TableContents"/>
              <w:spacing w:before="0" w:after="283"/>
              <w:rPr/>
            </w:pPr>
            <w:r>
              <w:rPr/>
              <w:t>$</w:t>
            </w:r>
          </w:p>
        </w:tc>
        <w:tc>
          <w:tcPr>
            <w:tcW w:w="909" w:type="dxa"/>
            <w:tcBorders>
              <w:bottom w:val="double" w:sz="6" w:space="0" w:color="000000"/>
            </w:tcBorders>
            <w:shd w:fill="FFFFFF" w:val="clear"/>
            <w:tcMar>
              <w:bottom w:w="28" w:type="dxa"/>
            </w:tcMar>
            <w:vAlign w:val="center"/>
          </w:tcPr>
          <w:p>
            <w:pPr>
              <w:pStyle w:val="TableContents"/>
              <w:spacing w:before="0" w:after="283"/>
              <w:jc w:val="right"/>
              <w:rPr/>
            </w:pPr>
            <w:r>
              <w:rPr/>
              <w:t>(26,700</w:t>
            </w:r>
          </w:p>
        </w:tc>
        <w:tc>
          <w:tcPr>
            <w:tcW w:w="137" w:type="dxa"/>
            <w:tcBorders/>
            <w:shd w:fill="FFFFFF" w:val="clear"/>
            <w:vAlign w:val="center"/>
          </w:tcPr>
          <w:p>
            <w:pPr>
              <w:pStyle w:val="TableContents"/>
              <w:spacing w:before="0" w:after="283"/>
              <w:rPr/>
            </w:pPr>
            <w:r>
              <w:rPr/>
              <w:t>)</w:t>
            </w:r>
          </w:p>
        </w:tc>
        <w:tc>
          <w:tcPr>
            <w:tcW w:w="98" w:type="dxa"/>
            <w:tcBorders/>
            <w:shd w:fill="FFFFFF" w:val="clear"/>
            <w:vAlign w:val="center"/>
          </w:tcPr>
          <w:p>
            <w:pPr>
              <w:pStyle w:val="TableContents"/>
              <w:spacing w:before="0" w:after="0"/>
              <w:ind w:left="0" w:right="0" w:hanging="0"/>
              <w:rPr/>
            </w:pPr>
            <w:r>
              <w:rPr/>
              <w:t> </w:t>
            </w:r>
          </w:p>
        </w:tc>
        <w:tc>
          <w:tcPr>
            <w:tcW w:w="689" w:type="dxa"/>
            <w:tcBorders>
              <w:bottom w:val="double" w:sz="6" w:space="0" w:color="000000"/>
            </w:tcBorders>
            <w:shd w:fill="FFFFFF" w:val="clear"/>
            <w:tcMar>
              <w:bottom w:w="28" w:type="dxa"/>
            </w:tcMar>
            <w:vAlign w:val="center"/>
          </w:tcPr>
          <w:p>
            <w:pPr>
              <w:pStyle w:val="TableContents"/>
              <w:spacing w:before="0" w:after="283"/>
              <w:rPr/>
            </w:pPr>
            <w:r>
              <w:rPr/>
              <w:t>$</w:t>
            </w:r>
          </w:p>
        </w:tc>
        <w:tc>
          <w:tcPr>
            <w:tcW w:w="508" w:type="dxa"/>
            <w:tcBorders>
              <w:bottom w:val="double" w:sz="6" w:space="0" w:color="000000"/>
            </w:tcBorders>
            <w:shd w:fill="FFFFFF" w:val="clear"/>
            <w:tcMar>
              <w:bottom w:w="28" w:type="dxa"/>
            </w:tcM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010" w:type="dxa"/>
            <w:tcBorders>
              <w:bottom w:val="double" w:sz="6" w:space="0" w:color="000000"/>
            </w:tcBorders>
            <w:shd w:fill="FFFFFF" w:val="clear"/>
            <w:tcMar>
              <w:bottom w:w="28" w:type="dxa"/>
            </w:tcMar>
            <w:vAlign w:val="center"/>
          </w:tcPr>
          <w:p>
            <w:pPr>
              <w:pStyle w:val="TableContents"/>
              <w:spacing w:before="0" w:after="283"/>
              <w:jc w:val="right"/>
              <w:rPr/>
            </w:pPr>
            <w:r>
              <w:rPr/>
              <w:t>8,753,159</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5" w:type="dxa"/>
            <w:tcBorders>
              <w:bottom w:val="double" w:sz="6" w:space="0" w:color="000000"/>
            </w:tcBorders>
            <w:shd w:fill="FFFFFF" w:val="clear"/>
            <w:tcMar>
              <w:bottom w:w="28" w:type="dxa"/>
            </w:tcMar>
            <w:vAlign w:val="center"/>
          </w:tcPr>
          <w:p>
            <w:pPr>
              <w:pStyle w:val="TableContents"/>
              <w:spacing w:before="0" w:after="283"/>
              <w:rPr/>
            </w:pPr>
            <w:r>
              <w:rPr/>
              <w:t>$</w:t>
            </w:r>
          </w:p>
        </w:tc>
        <w:tc>
          <w:tcPr>
            <w:tcW w:w="908" w:type="dxa"/>
            <w:tcBorders>
              <w:bottom w:val="double" w:sz="6" w:space="0" w:color="000000"/>
            </w:tcBorders>
            <w:shd w:fill="FFFFFF" w:val="clear"/>
            <w:tcMar>
              <w:bottom w:w="28" w:type="dxa"/>
            </w:tcMar>
            <w:vAlign w:val="center"/>
          </w:tcPr>
          <w:p>
            <w:pPr>
              <w:pStyle w:val="TableContents"/>
              <w:spacing w:before="0" w:after="283"/>
              <w:jc w:val="right"/>
              <w:rPr/>
            </w:pPr>
            <w:r>
              <w:rPr/>
              <w:t>486,825</w:t>
            </w:r>
          </w:p>
        </w:tc>
        <w:tc>
          <w:tcPr>
            <w:tcW w:w="177" w:type="dxa"/>
            <w:tcBorders/>
            <w:shd w:fill="FFFFFF" w:val="clear"/>
            <w:vAlign w:val="center"/>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Held-to-maturity U.S. Treasury securities are held in trust pursuant to various states’ minimum fund requirements.</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F-19</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2022 AND 2021</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A summary of the amortized cost and the estimated fair value of the Company’s investments in held-to-maturity securities by contractual maturity as of December 31, 2022 and 2021 is shown below: </w:t>
      </w:r>
    </w:p>
    <w:p>
      <w:pPr>
        <w:pStyle w:val="TextBody"/>
        <w:spacing w:before="0" w:after="0"/>
        <w:ind w:left="0" w:right="0" w:hanging="0"/>
        <w:jc w:val="both"/>
        <w:rPr/>
      </w:pPr>
      <w:r>
        <w:rPr/>
        <w:t> </w:t>
      </w:r>
    </w:p>
    <w:tbl>
      <w:tblPr>
        <w:tblW w:w="8040" w:type="dxa"/>
        <w:jc w:val="left"/>
        <w:tblInd w:w="0" w:type="dxa"/>
        <w:tblCellMar>
          <w:top w:w="0" w:type="dxa"/>
          <w:left w:w="0" w:type="dxa"/>
          <w:bottom w:w="0" w:type="dxa"/>
          <w:right w:w="0" w:type="dxa"/>
        </w:tblCellMar>
      </w:tblPr>
      <w:tblGrid>
        <w:gridCol w:w="2555"/>
        <w:gridCol w:w="90"/>
        <w:gridCol w:w="170"/>
        <w:gridCol w:w="1010"/>
        <w:gridCol w:w="90"/>
        <w:gridCol w:w="90"/>
        <w:gridCol w:w="170"/>
        <w:gridCol w:w="1010"/>
        <w:gridCol w:w="90"/>
        <w:gridCol w:w="90"/>
        <w:gridCol w:w="170"/>
        <w:gridCol w:w="1010"/>
        <w:gridCol w:w="90"/>
        <w:gridCol w:w="90"/>
        <w:gridCol w:w="170"/>
        <w:gridCol w:w="1010"/>
        <w:gridCol w:w="135"/>
      </w:tblGrid>
      <w:tr>
        <w:trPr/>
        <w:tc>
          <w:tcPr>
            <w:tcW w:w="255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540" w:type="dxa"/>
            <w:gridSpan w:val="6"/>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2022</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2540" w:type="dxa"/>
            <w:gridSpan w:val="6"/>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2021</w:t>
            </w:r>
          </w:p>
        </w:tc>
        <w:tc>
          <w:tcPr>
            <w:tcW w:w="135" w:type="dxa"/>
            <w:tcBorders/>
            <w:shd w:fill="auto" w:val="clear"/>
            <w:vAlign w:val="center"/>
          </w:tcPr>
          <w:p>
            <w:pPr>
              <w:pStyle w:val="TableContents"/>
              <w:spacing w:before="0" w:after="0"/>
              <w:ind w:left="0" w:right="0" w:hanging="0"/>
              <w:rPr/>
            </w:pPr>
            <w:r>
              <w:rPr>
                <w:rStyle w:val="StrongEmphasis"/>
              </w:rPr>
              <w:t> </w:t>
            </w:r>
          </w:p>
        </w:tc>
      </w:tr>
      <w:tr>
        <w:trPr/>
        <w:tc>
          <w:tcPr>
            <w:tcW w:w="255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Amortized</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Estimated</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Amortized</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Estimated</w:t>
            </w:r>
          </w:p>
        </w:tc>
        <w:tc>
          <w:tcPr>
            <w:tcW w:w="135" w:type="dxa"/>
            <w:tcBorders/>
            <w:shd w:fill="auto" w:val="clear"/>
            <w:vAlign w:val="center"/>
          </w:tcPr>
          <w:p>
            <w:pPr>
              <w:pStyle w:val="TableContents"/>
              <w:spacing w:before="0" w:after="0"/>
              <w:ind w:left="0" w:right="0" w:hanging="0"/>
              <w:rPr/>
            </w:pPr>
            <w:r>
              <w:rPr>
                <w:rStyle w:val="StrongEmphasis"/>
              </w:rPr>
              <w:t> </w:t>
            </w:r>
          </w:p>
        </w:tc>
      </w:tr>
      <w:tr>
        <w:trPr/>
        <w:tc>
          <w:tcPr>
            <w:tcW w:w="2555" w:type="dxa"/>
            <w:tcBorders>
              <w:bottom w:val="single" w:sz="8" w:space="0" w:color="000000"/>
            </w:tcBorders>
            <w:shd w:fill="auto" w:val="clear"/>
            <w:tcMar>
              <w:bottom w:w="28" w:type="dxa"/>
            </w:tcMar>
            <w:vAlign w:val="center"/>
          </w:tcPr>
          <w:p>
            <w:pPr>
              <w:pStyle w:val="TableContents"/>
              <w:spacing w:before="0" w:after="0"/>
              <w:ind w:left="0" w:right="0" w:hanging="0"/>
              <w:jc w:val="left"/>
              <w:rPr/>
            </w:pPr>
            <w:r>
              <w:rPr>
                <w:rStyle w:val="StrongEmphasis"/>
                <w:rFonts w:ascii="times new roman" w:hAnsi="times new roman"/>
                <w:sz w:val="20"/>
              </w:rPr>
              <w:t xml:space="preserve">Remaining Time to Maturity </w:t>
            </w:r>
          </w:p>
        </w:tc>
        <w:tc>
          <w:tcPr>
            <w:tcW w:w="90" w:type="dxa"/>
            <w:tcBorders/>
            <w:shd w:fill="auto" w:val="clear"/>
            <w:vAlign w:val="center"/>
          </w:tcPr>
          <w:p>
            <w:pPr>
              <w:pStyle w:val="TableContents"/>
              <w:spacing w:before="0" w:after="0"/>
              <w:ind w:left="0" w:right="0" w:hanging="0"/>
              <w:rPr/>
            </w:pPr>
            <w:r>
              <w:rPr>
                <w:rStyle w:val="StrongEmphasis"/>
              </w:rPr>
              <w:t> </w:t>
            </w:r>
          </w:p>
        </w:tc>
        <w:tc>
          <w:tcPr>
            <w:tcW w:w="118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Cost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18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Fair Value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18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Cost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18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Fair Value </w:t>
            </w:r>
          </w:p>
        </w:tc>
        <w:tc>
          <w:tcPr>
            <w:tcW w:w="135" w:type="dxa"/>
            <w:tcBorders/>
            <w:shd w:fill="auto" w:val="clear"/>
            <w:vAlign w:val="center"/>
          </w:tcPr>
          <w:p>
            <w:pPr>
              <w:pStyle w:val="TableContents"/>
              <w:spacing w:before="0" w:after="0"/>
              <w:ind w:left="0" w:right="0" w:hanging="0"/>
              <w:rPr/>
            </w:pPr>
            <w:r>
              <w:rPr/>
              <w:t> </w:t>
            </w:r>
          </w:p>
        </w:tc>
      </w:tr>
      <w:tr>
        <w:trPr/>
        <w:tc>
          <w:tcPr>
            <w:tcW w:w="255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675" w:type="dxa"/>
            <w:gridSpan w:val="7"/>
            <w:tcBorders/>
            <w:shd w:fill="auto" w:val="clear"/>
            <w:vAlign w:val="center"/>
          </w:tcPr>
          <w:p>
            <w:pPr>
              <w:pStyle w:val="TableContents"/>
              <w:spacing w:before="0" w:after="0"/>
              <w:ind w:left="0" w:right="0" w:hanging="0"/>
              <w:rPr/>
            </w:pPr>
            <w:r>
              <w:rPr/>
              <w:t> </w:t>
            </w:r>
          </w:p>
        </w:tc>
      </w:tr>
      <w:tr>
        <w:trPr/>
        <w:tc>
          <w:tcPr>
            <w:tcW w:w="2555"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Less than one year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708,535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743,575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994,712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1,008,180</w:t>
            </w:r>
          </w:p>
        </w:tc>
        <w:tc>
          <w:tcPr>
            <w:tcW w:w="135" w:type="dxa"/>
            <w:tcBorders/>
            <w:shd w:fill="CCEEFF" w:val="clear"/>
            <w:vAlign w:val="center"/>
          </w:tcPr>
          <w:p>
            <w:pPr>
              <w:pStyle w:val="TableContents"/>
              <w:spacing w:before="0" w:after="0"/>
              <w:ind w:left="0" w:right="0" w:hanging="0"/>
              <w:rPr/>
            </w:pPr>
            <w:r>
              <w:rPr/>
              <w:t> </w:t>
            </w:r>
          </w:p>
        </w:tc>
      </w:tr>
      <w:tr>
        <w:trPr/>
        <w:tc>
          <w:tcPr>
            <w:tcW w:w="2555"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One to five years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1,120,507</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1,088,522</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1,205,829</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1,290,465</w:t>
            </w:r>
          </w:p>
        </w:tc>
        <w:tc>
          <w:tcPr>
            <w:tcW w:w="135" w:type="dxa"/>
            <w:tcBorders/>
            <w:shd w:fill="FFFFFF" w:val="clear"/>
            <w:vAlign w:val="center"/>
          </w:tcPr>
          <w:p>
            <w:pPr>
              <w:pStyle w:val="TableContents"/>
              <w:spacing w:before="0" w:after="0"/>
              <w:ind w:left="0" w:right="0" w:hanging="0"/>
              <w:rPr/>
            </w:pPr>
            <w:r>
              <w:rPr/>
              <w:t> </w:t>
            </w:r>
          </w:p>
        </w:tc>
      </w:tr>
      <w:tr>
        <w:trPr/>
        <w:tc>
          <w:tcPr>
            <w:tcW w:w="2555"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Five to ten years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1,402,704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1,200,720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1,513,942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1,648,808</w:t>
            </w:r>
          </w:p>
        </w:tc>
        <w:tc>
          <w:tcPr>
            <w:tcW w:w="135" w:type="dxa"/>
            <w:tcBorders/>
            <w:shd w:fill="CCEEFF" w:val="clear"/>
            <w:vAlign w:val="center"/>
          </w:tcPr>
          <w:p>
            <w:pPr>
              <w:pStyle w:val="TableContents"/>
              <w:spacing w:before="0" w:after="0"/>
              <w:ind w:left="0" w:right="0" w:hanging="0"/>
              <w:rPr/>
            </w:pPr>
            <w:r>
              <w:rPr/>
              <w:t> </w:t>
            </w:r>
          </w:p>
        </w:tc>
      </w:tr>
      <w:tr>
        <w:trPr/>
        <w:tc>
          <w:tcPr>
            <w:tcW w:w="2555"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More than 10 years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4,534,394</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3,567,571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4,551,851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4,805,706</w:t>
            </w:r>
          </w:p>
        </w:tc>
        <w:tc>
          <w:tcPr>
            <w:tcW w:w="135" w:type="dxa"/>
            <w:tcBorders/>
            <w:shd w:fill="FFFFFF" w:val="clear"/>
            <w:vAlign w:val="center"/>
          </w:tcPr>
          <w:p>
            <w:pPr>
              <w:pStyle w:val="TableContents"/>
              <w:spacing w:before="0" w:after="0"/>
              <w:ind w:left="0" w:right="0" w:hanging="0"/>
              <w:rPr/>
            </w:pPr>
            <w:r>
              <w:rPr/>
              <w:t> </w:t>
            </w:r>
          </w:p>
        </w:tc>
      </w:tr>
      <w:tr>
        <w:trPr/>
        <w:tc>
          <w:tcPr>
            <w:tcW w:w="2555"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Total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5" w:space="0" w:color="000000"/>
            </w:tcBorders>
            <w:shd w:fill="CCEEFF" w:val="clear"/>
            <w:tcMar>
              <w:bottom w:w="28" w:type="dxa"/>
            </w:tcMar>
            <w:vAlign w:val="center"/>
          </w:tcPr>
          <w:p>
            <w:pPr>
              <w:pStyle w:val="TableContents"/>
              <w:spacing w:before="0" w:after="283"/>
              <w:jc w:val="right"/>
              <w:rPr/>
            </w:pPr>
            <w:r>
              <w:rPr/>
              <w:t>7,766,140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5" w:space="0" w:color="000000"/>
            </w:tcBorders>
            <w:shd w:fill="CCEEFF" w:val="clear"/>
            <w:tcMar>
              <w:bottom w:w="28" w:type="dxa"/>
            </w:tcMar>
            <w:vAlign w:val="center"/>
          </w:tcPr>
          <w:p>
            <w:pPr>
              <w:pStyle w:val="TableContents"/>
              <w:spacing w:before="0" w:after="283"/>
              <w:jc w:val="right"/>
              <w:rPr/>
            </w:pPr>
            <w:r>
              <w:rPr/>
              <w:t>6,600,388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5" w:space="0" w:color="000000"/>
            </w:tcBorders>
            <w:shd w:fill="CCEEFF" w:val="clear"/>
            <w:tcMar>
              <w:bottom w:w="28" w:type="dxa"/>
            </w:tcMar>
            <w:vAlign w:val="center"/>
          </w:tcPr>
          <w:p>
            <w:pPr>
              <w:pStyle w:val="TableContents"/>
              <w:spacing w:before="0" w:after="283"/>
              <w:jc w:val="right"/>
              <w:rPr/>
            </w:pPr>
            <w:r>
              <w:rPr/>
              <w:t>8,266,334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5" w:space="0" w:color="000000"/>
            </w:tcBorders>
            <w:shd w:fill="CCEEFF" w:val="clear"/>
            <w:tcMar>
              <w:bottom w:w="28" w:type="dxa"/>
            </w:tcMar>
            <w:vAlign w:val="center"/>
          </w:tcPr>
          <w:p>
            <w:pPr>
              <w:pStyle w:val="TableContents"/>
              <w:spacing w:before="0" w:after="283"/>
              <w:jc w:val="right"/>
              <w:rPr/>
            </w:pPr>
            <w:r>
              <w:rPr/>
              <w:t>8,753,159</w:t>
            </w:r>
          </w:p>
        </w:tc>
        <w:tc>
          <w:tcPr>
            <w:tcW w:w="135"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actual maturities may differ from contractual maturities because certain borrowers have the right to call or prepay obligations with or without penalties.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Investment Income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Major categories of the Company’s net investment income are summarized as follows:</w:t>
      </w:r>
    </w:p>
    <w:p>
      <w:pPr>
        <w:pStyle w:val="TextBody"/>
        <w:spacing w:before="0" w:after="0"/>
        <w:ind w:left="0" w:right="0" w:hanging="0"/>
        <w:jc w:val="both"/>
        <w:rPr/>
      </w:pPr>
      <w:r>
        <w:rPr/>
        <w:t> </w:t>
      </w:r>
    </w:p>
    <w:tbl>
      <w:tblPr>
        <w:tblW w:w="5020" w:type="dxa"/>
        <w:jc w:val="left"/>
        <w:tblInd w:w="0" w:type="dxa"/>
        <w:tblCellMar>
          <w:top w:w="0" w:type="dxa"/>
          <w:left w:w="0" w:type="dxa"/>
          <w:bottom w:w="0" w:type="dxa"/>
          <w:right w:w="0" w:type="dxa"/>
        </w:tblCellMar>
      </w:tblPr>
      <w:tblGrid>
        <w:gridCol w:w="2255"/>
        <w:gridCol w:w="90"/>
        <w:gridCol w:w="170"/>
        <w:gridCol w:w="1010"/>
        <w:gridCol w:w="90"/>
        <w:gridCol w:w="90"/>
        <w:gridCol w:w="170"/>
        <w:gridCol w:w="1010"/>
        <w:gridCol w:w="135"/>
      </w:tblGrid>
      <w:tr>
        <w:trPr/>
        <w:tc>
          <w:tcPr>
            <w:tcW w:w="225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540" w:type="dxa"/>
            <w:gridSpan w:val="6"/>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Years ended </w:t>
            </w:r>
          </w:p>
        </w:tc>
        <w:tc>
          <w:tcPr>
            <w:tcW w:w="135" w:type="dxa"/>
            <w:tcBorders/>
            <w:shd w:fill="auto" w:val="clear"/>
            <w:vAlign w:val="center"/>
          </w:tcPr>
          <w:p>
            <w:pPr>
              <w:pStyle w:val="TableContents"/>
              <w:spacing w:before="0" w:after="0"/>
              <w:ind w:left="0" w:right="0" w:hanging="0"/>
              <w:rPr/>
            </w:pPr>
            <w:r>
              <w:rPr>
                <w:rStyle w:val="StrongEmphasis"/>
              </w:rPr>
              <w:t> </w:t>
            </w:r>
          </w:p>
        </w:tc>
      </w:tr>
      <w:tr>
        <w:trPr/>
        <w:tc>
          <w:tcPr>
            <w:tcW w:w="225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2540" w:type="dxa"/>
            <w:gridSpan w:val="6"/>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w:t>
            </w:r>
          </w:p>
        </w:tc>
        <w:tc>
          <w:tcPr>
            <w:tcW w:w="135" w:type="dxa"/>
            <w:tcBorders/>
            <w:shd w:fill="auto" w:val="clear"/>
            <w:vAlign w:val="center"/>
          </w:tcPr>
          <w:p>
            <w:pPr>
              <w:pStyle w:val="TableContents"/>
              <w:spacing w:before="0" w:after="0"/>
              <w:ind w:left="0" w:right="0" w:hanging="0"/>
              <w:rPr/>
            </w:pPr>
            <w:r>
              <w:rPr>
                <w:rStyle w:val="StrongEmphasis"/>
              </w:rPr>
              <w:t> </w:t>
            </w:r>
          </w:p>
        </w:tc>
      </w:tr>
      <w:tr>
        <w:trPr/>
        <w:tc>
          <w:tcPr>
            <w:tcW w:w="225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18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2022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18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2021 </w:t>
            </w:r>
          </w:p>
        </w:tc>
        <w:tc>
          <w:tcPr>
            <w:tcW w:w="135" w:type="dxa"/>
            <w:tcBorders/>
            <w:shd w:fill="auto" w:val="clear"/>
            <w:vAlign w:val="center"/>
          </w:tcPr>
          <w:p>
            <w:pPr>
              <w:pStyle w:val="TableContents"/>
              <w:spacing w:before="0" w:after="0"/>
              <w:ind w:left="0" w:right="0" w:hanging="0"/>
              <w:rPr/>
            </w:pPr>
            <w:r>
              <w:rPr/>
              <w:t> </w:t>
            </w:r>
          </w:p>
        </w:tc>
      </w:tr>
      <w:tr>
        <w:trPr/>
        <w:tc>
          <w:tcPr>
            <w:tcW w:w="225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2255" w:type="dxa"/>
            <w:tcBorders/>
            <w:shd w:fill="auto" w:val="clear"/>
            <w:vAlign w:val="center"/>
          </w:tcPr>
          <w:p>
            <w:pPr>
              <w:pStyle w:val="TableContents"/>
              <w:spacing w:before="0" w:after="0"/>
              <w:ind w:left="0" w:right="0" w:hanging="0"/>
              <w:jc w:val="left"/>
              <w:rPr/>
            </w:pPr>
            <w:r>
              <w:rPr>
                <w:rStyle w:val="StrongEmphasis"/>
                <w:rFonts w:ascii="times new roman" w:hAnsi="times new roman"/>
                <w:sz w:val="20"/>
              </w:rPr>
              <w:t xml:space="preserve">Income: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2255"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Fixed-maturity securities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4,211,229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5,446,795</w:t>
            </w:r>
          </w:p>
        </w:tc>
        <w:tc>
          <w:tcPr>
            <w:tcW w:w="135" w:type="dxa"/>
            <w:tcBorders/>
            <w:shd w:fill="CCEEFF" w:val="clear"/>
            <w:vAlign w:val="center"/>
          </w:tcPr>
          <w:p>
            <w:pPr>
              <w:pStyle w:val="TableContents"/>
              <w:spacing w:before="0" w:after="0"/>
              <w:ind w:left="0" w:right="0" w:hanging="0"/>
              <w:rPr/>
            </w:pPr>
            <w:r>
              <w:rPr/>
              <w:t> </w:t>
            </w:r>
          </w:p>
        </w:tc>
      </w:tr>
      <w:tr>
        <w:trPr/>
        <w:tc>
          <w:tcPr>
            <w:tcW w:w="2255"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Equity securities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1,058,351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1,529,020</w:t>
            </w:r>
          </w:p>
        </w:tc>
        <w:tc>
          <w:tcPr>
            <w:tcW w:w="135" w:type="dxa"/>
            <w:tcBorders/>
            <w:shd w:fill="FFFFFF" w:val="clear"/>
            <w:vAlign w:val="center"/>
          </w:tcPr>
          <w:p>
            <w:pPr>
              <w:pStyle w:val="TableContents"/>
              <w:spacing w:before="0" w:after="0"/>
              <w:ind w:left="0" w:right="0" w:hanging="0"/>
              <w:rPr/>
            </w:pPr>
            <w:r>
              <w:rPr/>
              <w:t> </w:t>
            </w:r>
          </w:p>
        </w:tc>
      </w:tr>
      <w:tr>
        <w:trPr/>
        <w:tc>
          <w:tcPr>
            <w:tcW w:w="2255"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Cash and cash equivalents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4" w:space="0" w:color="000000"/>
            </w:tcBorders>
            <w:shd w:fill="CCEEFF" w:val="clear"/>
            <w:tcMar>
              <w:bottom w:w="28" w:type="dxa"/>
            </w:tcMar>
            <w:vAlign w:val="center"/>
          </w:tcPr>
          <w:p>
            <w:pPr>
              <w:pStyle w:val="TableContents"/>
              <w:spacing w:before="0" w:after="0"/>
              <w:ind w:left="0" w:right="0" w:hanging="0"/>
              <w:rPr/>
            </w:pPr>
            <w:r>
              <w:rPr/>
              <w:t> </w:t>
            </w:r>
          </w:p>
        </w:tc>
        <w:tc>
          <w:tcPr>
            <w:tcW w:w="1010" w:type="dxa"/>
            <w:tcBorders>
              <w:bottom w:val="single" w:sz="4" w:space="0" w:color="000000"/>
            </w:tcBorders>
            <w:shd w:fill="CCEEFF" w:val="clear"/>
            <w:tcMar>
              <w:bottom w:w="28" w:type="dxa"/>
            </w:tcMar>
            <w:vAlign w:val="center"/>
          </w:tcPr>
          <w:p>
            <w:pPr>
              <w:pStyle w:val="TableContents"/>
              <w:spacing w:before="0" w:after="283"/>
              <w:jc w:val="right"/>
              <w:rPr/>
            </w:pPr>
            <w:r>
              <w:rPr/>
              <w:t>63,683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4" w:space="0" w:color="000000"/>
            </w:tcBorders>
            <w:shd w:fill="CCEEFF" w:val="clear"/>
            <w:tcMar>
              <w:bottom w:w="28" w:type="dxa"/>
            </w:tcMar>
            <w:vAlign w:val="center"/>
          </w:tcPr>
          <w:p>
            <w:pPr>
              <w:pStyle w:val="TableContents"/>
              <w:spacing w:before="0" w:after="0"/>
              <w:ind w:left="0" w:right="0" w:hanging="0"/>
              <w:rPr/>
            </w:pPr>
            <w:r>
              <w:rPr/>
              <w:t> </w:t>
            </w:r>
          </w:p>
        </w:tc>
        <w:tc>
          <w:tcPr>
            <w:tcW w:w="1010" w:type="dxa"/>
            <w:tcBorders>
              <w:bottom w:val="single" w:sz="4" w:space="0" w:color="000000"/>
            </w:tcBorders>
            <w:shd w:fill="CCEEFF" w:val="clear"/>
            <w:tcMar>
              <w:bottom w:w="28" w:type="dxa"/>
            </w:tcMar>
            <w:vAlign w:val="center"/>
          </w:tcPr>
          <w:p>
            <w:pPr>
              <w:pStyle w:val="TableContents"/>
              <w:spacing w:before="0" w:after="283"/>
              <w:jc w:val="right"/>
              <w:rPr/>
            </w:pPr>
            <w:r>
              <w:rPr/>
              <w:t>11,511</w:t>
            </w:r>
          </w:p>
        </w:tc>
        <w:tc>
          <w:tcPr>
            <w:tcW w:w="135" w:type="dxa"/>
            <w:tcBorders/>
            <w:shd w:fill="CCEEFF" w:val="clear"/>
            <w:vAlign w:val="center"/>
          </w:tcPr>
          <w:p>
            <w:pPr>
              <w:pStyle w:val="TableContents"/>
              <w:spacing w:before="0" w:after="0"/>
              <w:ind w:left="0" w:right="0" w:hanging="0"/>
              <w:rPr/>
            </w:pPr>
            <w:r>
              <w:rPr/>
              <w:t> </w:t>
            </w:r>
          </w:p>
        </w:tc>
      </w:tr>
      <w:tr>
        <w:trPr/>
        <w:tc>
          <w:tcPr>
            <w:tcW w:w="2255"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Total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5,333,263</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6,987,326</w:t>
            </w:r>
          </w:p>
        </w:tc>
        <w:tc>
          <w:tcPr>
            <w:tcW w:w="135" w:type="dxa"/>
            <w:tcBorders/>
            <w:shd w:fill="FFFFFF" w:val="clear"/>
            <w:vAlign w:val="center"/>
          </w:tcPr>
          <w:p>
            <w:pPr>
              <w:pStyle w:val="TableContents"/>
              <w:spacing w:before="0" w:after="0"/>
              <w:ind w:left="0" w:right="0" w:hanging="0"/>
              <w:rPr/>
            </w:pPr>
            <w:r>
              <w:rPr/>
              <w:t> </w:t>
            </w:r>
          </w:p>
        </w:tc>
      </w:tr>
      <w:tr>
        <w:trPr/>
        <w:tc>
          <w:tcPr>
            <w:tcW w:w="2255" w:type="dxa"/>
            <w:tcBorders/>
            <w:shd w:fill="CCEEFF" w:val="clear"/>
            <w:vAlign w:val="center"/>
          </w:tcPr>
          <w:p>
            <w:pPr>
              <w:pStyle w:val="TableContents"/>
              <w:spacing w:before="0" w:after="0"/>
              <w:ind w:left="0" w:right="0" w:hanging="0"/>
              <w:jc w:val="left"/>
              <w:rPr/>
            </w:pPr>
            <w:r>
              <w:rPr>
                <w:rStyle w:val="StrongEmphasis"/>
                <w:rFonts w:ascii="times new roman" w:hAnsi="times new roman"/>
                <w:sz w:val="20"/>
              </w:rPr>
              <w:t xml:space="preserve">Expenses: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135" w:type="dxa"/>
            <w:tcBorders/>
            <w:shd w:fill="CCEEFF" w:val="clear"/>
            <w:vAlign w:val="center"/>
          </w:tcPr>
          <w:p>
            <w:pPr>
              <w:pStyle w:val="TableContents"/>
              <w:spacing w:before="0" w:after="0"/>
              <w:ind w:left="0" w:right="0" w:hanging="0"/>
              <w:rPr/>
            </w:pPr>
            <w:r>
              <w:rPr/>
              <w:t> </w:t>
            </w:r>
          </w:p>
        </w:tc>
      </w:tr>
      <w:tr>
        <w:trPr/>
        <w:tc>
          <w:tcPr>
            <w:tcW w:w="2255"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Investment expenses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396,485</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365,934</w:t>
            </w:r>
          </w:p>
        </w:tc>
        <w:tc>
          <w:tcPr>
            <w:tcW w:w="135" w:type="dxa"/>
            <w:tcBorders/>
            <w:shd w:fill="FFFFFF" w:val="clear"/>
            <w:vAlign w:val="center"/>
          </w:tcPr>
          <w:p>
            <w:pPr>
              <w:pStyle w:val="TableContents"/>
              <w:spacing w:before="0" w:after="0"/>
              <w:ind w:left="0" w:right="0" w:hanging="0"/>
              <w:rPr/>
            </w:pPr>
            <w:r>
              <w:rPr/>
              <w:t> </w:t>
            </w:r>
          </w:p>
        </w:tc>
      </w:tr>
      <w:tr>
        <w:trPr/>
        <w:tc>
          <w:tcPr>
            <w:tcW w:w="2255"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Net investment income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5" w:space="0" w:color="000000"/>
            </w:tcBorders>
            <w:shd w:fill="CCEEFF" w:val="clear"/>
            <w:tcMar>
              <w:bottom w:w="28" w:type="dxa"/>
            </w:tcMar>
            <w:vAlign w:val="center"/>
          </w:tcPr>
          <w:p>
            <w:pPr>
              <w:pStyle w:val="TableContents"/>
              <w:spacing w:before="0" w:after="283"/>
              <w:jc w:val="right"/>
              <w:rPr/>
            </w:pPr>
            <w:r>
              <w:rPr/>
              <w:t>4,936,778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5" w:space="0" w:color="000000"/>
            </w:tcBorders>
            <w:shd w:fill="CCEEFF" w:val="clear"/>
            <w:tcMar>
              <w:bottom w:w="28" w:type="dxa"/>
            </w:tcMar>
            <w:vAlign w:val="center"/>
          </w:tcPr>
          <w:p>
            <w:pPr>
              <w:pStyle w:val="TableContents"/>
              <w:spacing w:before="0" w:after="283"/>
              <w:jc w:val="right"/>
              <w:rPr/>
            </w:pPr>
            <w:r>
              <w:rPr/>
              <w:t>6,621,392</w:t>
            </w:r>
          </w:p>
        </w:tc>
        <w:tc>
          <w:tcPr>
            <w:tcW w:w="135"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Proceeds from the redemption of fixed-maturity securities held-to-maturity were $1,000,000 and $2,217,428 for the years ended December 31, 2022 and 2021, respectively.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Proceeds from the sale and maturity of fixed-maturity securities available-for-sale were $25,606,590 and $85,347,589 for the years ended December 31, 2022 and 2021, respectively.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Proceeds from the sale of equity securities were $19,379,047 and $16,333,946 for the years ended December 31, 2022 and 2021, respectively.</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F-20</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2022 AND 2021</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Company’s net (losses) gains on investments for the years ended December 31, 2022 and 2021 are summarized as follows:</w:t>
      </w:r>
    </w:p>
    <w:p>
      <w:pPr>
        <w:pStyle w:val="TextBody"/>
        <w:spacing w:before="0" w:after="0"/>
        <w:ind w:left="0" w:right="0" w:hanging="0"/>
        <w:jc w:val="both"/>
        <w:rPr/>
      </w:pPr>
      <w:r>
        <w:rPr/>
        <w:t> </w:t>
      </w:r>
    </w:p>
    <w:tbl>
      <w:tblPr>
        <w:tblW w:w="5660" w:type="dxa"/>
        <w:jc w:val="left"/>
        <w:tblInd w:w="0" w:type="dxa"/>
        <w:tblCellMar>
          <w:top w:w="0" w:type="dxa"/>
          <w:left w:w="0" w:type="dxa"/>
          <w:bottom w:w="0" w:type="dxa"/>
          <w:right w:w="0" w:type="dxa"/>
        </w:tblCellMar>
      </w:tblPr>
      <w:tblGrid>
        <w:gridCol w:w="2750"/>
        <w:gridCol w:w="90"/>
        <w:gridCol w:w="170"/>
        <w:gridCol w:w="1085"/>
        <w:gridCol w:w="125"/>
        <w:gridCol w:w="90"/>
        <w:gridCol w:w="170"/>
        <w:gridCol w:w="1010"/>
        <w:gridCol w:w="170"/>
      </w:tblGrid>
      <w:tr>
        <w:trPr/>
        <w:tc>
          <w:tcPr>
            <w:tcW w:w="275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650" w:type="dxa"/>
            <w:gridSpan w:val="6"/>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Years ended </w:t>
            </w:r>
          </w:p>
        </w:tc>
        <w:tc>
          <w:tcPr>
            <w:tcW w:w="170" w:type="dxa"/>
            <w:tcBorders/>
            <w:shd w:fill="auto" w:val="clear"/>
            <w:vAlign w:val="center"/>
          </w:tcPr>
          <w:p>
            <w:pPr>
              <w:pStyle w:val="TableContents"/>
              <w:spacing w:before="0" w:after="0"/>
              <w:ind w:left="0" w:right="0" w:hanging="0"/>
              <w:rPr/>
            </w:pPr>
            <w:r>
              <w:rPr/>
              <w:t> </w:t>
            </w:r>
          </w:p>
        </w:tc>
      </w:tr>
      <w:tr>
        <w:trPr/>
        <w:tc>
          <w:tcPr>
            <w:tcW w:w="275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650"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December 31, </w:t>
            </w:r>
          </w:p>
        </w:tc>
        <w:tc>
          <w:tcPr>
            <w:tcW w:w="170" w:type="dxa"/>
            <w:tcBorders/>
            <w:shd w:fill="auto" w:val="clear"/>
            <w:vAlign w:val="center"/>
          </w:tcPr>
          <w:p>
            <w:pPr>
              <w:pStyle w:val="TableContents"/>
              <w:spacing w:before="0" w:after="0"/>
              <w:ind w:left="0" w:right="0" w:hanging="0"/>
              <w:rPr/>
            </w:pPr>
            <w:r>
              <w:rPr/>
              <w:t> </w:t>
            </w:r>
          </w:p>
        </w:tc>
      </w:tr>
      <w:tr>
        <w:trPr/>
        <w:tc>
          <w:tcPr>
            <w:tcW w:w="275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5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2022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2021 </w:t>
            </w:r>
          </w:p>
        </w:tc>
        <w:tc>
          <w:tcPr>
            <w:tcW w:w="170" w:type="dxa"/>
            <w:tcBorders/>
            <w:shd w:fill="auto" w:val="clear"/>
            <w:vAlign w:val="center"/>
          </w:tcPr>
          <w:p>
            <w:pPr>
              <w:pStyle w:val="TableContents"/>
              <w:spacing w:before="0" w:after="0"/>
              <w:ind w:left="0" w:right="0" w:hanging="0"/>
              <w:rPr/>
            </w:pPr>
            <w:r>
              <w:rPr/>
              <w:t> </w:t>
            </w:r>
          </w:p>
        </w:tc>
      </w:tr>
      <w:tr>
        <w:trPr/>
        <w:tc>
          <w:tcPr>
            <w:tcW w:w="2750" w:type="dxa"/>
            <w:tcBorders/>
            <w:shd w:fill="auto" w:val="clear"/>
            <w:vAlign w:val="center"/>
          </w:tcPr>
          <w:p>
            <w:pPr>
              <w:pStyle w:val="TableContents"/>
              <w:spacing w:before="0" w:after="0"/>
              <w:ind w:left="0" w:right="0" w:hanging="0"/>
              <w:rPr/>
            </w:pPr>
            <w:r>
              <w:rPr>
                <w:rStyle w:val="StrongEmphasis"/>
                <w:rFonts w:ascii="times new roman" w:hAnsi="times new roman"/>
                <w:sz w:val="20"/>
              </w:rPr>
              <w:t xml:space="preserve">Realized Gains (Losses) </w:t>
            </w:r>
          </w:p>
        </w:tc>
        <w:tc>
          <w:tcPr>
            <w:tcW w:w="90" w:type="dxa"/>
            <w:tcBorders/>
            <w:shd w:fill="auto" w:val="clear"/>
            <w:vAlign w:val="center"/>
          </w:tcPr>
          <w:p>
            <w:pPr>
              <w:pStyle w:val="TableContents"/>
              <w:spacing w:before="0" w:after="0"/>
              <w:ind w:left="0" w:right="0" w:hanging="0"/>
              <w:rPr/>
            </w:pPr>
            <w:r>
              <w:rPr/>
              <w:t> </w:t>
            </w:r>
          </w:p>
        </w:tc>
        <w:tc>
          <w:tcPr>
            <w:tcW w:w="125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r>
      <w:tr>
        <w:trPr/>
        <w:tc>
          <w:tcPr>
            <w:tcW w:w="275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5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1440" w:type="dxa"/>
            <w:gridSpan w:val="4"/>
            <w:tcBorders/>
            <w:shd w:fill="auto" w:val="clear"/>
            <w:vAlign w:val="center"/>
          </w:tcPr>
          <w:p>
            <w:pPr>
              <w:pStyle w:val="TableContents"/>
              <w:spacing w:before="0" w:after="0"/>
              <w:ind w:left="0" w:right="0" w:hanging="0"/>
              <w:rPr/>
            </w:pPr>
            <w:r>
              <w:rPr/>
              <w:t> </w:t>
            </w:r>
          </w:p>
        </w:tc>
      </w:tr>
      <w:tr>
        <w:trPr/>
        <w:tc>
          <w:tcPr>
            <w:tcW w:w="2750" w:type="dxa"/>
            <w:tcBorders/>
            <w:shd w:fill="auto" w:val="clear"/>
            <w:vAlign w:val="center"/>
          </w:tcPr>
          <w:p>
            <w:pPr>
              <w:pStyle w:val="TableContents"/>
              <w:spacing w:before="0" w:after="0"/>
              <w:ind w:left="0" w:right="0" w:hanging="0"/>
              <w:rPr/>
            </w:pPr>
            <w:r>
              <w:rPr>
                <w:rStyle w:val="StrongEmphasis"/>
                <w:rFonts w:ascii="times new roman" w:hAnsi="times new roman"/>
                <w:sz w:val="20"/>
              </w:rPr>
              <w:t xml:space="preserve">Fixed-maturity securities: </w:t>
            </w:r>
          </w:p>
        </w:tc>
        <w:tc>
          <w:tcPr>
            <w:tcW w:w="90" w:type="dxa"/>
            <w:tcBorders/>
            <w:shd w:fill="auto" w:val="clear"/>
            <w:vAlign w:val="center"/>
          </w:tcPr>
          <w:p>
            <w:pPr>
              <w:pStyle w:val="TableContents"/>
              <w:spacing w:before="0" w:after="0"/>
              <w:ind w:left="0" w:right="0" w:hanging="0"/>
              <w:rPr/>
            </w:pPr>
            <w:r>
              <w:rPr/>
              <w:t> </w:t>
            </w:r>
          </w:p>
        </w:tc>
        <w:tc>
          <w:tcPr>
            <w:tcW w:w="125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r>
      <w:tr>
        <w:trPr/>
        <w:tc>
          <w:tcPr>
            <w:tcW w:w="275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Gross realized gains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85" w:type="dxa"/>
            <w:tcBorders/>
            <w:shd w:fill="CCEEFF" w:val="clear"/>
            <w:vAlign w:val="center"/>
          </w:tcPr>
          <w:p>
            <w:pPr>
              <w:pStyle w:val="TableContents"/>
              <w:spacing w:before="0" w:after="283"/>
              <w:jc w:val="right"/>
              <w:rPr/>
            </w:pPr>
            <w:r>
              <w:rPr/>
              <w:t>143,622</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5,189,810</w:t>
            </w:r>
          </w:p>
        </w:tc>
        <w:tc>
          <w:tcPr>
            <w:tcW w:w="170" w:type="dxa"/>
            <w:tcBorders/>
            <w:shd w:fill="CCEEFF" w:val="clear"/>
            <w:vAlign w:val="center"/>
          </w:tcPr>
          <w:p>
            <w:pPr>
              <w:pStyle w:val="TableContents"/>
              <w:spacing w:before="0" w:after="0"/>
              <w:ind w:left="0" w:right="0" w:hanging="0"/>
              <w:rPr/>
            </w:pPr>
            <w:r>
              <w:rPr/>
              <w:t> </w:t>
            </w:r>
          </w:p>
        </w:tc>
      </w:tr>
      <w:tr>
        <w:trPr/>
        <w:tc>
          <w:tcPr>
            <w:tcW w:w="275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Gross realized losses</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85" w:type="dxa"/>
            <w:tcBorders>
              <w:bottom w:val="single" w:sz="2" w:space="0" w:color="000000"/>
            </w:tcBorders>
            <w:shd w:fill="FFFFFF" w:val="clear"/>
            <w:tcMar>
              <w:bottom w:w="28" w:type="dxa"/>
            </w:tcMar>
            <w:vAlign w:val="center"/>
          </w:tcPr>
          <w:p>
            <w:pPr>
              <w:pStyle w:val="TableContents"/>
              <w:spacing w:before="0" w:after="283"/>
              <w:jc w:val="right"/>
              <w:rPr/>
            </w:pPr>
            <w:r>
              <w:rPr/>
              <w:t>(208,955</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(90,111</w:t>
            </w:r>
          </w:p>
        </w:tc>
        <w:tc>
          <w:tcPr>
            <w:tcW w:w="170" w:type="dxa"/>
            <w:tcBorders/>
            <w:shd w:fill="FFFFFF" w:val="clear"/>
            <w:vAlign w:val="center"/>
          </w:tcPr>
          <w:p>
            <w:pPr>
              <w:pStyle w:val="TableContents"/>
              <w:spacing w:before="0" w:after="283"/>
              <w:rPr/>
            </w:pPr>
            <w:r>
              <w:rPr/>
              <w:t>)</w:t>
            </w:r>
          </w:p>
        </w:tc>
      </w:tr>
      <w:tr>
        <w:trPr/>
        <w:tc>
          <w:tcPr>
            <w:tcW w:w="27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85" w:type="dxa"/>
            <w:tcBorders>
              <w:bottom w:val="single" w:sz="2" w:space="0" w:color="000000"/>
            </w:tcBorders>
            <w:shd w:fill="CCEEFF" w:val="clear"/>
            <w:tcMar>
              <w:bottom w:w="28" w:type="dxa"/>
            </w:tcMar>
            <w:vAlign w:val="center"/>
          </w:tcPr>
          <w:p>
            <w:pPr>
              <w:pStyle w:val="TableContents"/>
              <w:spacing w:before="0" w:after="283"/>
              <w:jc w:val="right"/>
              <w:rPr/>
            </w:pPr>
            <w:r>
              <w:rPr/>
              <w:t>(65,333</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5,099,699</w:t>
            </w:r>
          </w:p>
        </w:tc>
        <w:tc>
          <w:tcPr>
            <w:tcW w:w="170" w:type="dxa"/>
            <w:tcBorders/>
            <w:shd w:fill="CCEEFF" w:val="clear"/>
            <w:vAlign w:val="center"/>
          </w:tcPr>
          <w:p>
            <w:pPr>
              <w:pStyle w:val="TableContents"/>
              <w:spacing w:before="0" w:after="0"/>
              <w:ind w:left="0" w:right="0" w:hanging="0"/>
              <w:rPr/>
            </w:pPr>
            <w:r>
              <w:rPr/>
              <w:t> </w:t>
            </w:r>
          </w:p>
        </w:tc>
      </w:tr>
      <w:tr>
        <w:trPr/>
        <w:tc>
          <w:tcPr>
            <w:tcW w:w="27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8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2750" w:type="dxa"/>
            <w:tcBorders/>
            <w:shd w:fill="CCEEFF" w:val="clear"/>
            <w:vAlign w:val="center"/>
          </w:tcPr>
          <w:p>
            <w:pPr>
              <w:pStyle w:val="TableContents"/>
              <w:spacing w:before="0" w:after="0"/>
              <w:ind w:left="0" w:right="0" w:hanging="0"/>
              <w:rPr/>
            </w:pPr>
            <w:r>
              <w:rPr>
                <w:rStyle w:val="StrongEmphasis"/>
                <w:rFonts w:ascii="times new roman" w:hAnsi="times new roman"/>
                <w:sz w:val="20"/>
              </w:rPr>
              <w:t xml:space="preserve">Equity securities: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8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275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Gross realized gains</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85" w:type="dxa"/>
            <w:tcBorders/>
            <w:shd w:fill="FFFFFF" w:val="clear"/>
            <w:vAlign w:val="center"/>
          </w:tcPr>
          <w:p>
            <w:pPr>
              <w:pStyle w:val="TableContents"/>
              <w:spacing w:before="0" w:after="283"/>
              <w:jc w:val="right"/>
              <w:rPr/>
            </w:pPr>
            <w:r>
              <w:rPr/>
              <w:t>1,384,432</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2,415,136</w:t>
            </w:r>
          </w:p>
        </w:tc>
        <w:tc>
          <w:tcPr>
            <w:tcW w:w="170" w:type="dxa"/>
            <w:tcBorders/>
            <w:shd w:fill="FFFFFF" w:val="clear"/>
            <w:vAlign w:val="center"/>
          </w:tcPr>
          <w:p>
            <w:pPr>
              <w:pStyle w:val="TableContents"/>
              <w:spacing w:before="0" w:after="0"/>
              <w:ind w:left="0" w:right="0" w:hanging="0"/>
              <w:rPr/>
            </w:pPr>
            <w:r>
              <w:rPr/>
              <w:t> </w:t>
            </w:r>
          </w:p>
        </w:tc>
      </w:tr>
      <w:tr>
        <w:trPr/>
        <w:tc>
          <w:tcPr>
            <w:tcW w:w="275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Gross realized losses</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85" w:type="dxa"/>
            <w:tcBorders>
              <w:bottom w:val="single" w:sz="2" w:space="0" w:color="000000"/>
            </w:tcBorders>
            <w:shd w:fill="CCEEFF" w:val="clear"/>
            <w:tcMar>
              <w:bottom w:w="28" w:type="dxa"/>
            </w:tcMar>
            <w:vAlign w:val="center"/>
          </w:tcPr>
          <w:p>
            <w:pPr>
              <w:pStyle w:val="TableContents"/>
              <w:spacing w:before="0" w:after="283"/>
              <w:jc w:val="right"/>
              <w:rPr/>
            </w:pPr>
            <w:r>
              <w:rPr/>
              <w:t>(2,048,395</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(280,807</w:t>
            </w:r>
          </w:p>
        </w:tc>
        <w:tc>
          <w:tcPr>
            <w:tcW w:w="170" w:type="dxa"/>
            <w:tcBorders/>
            <w:shd w:fill="CCEEFF" w:val="clear"/>
            <w:vAlign w:val="center"/>
          </w:tcPr>
          <w:p>
            <w:pPr>
              <w:pStyle w:val="TableContents"/>
              <w:spacing w:before="0" w:after="283"/>
              <w:rPr/>
            </w:pPr>
            <w:r>
              <w:rPr/>
              <w:t>)</w:t>
            </w:r>
          </w:p>
        </w:tc>
      </w:tr>
      <w:tr>
        <w:trPr/>
        <w:tc>
          <w:tcPr>
            <w:tcW w:w="27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85" w:type="dxa"/>
            <w:tcBorders>
              <w:bottom w:val="single" w:sz="2" w:space="0" w:color="000000"/>
            </w:tcBorders>
            <w:shd w:fill="FFFFFF" w:val="clear"/>
            <w:tcMar>
              <w:bottom w:w="28" w:type="dxa"/>
            </w:tcMar>
            <w:vAlign w:val="center"/>
          </w:tcPr>
          <w:p>
            <w:pPr>
              <w:pStyle w:val="TableContents"/>
              <w:spacing w:before="0" w:after="283"/>
              <w:jc w:val="right"/>
              <w:rPr/>
            </w:pPr>
            <w:r>
              <w:rPr/>
              <w:t>(663,963</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2,134,329</w:t>
            </w:r>
          </w:p>
        </w:tc>
        <w:tc>
          <w:tcPr>
            <w:tcW w:w="170" w:type="dxa"/>
            <w:tcBorders/>
            <w:shd w:fill="FFFFFF" w:val="clear"/>
            <w:vAlign w:val="center"/>
          </w:tcPr>
          <w:p>
            <w:pPr>
              <w:pStyle w:val="TableContents"/>
              <w:spacing w:before="0" w:after="0"/>
              <w:ind w:left="0" w:right="0" w:hanging="0"/>
              <w:rPr/>
            </w:pPr>
            <w:r>
              <w:rPr/>
              <w:t> </w:t>
            </w:r>
          </w:p>
        </w:tc>
      </w:tr>
      <w:tr>
        <w:trPr/>
        <w:tc>
          <w:tcPr>
            <w:tcW w:w="27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8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2750" w:type="dxa"/>
            <w:tcBorders/>
            <w:shd w:fill="FFFFFF" w:val="clear"/>
            <w:vAlign w:val="center"/>
          </w:tcPr>
          <w:p>
            <w:pPr>
              <w:pStyle w:val="TableContents"/>
              <w:spacing w:before="0" w:after="0"/>
              <w:ind w:left="0" w:right="0" w:hanging="0"/>
              <w:rPr/>
            </w:pPr>
            <w:r>
              <w:rPr>
                <w:rStyle w:val="StrongEmphasis"/>
                <w:rFonts w:ascii="times new roman" w:hAnsi="times new roman"/>
                <w:sz w:val="20"/>
              </w:rPr>
              <w:t xml:space="preserve">Other Investments: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8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275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Gross realized gains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85" w:type="dxa"/>
            <w:tcBorders/>
            <w:shd w:fill="CCEEFF" w:val="clear"/>
            <w:vAlign w:val="center"/>
          </w:tcPr>
          <w:p>
            <w:pPr>
              <w:pStyle w:val="TableContents"/>
              <w:spacing w:before="0" w:after="283"/>
              <w:jc w:val="right"/>
              <w:rPr/>
            </w:pPr>
            <w:r>
              <w:rPr/>
              <w:t>589,233</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83,798</w:t>
            </w:r>
          </w:p>
        </w:tc>
        <w:tc>
          <w:tcPr>
            <w:tcW w:w="170" w:type="dxa"/>
            <w:tcBorders/>
            <w:shd w:fill="CCEEFF" w:val="clear"/>
            <w:vAlign w:val="center"/>
          </w:tcPr>
          <w:p>
            <w:pPr>
              <w:pStyle w:val="TableContents"/>
              <w:spacing w:before="0" w:after="0"/>
              <w:ind w:left="0" w:right="0" w:hanging="0"/>
              <w:rPr/>
            </w:pPr>
            <w:r>
              <w:rPr/>
              <w:t> </w:t>
            </w:r>
          </w:p>
        </w:tc>
      </w:tr>
      <w:tr>
        <w:trPr/>
        <w:tc>
          <w:tcPr>
            <w:tcW w:w="275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Gross realized losses</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85"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170" w:type="dxa"/>
            <w:tcBorders/>
            <w:shd w:fill="FFFFFF" w:val="clear"/>
            <w:vAlign w:val="center"/>
          </w:tcPr>
          <w:p>
            <w:pPr>
              <w:pStyle w:val="TableContents"/>
              <w:spacing w:before="0" w:after="0"/>
              <w:ind w:left="0" w:right="0" w:hanging="0"/>
              <w:rPr/>
            </w:pPr>
            <w:r>
              <w:rPr/>
              <w:t> </w:t>
            </w:r>
          </w:p>
        </w:tc>
      </w:tr>
      <w:tr>
        <w:trPr/>
        <w:tc>
          <w:tcPr>
            <w:tcW w:w="27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85" w:type="dxa"/>
            <w:tcBorders>
              <w:bottom w:val="single" w:sz="2" w:space="0" w:color="000000"/>
            </w:tcBorders>
            <w:shd w:fill="CCEEFF" w:val="clear"/>
            <w:tcMar>
              <w:bottom w:w="28" w:type="dxa"/>
            </w:tcMar>
            <w:vAlign w:val="center"/>
          </w:tcPr>
          <w:p>
            <w:pPr>
              <w:pStyle w:val="TableContents"/>
              <w:spacing w:before="0" w:after="283"/>
              <w:jc w:val="right"/>
              <w:rPr/>
            </w:pPr>
            <w:r>
              <w:rPr/>
              <w:t>589,233</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83,798</w:t>
            </w:r>
          </w:p>
        </w:tc>
        <w:tc>
          <w:tcPr>
            <w:tcW w:w="170" w:type="dxa"/>
            <w:tcBorders/>
            <w:shd w:fill="CCEEFF" w:val="clear"/>
            <w:vAlign w:val="center"/>
          </w:tcPr>
          <w:p>
            <w:pPr>
              <w:pStyle w:val="TableContents"/>
              <w:spacing w:before="0" w:after="0"/>
              <w:ind w:left="0" w:right="0" w:hanging="0"/>
              <w:rPr/>
            </w:pPr>
            <w:r>
              <w:rPr/>
              <w:t> </w:t>
            </w:r>
          </w:p>
        </w:tc>
      </w:tr>
      <w:tr>
        <w:trPr/>
        <w:tc>
          <w:tcPr>
            <w:tcW w:w="27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8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2750" w:type="dxa"/>
            <w:tcBorders/>
            <w:shd w:fill="CCEE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Net realized (losses) gains</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85" w:type="dxa"/>
            <w:tcBorders>
              <w:bottom w:val="single" w:sz="2" w:space="0" w:color="000000"/>
            </w:tcBorders>
            <w:shd w:fill="CCEEFF" w:val="clear"/>
            <w:tcMar>
              <w:bottom w:w="28" w:type="dxa"/>
            </w:tcMar>
            <w:vAlign w:val="center"/>
          </w:tcPr>
          <w:p>
            <w:pPr>
              <w:pStyle w:val="TableContents"/>
              <w:spacing w:before="0" w:after="283"/>
              <w:jc w:val="right"/>
              <w:rPr/>
            </w:pPr>
            <w:r>
              <w:rPr/>
              <w:t>(140,063</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7,317,826</w:t>
            </w:r>
          </w:p>
        </w:tc>
        <w:tc>
          <w:tcPr>
            <w:tcW w:w="170" w:type="dxa"/>
            <w:tcBorders/>
            <w:shd w:fill="CCEEFF" w:val="clear"/>
            <w:vAlign w:val="center"/>
          </w:tcPr>
          <w:p>
            <w:pPr>
              <w:pStyle w:val="TableContents"/>
              <w:spacing w:before="0" w:after="0"/>
              <w:ind w:left="0" w:right="0" w:hanging="0"/>
              <w:rPr/>
            </w:pPr>
            <w:r>
              <w:rPr/>
              <w:t> </w:t>
            </w:r>
          </w:p>
        </w:tc>
      </w:tr>
      <w:tr>
        <w:trPr/>
        <w:tc>
          <w:tcPr>
            <w:tcW w:w="27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8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2750" w:type="dxa"/>
            <w:tcBorders/>
            <w:shd w:fill="CCEEFF" w:val="clear"/>
            <w:vAlign w:val="center"/>
          </w:tcPr>
          <w:p>
            <w:pPr>
              <w:pStyle w:val="TableContents"/>
              <w:spacing w:before="0" w:after="0"/>
              <w:ind w:left="0" w:right="0" w:hanging="0"/>
              <w:rPr/>
            </w:pPr>
            <w:r>
              <w:rPr>
                <w:rStyle w:val="StrongEmphasis"/>
                <w:rFonts w:ascii="times new roman" w:hAnsi="times new roman"/>
                <w:sz w:val="20"/>
              </w:rPr>
              <w:t xml:space="preserve">Unrealized (Losses) Gains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8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27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10" w:type="dxa"/>
            <w:gridSpan w:val="2"/>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350" w:type="dxa"/>
            <w:gridSpan w:val="3"/>
            <w:tcBorders/>
            <w:shd w:fill="FFFFFF" w:val="clear"/>
            <w:vAlign w:val="center"/>
          </w:tcPr>
          <w:p>
            <w:pPr>
              <w:pStyle w:val="TableContents"/>
              <w:spacing w:before="0" w:after="0"/>
              <w:ind w:left="0" w:right="0" w:hanging="0"/>
              <w:rPr/>
            </w:pPr>
            <w:r>
              <w:rPr/>
              <w:t> </w:t>
            </w:r>
          </w:p>
        </w:tc>
      </w:tr>
      <w:tr>
        <w:trPr/>
        <w:tc>
          <w:tcPr>
            <w:tcW w:w="2750" w:type="dxa"/>
            <w:tcBorders/>
            <w:shd w:fill="CCEEFF" w:val="clear"/>
            <w:vAlign w:val="center"/>
          </w:tcPr>
          <w:p>
            <w:pPr>
              <w:pStyle w:val="TableContents"/>
              <w:spacing w:before="0" w:after="0"/>
              <w:ind w:left="0" w:right="0" w:hanging="0"/>
              <w:rPr/>
            </w:pPr>
            <w:r>
              <w:rPr>
                <w:rStyle w:val="StrongEmphasis"/>
                <w:rFonts w:ascii="times new roman" w:hAnsi="times new roman"/>
                <w:sz w:val="20"/>
              </w:rPr>
              <w:t xml:space="preserve">Equity Securities: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8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275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Gross gains</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85"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276,340</w:t>
            </w:r>
          </w:p>
        </w:tc>
        <w:tc>
          <w:tcPr>
            <w:tcW w:w="170" w:type="dxa"/>
            <w:tcBorders/>
            <w:shd w:fill="FFFFFF" w:val="clear"/>
            <w:vAlign w:val="center"/>
          </w:tcPr>
          <w:p>
            <w:pPr>
              <w:pStyle w:val="TableContents"/>
              <w:spacing w:before="0" w:after="0"/>
              <w:ind w:left="0" w:right="0" w:hanging="0"/>
              <w:rPr/>
            </w:pPr>
            <w:r>
              <w:rPr/>
              <w:t> </w:t>
            </w:r>
          </w:p>
        </w:tc>
      </w:tr>
      <w:tr>
        <w:trPr/>
        <w:tc>
          <w:tcPr>
            <w:tcW w:w="275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Gross losses</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85" w:type="dxa"/>
            <w:tcBorders>
              <w:bottom w:val="single" w:sz="2" w:space="0" w:color="000000"/>
            </w:tcBorders>
            <w:shd w:fill="CCEEFF" w:val="clear"/>
            <w:tcMar>
              <w:bottom w:w="28" w:type="dxa"/>
            </w:tcMar>
            <w:vAlign w:val="center"/>
          </w:tcPr>
          <w:p>
            <w:pPr>
              <w:pStyle w:val="TableContents"/>
              <w:spacing w:before="0" w:after="283"/>
              <w:jc w:val="right"/>
              <w:rPr/>
            </w:pPr>
            <w:r>
              <w:rPr/>
              <w:t>(6,494,380</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70" w:type="dxa"/>
            <w:tcBorders/>
            <w:shd w:fill="CCEEFF" w:val="clear"/>
            <w:vAlign w:val="center"/>
          </w:tcPr>
          <w:p>
            <w:pPr>
              <w:pStyle w:val="TableContents"/>
              <w:spacing w:before="0" w:after="0"/>
              <w:ind w:left="0" w:right="0" w:hanging="0"/>
              <w:rPr/>
            </w:pPr>
            <w:r>
              <w:rPr/>
              <w:t> </w:t>
            </w:r>
          </w:p>
        </w:tc>
      </w:tr>
      <w:tr>
        <w:trPr/>
        <w:tc>
          <w:tcPr>
            <w:tcW w:w="27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85" w:type="dxa"/>
            <w:tcBorders>
              <w:bottom w:val="single" w:sz="2" w:space="0" w:color="000000"/>
            </w:tcBorders>
            <w:shd w:fill="FFFFFF" w:val="clear"/>
            <w:tcMar>
              <w:bottom w:w="28" w:type="dxa"/>
            </w:tcMar>
            <w:vAlign w:val="center"/>
          </w:tcPr>
          <w:p>
            <w:pPr>
              <w:pStyle w:val="TableContents"/>
              <w:spacing w:before="0" w:after="283"/>
              <w:jc w:val="right"/>
              <w:rPr/>
            </w:pPr>
            <w:r>
              <w:rPr/>
              <w:t>(6,494,380</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276,340</w:t>
            </w:r>
          </w:p>
        </w:tc>
        <w:tc>
          <w:tcPr>
            <w:tcW w:w="170" w:type="dxa"/>
            <w:tcBorders/>
            <w:shd w:fill="FFFFFF" w:val="clear"/>
            <w:vAlign w:val="center"/>
          </w:tcPr>
          <w:p>
            <w:pPr>
              <w:pStyle w:val="TableContents"/>
              <w:spacing w:before="0" w:after="0"/>
              <w:ind w:left="0" w:right="0" w:hanging="0"/>
              <w:rPr/>
            </w:pPr>
            <w:r>
              <w:rPr/>
              <w:t> </w:t>
            </w:r>
          </w:p>
        </w:tc>
      </w:tr>
      <w:tr>
        <w:trPr/>
        <w:tc>
          <w:tcPr>
            <w:tcW w:w="27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8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2750" w:type="dxa"/>
            <w:tcBorders/>
            <w:shd w:fill="FFFFFF" w:val="clear"/>
            <w:vAlign w:val="center"/>
          </w:tcPr>
          <w:p>
            <w:pPr>
              <w:pStyle w:val="TableContents"/>
              <w:spacing w:before="0" w:after="0"/>
              <w:ind w:left="0" w:right="0" w:hanging="0"/>
              <w:rPr/>
            </w:pPr>
            <w:r>
              <w:rPr>
                <w:rStyle w:val="StrongEmphasis"/>
                <w:rFonts w:ascii="times new roman" w:hAnsi="times new roman"/>
                <w:sz w:val="20"/>
              </w:rPr>
              <w:t xml:space="preserve">Other Investments: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8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275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Gross gains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85"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2,192,789</w:t>
            </w:r>
          </w:p>
        </w:tc>
        <w:tc>
          <w:tcPr>
            <w:tcW w:w="170" w:type="dxa"/>
            <w:tcBorders/>
            <w:shd w:fill="CCEEFF" w:val="clear"/>
            <w:vAlign w:val="center"/>
          </w:tcPr>
          <w:p>
            <w:pPr>
              <w:pStyle w:val="TableContents"/>
              <w:spacing w:before="0" w:after="0"/>
              <w:ind w:left="0" w:right="0" w:hanging="0"/>
              <w:rPr/>
            </w:pPr>
            <w:r>
              <w:rPr/>
              <w:t> </w:t>
            </w:r>
          </w:p>
        </w:tc>
      </w:tr>
      <w:tr>
        <w:trPr/>
        <w:tc>
          <w:tcPr>
            <w:tcW w:w="275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Gross losses</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85" w:type="dxa"/>
            <w:tcBorders>
              <w:bottom w:val="single" w:sz="2" w:space="0" w:color="000000"/>
            </w:tcBorders>
            <w:shd w:fill="FFFFFF" w:val="clear"/>
            <w:tcMar>
              <w:bottom w:w="28" w:type="dxa"/>
            </w:tcMar>
            <w:vAlign w:val="center"/>
          </w:tcPr>
          <w:p>
            <w:pPr>
              <w:pStyle w:val="TableContents"/>
              <w:spacing w:before="0" w:after="283"/>
              <w:jc w:val="right"/>
              <w:rPr/>
            </w:pPr>
            <w:r>
              <w:rPr/>
              <w:t>(2,757,422</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170" w:type="dxa"/>
            <w:tcBorders/>
            <w:shd w:fill="FFFFFF" w:val="clear"/>
            <w:vAlign w:val="center"/>
          </w:tcPr>
          <w:p>
            <w:pPr>
              <w:pStyle w:val="TableContents"/>
              <w:spacing w:before="0" w:after="0"/>
              <w:ind w:left="0" w:right="0" w:hanging="0"/>
              <w:rPr/>
            </w:pPr>
            <w:r>
              <w:rPr/>
              <w:t> </w:t>
            </w:r>
          </w:p>
        </w:tc>
      </w:tr>
      <w:tr>
        <w:trPr/>
        <w:tc>
          <w:tcPr>
            <w:tcW w:w="27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85" w:type="dxa"/>
            <w:tcBorders>
              <w:bottom w:val="single" w:sz="2" w:space="0" w:color="000000"/>
            </w:tcBorders>
            <w:shd w:fill="CCEEFF" w:val="clear"/>
            <w:tcMar>
              <w:bottom w:w="28" w:type="dxa"/>
            </w:tcMar>
            <w:vAlign w:val="center"/>
          </w:tcPr>
          <w:p>
            <w:pPr>
              <w:pStyle w:val="TableContents"/>
              <w:spacing w:before="0" w:after="283"/>
              <w:jc w:val="right"/>
              <w:rPr/>
            </w:pPr>
            <w:r>
              <w:rPr/>
              <w:t>(2,757,422</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2,192,789</w:t>
            </w:r>
          </w:p>
        </w:tc>
        <w:tc>
          <w:tcPr>
            <w:tcW w:w="170" w:type="dxa"/>
            <w:tcBorders/>
            <w:shd w:fill="CCEEFF" w:val="clear"/>
            <w:vAlign w:val="center"/>
          </w:tcPr>
          <w:p>
            <w:pPr>
              <w:pStyle w:val="TableContents"/>
              <w:spacing w:before="0" w:after="0"/>
              <w:ind w:left="0" w:right="0" w:hanging="0"/>
              <w:rPr/>
            </w:pPr>
            <w:r>
              <w:rPr/>
              <w:t> </w:t>
            </w:r>
          </w:p>
        </w:tc>
      </w:tr>
      <w:tr>
        <w:trPr/>
        <w:tc>
          <w:tcPr>
            <w:tcW w:w="27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8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2750" w:type="dxa"/>
            <w:tcBorders/>
            <w:shd w:fill="CCEEFF" w:val="clear"/>
            <w:vAlign w:val="center"/>
          </w:tcPr>
          <w:p>
            <w:pPr>
              <w:pStyle w:val="TableContents"/>
              <w:spacing w:before="0" w:after="0"/>
              <w:ind w:left="0" w:right="0" w:firstLine="180"/>
              <w:rPr>
                <w:rFonts w:ascii="times new roman" w:hAnsi="times new roman"/>
                <w:sz w:val="20"/>
              </w:rPr>
            </w:pPr>
            <w:r>
              <w:rPr>
                <w:rFonts w:ascii="times new roman" w:hAnsi="times new roman"/>
                <w:sz w:val="20"/>
              </w:rPr>
              <w:t>Net unrealized (losses) gains</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85" w:type="dxa"/>
            <w:tcBorders>
              <w:bottom w:val="single" w:sz="2" w:space="0" w:color="000000"/>
            </w:tcBorders>
            <w:shd w:fill="CCEEFF" w:val="clear"/>
            <w:tcMar>
              <w:bottom w:w="28" w:type="dxa"/>
            </w:tcMar>
            <w:vAlign w:val="center"/>
          </w:tcPr>
          <w:p>
            <w:pPr>
              <w:pStyle w:val="TableContents"/>
              <w:spacing w:before="0" w:after="283"/>
              <w:jc w:val="right"/>
              <w:rPr/>
            </w:pPr>
            <w:r>
              <w:rPr/>
              <w:t>(9,251,802</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2,469,129</w:t>
            </w:r>
          </w:p>
        </w:tc>
        <w:tc>
          <w:tcPr>
            <w:tcW w:w="170" w:type="dxa"/>
            <w:tcBorders/>
            <w:shd w:fill="CCEEFF" w:val="clear"/>
            <w:vAlign w:val="center"/>
          </w:tcPr>
          <w:p>
            <w:pPr>
              <w:pStyle w:val="TableContents"/>
              <w:spacing w:before="0" w:after="0"/>
              <w:ind w:left="0" w:right="0" w:hanging="0"/>
              <w:rPr/>
            </w:pPr>
            <w:r>
              <w:rPr/>
              <w:t> </w:t>
            </w:r>
          </w:p>
        </w:tc>
      </w:tr>
      <w:tr>
        <w:trPr/>
        <w:tc>
          <w:tcPr>
            <w:tcW w:w="27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8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275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Net (losses) gains on investments</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085" w:type="dxa"/>
            <w:tcBorders>
              <w:bottom w:val="double" w:sz="6" w:space="0" w:color="000000"/>
            </w:tcBorders>
            <w:shd w:fill="CCEEFF" w:val="clear"/>
            <w:tcMar>
              <w:bottom w:w="28" w:type="dxa"/>
            </w:tcMar>
            <w:vAlign w:val="center"/>
          </w:tcPr>
          <w:p>
            <w:pPr>
              <w:pStyle w:val="TableContents"/>
              <w:spacing w:before="0" w:after="283"/>
              <w:jc w:val="right"/>
              <w:rPr/>
            </w:pPr>
            <w:r>
              <w:rPr/>
              <w:t>(9,391,865</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6" w:space="0" w:color="000000"/>
            </w:tcBorders>
            <w:shd w:fill="CCEEFF" w:val="clear"/>
            <w:tcMar>
              <w:bottom w:w="28" w:type="dxa"/>
            </w:tcMar>
            <w:vAlign w:val="center"/>
          </w:tcPr>
          <w:p>
            <w:pPr>
              <w:pStyle w:val="TableContents"/>
              <w:spacing w:before="0" w:after="283"/>
              <w:jc w:val="right"/>
              <w:rPr/>
            </w:pPr>
            <w:r>
              <w:rPr/>
              <w:t>9,786,955</w:t>
            </w:r>
          </w:p>
        </w:tc>
        <w:tc>
          <w:tcPr>
            <w:tcW w:w="170"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20"/>
          <w:u w:val="single"/>
        </w:rPr>
      </w:pPr>
      <w:r>
        <w:rPr>
          <w:rFonts w:ascii="times new roman" w:hAnsi="times new roman"/>
          <w:sz w:val="20"/>
          <w:u w:val="single"/>
        </w:rPr>
        <w:t xml:space="preserve">Impairment Review </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Impairment of investment securities results in a charge to operations when a market decline below cost is deemed to be other-than-temporary. The Company regularly reviews its fixed-maturity securities to evaluate the necessity of recording impairment losses for other-than-temporary declines in the estimated fair value of investments. In evaluating potential impairment, GAAP specifies (i) if the Company does not have the intent to sell a debt security prior to recovery and (ii) it is more likely than not that it will not have to sell the debt security prior to recovery, the security would not be considered other-than-temporarily impaired unless there is a credit loss.  When the Company does not intend to sell the security and it is more likely than not that the Company will not have to sell the security before recovery of its cost basis, it will recognize the credit component of an other-than-temporary impairment (“OTTI”) of a debt security in earnings and the remaining portion in comprehensive (loss) income.  The credit loss component recognized in earnings is identified as the amount of principal cash flows not expected to be received over the remaining term of the security based on cash flow projections.  For held-to-maturity fixed-maturity securities, the amount of OTTI recorded in comprehensive (loss) income for the noncredit portion of a previous OTTI is amortized prospectively over the remaining life of the security based on timing of future estimated cash flows of the security.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F-21</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xml:space="preserve">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2022 AND 2021</w:t>
      </w:r>
    </w:p>
    <w:p>
      <w:pPr>
        <w:pStyle w:val="TextBody"/>
        <w:spacing w:before="0" w:after="0"/>
        <w:ind w:left="0" w:right="0" w:hanging="0"/>
        <w:jc w:val="center"/>
        <w:rPr/>
      </w:pPr>
      <w:r>
        <w:rPr>
          <w:rStyle w:val="StrongEmphasis"/>
        </w:rPr>
        <w:t> </w:t>
      </w:r>
    </w:p>
    <w:p>
      <w:pPr>
        <w:pStyle w:val="TextBody"/>
        <w:spacing w:before="0" w:after="0"/>
        <w:ind w:left="0" w:right="0" w:hanging="0"/>
        <w:jc w:val="both"/>
        <w:rPr>
          <w:rFonts w:ascii="times new roman" w:hAnsi="times new roman"/>
          <w:sz w:val="20"/>
        </w:rPr>
      </w:pPr>
      <w:r>
        <w:rPr>
          <w:rFonts w:ascii="times new roman" w:hAnsi="times new roman"/>
          <w:sz w:val="20"/>
        </w:rPr>
        <w:t>OTTI losses are recorded in the consolidated statements of operations and comprehensive income (loss) as net realized losses on investments and result in a permanent reduction of the cost basis of the underlying investment. The determination of OTTI is a subjective process and different judgments and assumptions could affect the timing of loss realization. At December 31, 2022 and December 31, 2021, there were 155 and 48 fixed-maturity securities, respectively, that accounted for the gross unrealized losses.  The Company determined that none of the unrealized losses were deemed to be OTTI for its portfolio of investments for the years ended December 31, 2022 and 2021.  Significant factors influencing the Company’s determination that unrealized losses were temporary included credit quality considerations, the magnitude of the unrealized losses in relation to each security’s cost, the nature of the investment and interest rate environment factors, and management’s intent and ability to hold the investment for a period of time sufficient to allow for an anticipated recovery of estimated fair value to the Company’s cost basis.</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F-22</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2022 AND 2021</w:t>
      </w:r>
    </w:p>
    <w:p>
      <w:pPr>
        <w:pStyle w:val="TextBody"/>
        <w:spacing w:before="0" w:after="0"/>
        <w:ind w:left="0" w:right="0" w:hanging="0"/>
        <w:jc w:val="center"/>
        <w:rPr/>
      </w:pPr>
      <w:r>
        <w:rPr>
          <w:rStyle w:val="StrongEmphasis"/>
        </w:rPr>
        <w:t> </w:t>
      </w:r>
    </w:p>
    <w:p>
      <w:pPr>
        <w:pStyle w:val="TextBody"/>
        <w:spacing w:before="0" w:after="0"/>
        <w:ind w:left="0" w:right="0" w:hanging="0"/>
        <w:rPr>
          <w:rFonts w:ascii="times new roman" w:hAnsi="times new roman"/>
          <w:sz w:val="20"/>
        </w:rPr>
      </w:pPr>
      <w:r>
        <w:rPr>
          <w:rFonts w:ascii="times new roman" w:hAnsi="times new roman"/>
          <w:sz w:val="20"/>
        </w:rPr>
        <w:t>The Company held available-for-sale securities with unrealized losses representing declines that were considered temporary at December 31, 2022 and 2021 as follows:</w:t>
      </w:r>
    </w:p>
    <w:p>
      <w:pPr>
        <w:pStyle w:val="TextBody"/>
        <w:spacing w:before="0" w:after="0"/>
        <w:ind w:left="0" w:right="0" w:hanging="0"/>
        <w:rPr/>
      </w:pPr>
      <w:r>
        <w:rPr/>
        <w:t> </w:t>
      </w:r>
    </w:p>
    <w:tbl>
      <w:tblPr>
        <w:tblW w:w="13290" w:type="dxa"/>
        <w:jc w:val="left"/>
        <w:tblInd w:w="0" w:type="dxa"/>
        <w:tblCellMar>
          <w:top w:w="0" w:type="dxa"/>
          <w:left w:w="0" w:type="dxa"/>
          <w:bottom w:w="0" w:type="dxa"/>
          <w:right w:w="0" w:type="dxa"/>
        </w:tblCellMar>
      </w:tblPr>
      <w:tblGrid>
        <w:gridCol w:w="2045"/>
        <w:gridCol w:w="90"/>
        <w:gridCol w:w="170"/>
        <w:gridCol w:w="1130"/>
        <w:gridCol w:w="90"/>
        <w:gridCol w:w="90"/>
        <w:gridCol w:w="170"/>
        <w:gridCol w:w="1085"/>
        <w:gridCol w:w="125"/>
        <w:gridCol w:w="90"/>
        <w:gridCol w:w="146"/>
        <w:gridCol w:w="669"/>
        <w:gridCol w:w="90"/>
        <w:gridCol w:w="90"/>
        <w:gridCol w:w="170"/>
        <w:gridCol w:w="1130"/>
        <w:gridCol w:w="90"/>
        <w:gridCol w:w="90"/>
        <w:gridCol w:w="170"/>
        <w:gridCol w:w="1205"/>
        <w:gridCol w:w="125"/>
        <w:gridCol w:w="90"/>
        <w:gridCol w:w="193"/>
        <w:gridCol w:w="622"/>
        <w:gridCol w:w="90"/>
        <w:gridCol w:w="90"/>
        <w:gridCol w:w="170"/>
        <w:gridCol w:w="1250"/>
        <w:gridCol w:w="90"/>
        <w:gridCol w:w="90"/>
        <w:gridCol w:w="170"/>
        <w:gridCol w:w="1205"/>
        <w:gridCol w:w="170"/>
      </w:tblGrid>
      <w:tr>
        <w:trPr/>
        <w:tc>
          <w:tcPr>
            <w:tcW w:w="20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985" w:type="dxa"/>
            <w:gridSpan w:val="30"/>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2022</w:t>
            </w:r>
          </w:p>
        </w:tc>
        <w:tc>
          <w:tcPr>
            <w:tcW w:w="170" w:type="dxa"/>
            <w:tcBorders/>
            <w:shd w:fill="auto" w:val="clear"/>
            <w:vAlign w:val="center"/>
          </w:tcPr>
          <w:p>
            <w:pPr>
              <w:pStyle w:val="TableContents"/>
              <w:spacing w:before="0" w:after="0"/>
              <w:ind w:left="0" w:right="0" w:hanging="0"/>
              <w:rPr/>
            </w:pPr>
            <w:r>
              <w:rPr/>
              <w:t> </w:t>
            </w:r>
          </w:p>
        </w:tc>
      </w:tr>
      <w:tr>
        <w:trPr/>
        <w:tc>
          <w:tcPr>
            <w:tcW w:w="20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765" w:type="dxa"/>
            <w:gridSpan w:val="10"/>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Less than 12 months</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885" w:type="dxa"/>
            <w:gridSpan w:val="10"/>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12 months or more</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975"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Total</w:t>
            </w:r>
          </w:p>
        </w:tc>
        <w:tc>
          <w:tcPr>
            <w:tcW w:w="170" w:type="dxa"/>
            <w:tcBorders/>
            <w:shd w:fill="auto" w:val="clear"/>
            <w:vAlign w:val="center"/>
          </w:tcPr>
          <w:p>
            <w:pPr>
              <w:pStyle w:val="TableContents"/>
              <w:spacing w:before="0" w:after="0"/>
              <w:ind w:left="0" w:right="0" w:hanging="0"/>
              <w:rPr/>
            </w:pPr>
            <w:r>
              <w:rPr/>
              <w:t> </w:t>
            </w:r>
          </w:p>
        </w:tc>
      </w:tr>
      <w:tr>
        <w:trPr/>
        <w:tc>
          <w:tcPr>
            <w:tcW w:w="20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Estimated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55"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15"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No. of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Estimated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15"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No. of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Estimated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0"/>
              <w:ind w:left="0" w:right="0" w:hanging="0"/>
              <w:rPr/>
            </w:pPr>
            <w:r>
              <w:rPr/>
              <w:t> </w:t>
            </w:r>
          </w:p>
        </w:tc>
      </w:tr>
      <w:tr>
        <w:trPr/>
        <w:tc>
          <w:tcPr>
            <w:tcW w:w="20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Fair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55"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Unrealized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15"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Positions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Fair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Unrealized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15"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Positions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Fair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Unrealized </w:t>
            </w:r>
          </w:p>
        </w:tc>
        <w:tc>
          <w:tcPr>
            <w:tcW w:w="170" w:type="dxa"/>
            <w:tcBorders/>
            <w:shd w:fill="auto" w:val="clear"/>
            <w:vAlign w:val="center"/>
          </w:tcPr>
          <w:p>
            <w:pPr>
              <w:pStyle w:val="TableContents"/>
              <w:spacing w:before="0" w:after="0"/>
              <w:ind w:left="0" w:right="0" w:hanging="0"/>
              <w:rPr/>
            </w:pPr>
            <w:r>
              <w:rPr/>
              <w:t> </w:t>
            </w:r>
          </w:p>
        </w:tc>
      </w:tr>
      <w:tr>
        <w:trPr/>
        <w:tc>
          <w:tcPr>
            <w:tcW w:w="2045"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Fonts w:ascii="times new roman" w:hAnsi="times new roman"/>
                <w:sz w:val="20"/>
              </w:rPr>
              <w:t xml:space="preserve">Category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Value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5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Losses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Held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Value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Losses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Held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Value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Losses </w:t>
            </w:r>
          </w:p>
        </w:tc>
        <w:tc>
          <w:tcPr>
            <w:tcW w:w="170" w:type="dxa"/>
            <w:tcBorders/>
            <w:shd w:fill="auto" w:val="clear"/>
            <w:vAlign w:val="center"/>
          </w:tcPr>
          <w:p>
            <w:pPr>
              <w:pStyle w:val="TableContents"/>
              <w:spacing w:before="0" w:after="0"/>
              <w:ind w:left="0" w:right="0" w:hanging="0"/>
              <w:rPr/>
            </w:pPr>
            <w:r>
              <w:rPr/>
              <w:t> </w:t>
            </w:r>
          </w:p>
        </w:tc>
      </w:tr>
      <w:tr>
        <w:trPr/>
        <w:tc>
          <w:tcPr>
            <w:tcW w:w="20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c>
          <w:tcPr>
            <w:tcW w:w="1085" w:type="dxa"/>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6" w:type="dxa"/>
            <w:tcBorders/>
            <w:shd w:fill="auto" w:val="clear"/>
            <w:vAlign w:val="center"/>
          </w:tcPr>
          <w:p>
            <w:pPr>
              <w:pStyle w:val="TableContents"/>
              <w:spacing w:before="0" w:after="0"/>
              <w:ind w:left="0" w:right="0" w:hanging="0"/>
              <w:rPr/>
            </w:pPr>
            <w:r>
              <w:rPr/>
              <w:t> </w:t>
            </w:r>
          </w:p>
        </w:tc>
        <w:tc>
          <w:tcPr>
            <w:tcW w:w="8059" w:type="dxa"/>
            <w:gridSpan w:val="22"/>
            <w:tcBorders/>
            <w:shd w:fill="auto" w:val="clear"/>
            <w:vAlign w:val="center"/>
          </w:tcPr>
          <w:p>
            <w:pPr>
              <w:pStyle w:val="TableContents"/>
              <w:spacing w:before="0" w:after="0"/>
              <w:ind w:left="0" w:right="0" w:hanging="0"/>
              <w:rPr/>
            </w:pPr>
            <w:r>
              <w:rPr/>
              <w:t> </w:t>
            </w:r>
          </w:p>
        </w:tc>
      </w:tr>
      <w:tr>
        <w:trPr/>
        <w:tc>
          <w:tcPr>
            <w:tcW w:w="2045" w:type="dxa"/>
            <w:tcBorders/>
            <w:shd w:fill="auto" w:val="clear"/>
            <w:vAlign w:val="center"/>
          </w:tcPr>
          <w:p>
            <w:pPr>
              <w:pStyle w:val="TableContents"/>
              <w:spacing w:before="0" w:after="0"/>
              <w:ind w:left="0" w:right="0" w:hanging="0"/>
              <w:rPr/>
            </w:pPr>
            <w:r>
              <w:rPr>
                <w:rStyle w:val="StrongEmphasis"/>
                <w:rFonts w:ascii="times new roman" w:hAnsi="times new roman"/>
                <w:sz w:val="20"/>
              </w:rPr>
              <w:t xml:space="preserve">Fixed-Maturity Securities: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5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15"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15"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r>
      <w:tr>
        <w:trPr/>
        <w:tc>
          <w:tcPr>
            <w:tcW w:w="204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U.S. Treasury securities and obligations of U.S. government corporations and agencies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18,918,196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85" w:type="dxa"/>
            <w:tcBorders/>
            <w:shd w:fill="CCEEFF" w:val="clear"/>
            <w:vAlign w:val="center"/>
          </w:tcPr>
          <w:p>
            <w:pPr>
              <w:pStyle w:val="TableContents"/>
              <w:spacing w:before="0" w:after="283"/>
              <w:jc w:val="right"/>
              <w:rPr/>
            </w:pPr>
            <w:r>
              <w:rPr/>
              <w:t>(6,928</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46" w:type="dxa"/>
            <w:tcBorders/>
            <w:shd w:fill="CCEEFF" w:val="clear"/>
            <w:vAlign w:val="center"/>
          </w:tcPr>
          <w:p>
            <w:pPr>
              <w:pStyle w:val="TableContents"/>
              <w:spacing w:before="0" w:after="0"/>
              <w:ind w:left="0" w:right="0" w:hanging="0"/>
              <w:rPr/>
            </w:pPr>
            <w:r>
              <w:rPr/>
              <w:t> </w:t>
            </w:r>
          </w:p>
        </w:tc>
        <w:tc>
          <w:tcPr>
            <w:tcW w:w="669" w:type="dxa"/>
            <w:tcBorders/>
            <w:shd w:fill="CCEEFF" w:val="clear"/>
            <w:vAlign w:val="center"/>
          </w:tcPr>
          <w:p>
            <w:pPr>
              <w:pStyle w:val="TableContents"/>
              <w:spacing w:before="0" w:after="283"/>
              <w:jc w:val="right"/>
              <w:rPr/>
            </w:pPr>
            <w:r>
              <w:rPr/>
              <w:t>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3" w:type="dxa"/>
            <w:tcBorders/>
            <w:shd w:fill="CCEEFF" w:val="clear"/>
            <w:vAlign w:val="center"/>
          </w:tcPr>
          <w:p>
            <w:pPr>
              <w:pStyle w:val="TableContents"/>
              <w:spacing w:before="0" w:after="0"/>
              <w:ind w:left="0" w:right="0" w:hanging="0"/>
              <w:rPr/>
            </w:pPr>
            <w:r>
              <w:rPr/>
              <w:t> </w:t>
            </w:r>
          </w:p>
        </w:tc>
        <w:tc>
          <w:tcPr>
            <w:tcW w:w="622"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18,918,196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05" w:type="dxa"/>
            <w:tcBorders/>
            <w:shd w:fill="CCEEFF" w:val="clear"/>
            <w:vAlign w:val="center"/>
          </w:tcPr>
          <w:p>
            <w:pPr>
              <w:pStyle w:val="TableContents"/>
              <w:spacing w:before="0" w:after="283"/>
              <w:jc w:val="right"/>
              <w:rPr/>
            </w:pPr>
            <w:r>
              <w:rPr/>
              <w:t>(6,928</w:t>
            </w:r>
          </w:p>
        </w:tc>
        <w:tc>
          <w:tcPr>
            <w:tcW w:w="170" w:type="dxa"/>
            <w:tcBorders/>
            <w:shd w:fill="CCEEFF" w:val="clear"/>
            <w:vAlign w:val="center"/>
          </w:tcPr>
          <w:p>
            <w:pPr>
              <w:pStyle w:val="TableContents"/>
              <w:spacing w:before="0" w:after="283"/>
              <w:rPr/>
            </w:pPr>
            <w:r>
              <w:rPr/>
              <w:t>)</w:t>
            </w:r>
          </w:p>
        </w:tc>
      </w:tr>
      <w:tr>
        <w:trPr/>
        <w:tc>
          <w:tcPr>
            <w:tcW w:w="20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8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6" w:type="dxa"/>
            <w:tcBorders/>
            <w:shd w:fill="FFFFFF" w:val="clear"/>
            <w:vAlign w:val="center"/>
          </w:tcPr>
          <w:p>
            <w:pPr>
              <w:pStyle w:val="TableContents"/>
              <w:spacing w:before="0" w:after="0"/>
              <w:ind w:left="0" w:right="0" w:hanging="0"/>
              <w:rPr/>
            </w:pPr>
            <w:r>
              <w:rPr/>
              <w:t> </w:t>
            </w:r>
          </w:p>
        </w:tc>
        <w:tc>
          <w:tcPr>
            <w:tcW w:w="669"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93" w:type="dxa"/>
            <w:tcBorders/>
            <w:shd w:fill="FFFFFF" w:val="clear"/>
            <w:vAlign w:val="center"/>
          </w:tcPr>
          <w:p>
            <w:pPr>
              <w:pStyle w:val="TableContents"/>
              <w:spacing w:before="0" w:after="0"/>
              <w:ind w:left="0" w:right="0" w:hanging="0"/>
              <w:rPr/>
            </w:pPr>
            <w:r>
              <w:rPr/>
              <w:t> </w:t>
            </w:r>
          </w:p>
        </w:tc>
        <w:tc>
          <w:tcPr>
            <w:tcW w:w="622"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204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Political subdivisions of States, Territories and Possessions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7,970,633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85" w:type="dxa"/>
            <w:tcBorders/>
            <w:shd w:fill="CCEEFF" w:val="clear"/>
            <w:vAlign w:val="center"/>
          </w:tcPr>
          <w:p>
            <w:pPr>
              <w:pStyle w:val="TableContents"/>
              <w:spacing w:before="0" w:after="283"/>
              <w:jc w:val="right"/>
              <w:rPr/>
            </w:pPr>
            <w:r>
              <w:rPr/>
              <w:t>(2,195,273</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46" w:type="dxa"/>
            <w:tcBorders/>
            <w:shd w:fill="CCEEFF" w:val="clear"/>
            <w:vAlign w:val="center"/>
          </w:tcPr>
          <w:p>
            <w:pPr>
              <w:pStyle w:val="TableContents"/>
              <w:spacing w:before="0" w:after="0"/>
              <w:ind w:left="0" w:right="0" w:hanging="0"/>
              <w:rPr/>
            </w:pPr>
            <w:r>
              <w:rPr/>
              <w:t> </w:t>
            </w:r>
          </w:p>
        </w:tc>
        <w:tc>
          <w:tcPr>
            <w:tcW w:w="669" w:type="dxa"/>
            <w:tcBorders/>
            <w:shd w:fill="CCEEFF" w:val="clear"/>
            <w:vAlign w:val="center"/>
          </w:tcPr>
          <w:p>
            <w:pPr>
              <w:pStyle w:val="TableContents"/>
              <w:spacing w:before="0" w:after="283"/>
              <w:jc w:val="right"/>
              <w:rPr/>
            </w:pPr>
            <w:r>
              <w:rPr/>
              <w:t>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5,170,753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(1,771,494</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93" w:type="dxa"/>
            <w:tcBorders/>
            <w:shd w:fill="CCEEFF" w:val="clear"/>
            <w:vAlign w:val="center"/>
          </w:tcPr>
          <w:p>
            <w:pPr>
              <w:pStyle w:val="TableContents"/>
              <w:spacing w:before="0" w:after="0"/>
              <w:ind w:left="0" w:right="0" w:hanging="0"/>
              <w:rPr/>
            </w:pPr>
            <w:r>
              <w:rPr/>
              <w:t> </w:t>
            </w:r>
          </w:p>
        </w:tc>
        <w:tc>
          <w:tcPr>
            <w:tcW w:w="622" w:type="dxa"/>
            <w:tcBorders/>
            <w:shd w:fill="CCEEFF" w:val="clear"/>
            <w:vAlign w:val="center"/>
          </w:tcPr>
          <w:p>
            <w:pPr>
              <w:pStyle w:val="TableContents"/>
              <w:spacing w:before="0" w:after="283"/>
              <w:jc w:val="right"/>
              <w:rPr/>
            </w:pPr>
            <w:r>
              <w:rPr/>
              <w:t>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13,141,386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(3,966,767</w:t>
            </w:r>
          </w:p>
        </w:tc>
        <w:tc>
          <w:tcPr>
            <w:tcW w:w="170" w:type="dxa"/>
            <w:tcBorders/>
            <w:shd w:fill="CCEEFF" w:val="clear"/>
            <w:vAlign w:val="center"/>
          </w:tcPr>
          <w:p>
            <w:pPr>
              <w:pStyle w:val="TableContents"/>
              <w:spacing w:before="0" w:after="283"/>
              <w:rPr/>
            </w:pPr>
            <w:r>
              <w:rPr/>
              <w:t>)</w:t>
            </w:r>
          </w:p>
        </w:tc>
      </w:tr>
      <w:tr>
        <w:trPr/>
        <w:tc>
          <w:tcPr>
            <w:tcW w:w="20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8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6" w:type="dxa"/>
            <w:tcBorders/>
            <w:shd w:fill="FFFFFF" w:val="clear"/>
            <w:vAlign w:val="center"/>
          </w:tcPr>
          <w:p>
            <w:pPr>
              <w:pStyle w:val="TableContents"/>
              <w:spacing w:before="0" w:after="0"/>
              <w:ind w:left="0" w:right="0" w:hanging="0"/>
              <w:rPr/>
            </w:pPr>
            <w:r>
              <w:rPr/>
              <w:t> </w:t>
            </w:r>
          </w:p>
        </w:tc>
        <w:tc>
          <w:tcPr>
            <w:tcW w:w="669"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93" w:type="dxa"/>
            <w:tcBorders/>
            <w:shd w:fill="FFFFFF" w:val="clear"/>
            <w:vAlign w:val="center"/>
          </w:tcPr>
          <w:p>
            <w:pPr>
              <w:pStyle w:val="TableContents"/>
              <w:spacing w:before="0" w:after="0"/>
              <w:ind w:left="0" w:right="0" w:hanging="0"/>
              <w:rPr/>
            </w:pPr>
            <w:r>
              <w:rPr/>
              <w:t> </w:t>
            </w:r>
          </w:p>
        </w:tc>
        <w:tc>
          <w:tcPr>
            <w:tcW w:w="622"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204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Corporate and other bonds industrial and miscellaneous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56,910,104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85" w:type="dxa"/>
            <w:tcBorders/>
            <w:shd w:fill="CCEEFF" w:val="clear"/>
            <w:vAlign w:val="center"/>
          </w:tcPr>
          <w:p>
            <w:pPr>
              <w:pStyle w:val="TableContents"/>
              <w:spacing w:before="0" w:after="283"/>
              <w:jc w:val="right"/>
              <w:rPr/>
            </w:pPr>
            <w:r>
              <w:rPr/>
              <w:t>(5,796,994</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46" w:type="dxa"/>
            <w:tcBorders/>
            <w:shd w:fill="CCEEFF" w:val="clear"/>
            <w:vAlign w:val="center"/>
          </w:tcPr>
          <w:p>
            <w:pPr>
              <w:pStyle w:val="TableContents"/>
              <w:spacing w:before="0" w:after="0"/>
              <w:ind w:left="0" w:right="0" w:hanging="0"/>
              <w:rPr/>
            </w:pPr>
            <w:r>
              <w:rPr/>
              <w:t> </w:t>
            </w:r>
          </w:p>
        </w:tc>
        <w:tc>
          <w:tcPr>
            <w:tcW w:w="669" w:type="dxa"/>
            <w:tcBorders/>
            <w:shd w:fill="CCEEFF" w:val="clear"/>
            <w:vAlign w:val="center"/>
          </w:tcPr>
          <w:p>
            <w:pPr>
              <w:pStyle w:val="TableContents"/>
              <w:spacing w:before="0" w:after="283"/>
              <w:jc w:val="right"/>
              <w:rPr/>
            </w:pPr>
            <w:r>
              <w:rPr/>
              <w:t>75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15,172,381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(2,458,985</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93" w:type="dxa"/>
            <w:tcBorders/>
            <w:shd w:fill="CCEEFF" w:val="clear"/>
            <w:vAlign w:val="center"/>
          </w:tcPr>
          <w:p>
            <w:pPr>
              <w:pStyle w:val="TableContents"/>
              <w:spacing w:before="0" w:after="0"/>
              <w:ind w:left="0" w:right="0" w:hanging="0"/>
              <w:rPr/>
            </w:pPr>
            <w:r>
              <w:rPr/>
              <w:t> </w:t>
            </w:r>
          </w:p>
        </w:tc>
        <w:tc>
          <w:tcPr>
            <w:tcW w:w="622" w:type="dxa"/>
            <w:tcBorders/>
            <w:shd w:fill="CCEEFF" w:val="clear"/>
            <w:vAlign w:val="center"/>
          </w:tcPr>
          <w:p>
            <w:pPr>
              <w:pStyle w:val="TableContents"/>
              <w:spacing w:before="0" w:after="283"/>
              <w:jc w:val="right"/>
              <w:rPr/>
            </w:pPr>
            <w:r>
              <w:rPr/>
              <w:t>15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72,082,485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(8,255,979</w:t>
            </w:r>
          </w:p>
        </w:tc>
        <w:tc>
          <w:tcPr>
            <w:tcW w:w="170" w:type="dxa"/>
            <w:tcBorders/>
            <w:shd w:fill="CCEEFF" w:val="clear"/>
            <w:vAlign w:val="center"/>
          </w:tcPr>
          <w:p>
            <w:pPr>
              <w:pStyle w:val="TableContents"/>
              <w:spacing w:before="0" w:after="283"/>
              <w:rPr/>
            </w:pPr>
            <w:r>
              <w:rPr/>
              <w:t>)</w:t>
            </w:r>
          </w:p>
        </w:tc>
      </w:tr>
      <w:tr>
        <w:trPr/>
        <w:tc>
          <w:tcPr>
            <w:tcW w:w="20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8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6" w:type="dxa"/>
            <w:tcBorders/>
            <w:shd w:fill="FFFFFF" w:val="clear"/>
            <w:vAlign w:val="center"/>
          </w:tcPr>
          <w:p>
            <w:pPr>
              <w:pStyle w:val="TableContents"/>
              <w:spacing w:before="0" w:after="0"/>
              <w:ind w:left="0" w:right="0" w:hanging="0"/>
              <w:rPr/>
            </w:pPr>
            <w:r>
              <w:rPr/>
              <w:t> </w:t>
            </w:r>
          </w:p>
        </w:tc>
        <w:tc>
          <w:tcPr>
            <w:tcW w:w="669"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93" w:type="dxa"/>
            <w:tcBorders/>
            <w:shd w:fill="FFFFFF" w:val="clear"/>
            <w:vAlign w:val="center"/>
          </w:tcPr>
          <w:p>
            <w:pPr>
              <w:pStyle w:val="TableContents"/>
              <w:spacing w:before="0" w:after="0"/>
              <w:ind w:left="0" w:right="0" w:hanging="0"/>
              <w:rPr/>
            </w:pPr>
            <w:r>
              <w:rPr/>
              <w:t> </w:t>
            </w:r>
          </w:p>
        </w:tc>
        <w:tc>
          <w:tcPr>
            <w:tcW w:w="622"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204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Residential mortgage and other asset backed </w:t>
            </w:r>
          </w:p>
          <w:p>
            <w:pPr>
              <w:pStyle w:val="TableContents"/>
              <w:spacing w:before="0" w:after="0"/>
              <w:ind w:left="0" w:right="0" w:hanging="0"/>
              <w:rPr>
                <w:rFonts w:ascii="times new roman" w:hAnsi="times new roman"/>
                <w:sz w:val="20"/>
              </w:rPr>
            </w:pPr>
            <w:r>
              <w:rPr>
                <w:rFonts w:ascii="times new roman" w:hAnsi="times new roman"/>
                <w:sz w:val="20"/>
              </w:rPr>
              <w:t>securities</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CCEEFF" w:val="clear"/>
            <w:tcMar>
              <w:bottom w:w="28" w:type="dxa"/>
            </w:tcMar>
            <w:vAlign w:val="center"/>
          </w:tcPr>
          <w:p>
            <w:pPr>
              <w:pStyle w:val="TableContents"/>
              <w:spacing w:before="0" w:after="283"/>
              <w:jc w:val="right"/>
              <w:rPr/>
            </w:pPr>
            <w:r>
              <w:rPr/>
              <w:t>10,145,880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85" w:type="dxa"/>
            <w:tcBorders>
              <w:bottom w:val="single" w:sz="2" w:space="0" w:color="000000"/>
            </w:tcBorders>
            <w:shd w:fill="CCEEFF" w:val="clear"/>
            <w:tcMar>
              <w:bottom w:w="28" w:type="dxa"/>
            </w:tcMar>
            <w:vAlign w:val="center"/>
          </w:tcPr>
          <w:p>
            <w:pPr>
              <w:pStyle w:val="TableContents"/>
              <w:spacing w:before="0" w:after="283"/>
              <w:jc w:val="right"/>
              <w:rPr/>
            </w:pPr>
            <w:r>
              <w:rPr/>
              <w:t>(882,664</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4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69" w:type="dxa"/>
            <w:tcBorders>
              <w:bottom w:val="single" w:sz="2" w:space="0" w:color="000000"/>
            </w:tcBorders>
            <w:shd w:fill="CCEEFF" w:val="clear"/>
            <w:tcMar>
              <w:bottom w:w="28" w:type="dxa"/>
            </w:tcMar>
            <w:vAlign w:val="center"/>
          </w:tcPr>
          <w:p>
            <w:pPr>
              <w:pStyle w:val="TableContents"/>
              <w:spacing w:before="0" w:after="283"/>
              <w:jc w:val="right"/>
              <w:rPr/>
            </w:pPr>
            <w:r>
              <w:rPr/>
              <w:t>22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CCEEFF" w:val="clear"/>
            <w:tcMar>
              <w:bottom w:w="28" w:type="dxa"/>
            </w:tcMar>
            <w:vAlign w:val="center"/>
          </w:tcPr>
          <w:p>
            <w:pPr>
              <w:pStyle w:val="TableContents"/>
              <w:spacing w:before="0" w:after="283"/>
              <w:jc w:val="right"/>
              <w:rPr/>
            </w:pPr>
            <w:r>
              <w:rPr/>
              <w:t>34,753,178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CCEEFF" w:val="clear"/>
            <w:tcMar>
              <w:bottom w:w="28" w:type="dxa"/>
            </w:tcMar>
            <w:vAlign w:val="center"/>
          </w:tcPr>
          <w:p>
            <w:pPr>
              <w:pStyle w:val="TableContents"/>
              <w:spacing w:before="0" w:after="283"/>
              <w:jc w:val="right"/>
              <w:rPr/>
            </w:pPr>
            <w:r>
              <w:rPr/>
              <w:t>(7,150,803</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93"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22" w:type="dxa"/>
            <w:tcBorders>
              <w:bottom w:val="single" w:sz="2" w:space="0" w:color="000000"/>
            </w:tcBorders>
            <w:shd w:fill="CCEEFF" w:val="clear"/>
            <w:tcMar>
              <w:bottom w:w="28" w:type="dxa"/>
            </w:tcMar>
            <w:vAlign w:val="center"/>
          </w:tcPr>
          <w:p>
            <w:pPr>
              <w:pStyle w:val="TableContents"/>
              <w:spacing w:before="0" w:after="283"/>
              <w:jc w:val="right"/>
              <w:rPr/>
            </w:pPr>
            <w:r>
              <w:rPr/>
              <w:t>26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44,899,058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CCEEFF" w:val="clear"/>
            <w:tcMar>
              <w:bottom w:w="28" w:type="dxa"/>
            </w:tcMar>
            <w:vAlign w:val="center"/>
          </w:tcPr>
          <w:p>
            <w:pPr>
              <w:pStyle w:val="TableContents"/>
              <w:spacing w:before="0" w:after="283"/>
              <w:jc w:val="right"/>
              <w:rPr/>
            </w:pPr>
            <w:r>
              <w:rPr/>
              <w:t>(8,033,467</w:t>
            </w:r>
          </w:p>
        </w:tc>
        <w:tc>
          <w:tcPr>
            <w:tcW w:w="170" w:type="dxa"/>
            <w:tcBorders/>
            <w:shd w:fill="CCEEFF" w:val="clear"/>
            <w:vAlign w:val="center"/>
          </w:tcPr>
          <w:p>
            <w:pPr>
              <w:pStyle w:val="TableContents"/>
              <w:spacing w:before="0" w:after="283"/>
              <w:rPr/>
            </w:pPr>
            <w:r>
              <w:rPr/>
              <w:t>)</w:t>
            </w:r>
          </w:p>
        </w:tc>
      </w:tr>
      <w:tr>
        <w:trPr/>
        <w:tc>
          <w:tcPr>
            <w:tcW w:w="20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8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6" w:type="dxa"/>
            <w:tcBorders/>
            <w:shd w:fill="FFFFFF" w:val="clear"/>
            <w:vAlign w:val="center"/>
          </w:tcPr>
          <w:p>
            <w:pPr>
              <w:pStyle w:val="TableContents"/>
              <w:spacing w:before="0" w:after="0"/>
              <w:ind w:left="0" w:right="0" w:hanging="0"/>
              <w:rPr/>
            </w:pPr>
            <w:r>
              <w:rPr/>
              <w:t> </w:t>
            </w:r>
          </w:p>
        </w:tc>
        <w:tc>
          <w:tcPr>
            <w:tcW w:w="669"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93" w:type="dxa"/>
            <w:tcBorders/>
            <w:shd w:fill="FFFFFF" w:val="clear"/>
            <w:vAlign w:val="center"/>
          </w:tcPr>
          <w:p>
            <w:pPr>
              <w:pStyle w:val="TableContents"/>
              <w:spacing w:before="0" w:after="0"/>
              <w:ind w:left="0" w:right="0" w:hanging="0"/>
              <w:rPr/>
            </w:pPr>
            <w:r>
              <w:rPr/>
              <w:t> </w:t>
            </w:r>
          </w:p>
        </w:tc>
        <w:tc>
          <w:tcPr>
            <w:tcW w:w="622"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204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Total fixed-maturity securities</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130" w:type="dxa"/>
            <w:tcBorders>
              <w:bottom w:val="double" w:sz="6" w:space="0" w:color="000000"/>
            </w:tcBorders>
            <w:shd w:fill="CCEEFF" w:val="clear"/>
            <w:tcMar>
              <w:bottom w:w="28" w:type="dxa"/>
            </w:tcMar>
            <w:vAlign w:val="center"/>
          </w:tcPr>
          <w:p>
            <w:pPr>
              <w:pStyle w:val="TableContents"/>
              <w:spacing w:before="0" w:after="283"/>
              <w:jc w:val="right"/>
              <w:rPr/>
            </w:pPr>
            <w:r>
              <w:rPr/>
              <w:t>93,944,813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085" w:type="dxa"/>
            <w:tcBorders>
              <w:bottom w:val="double" w:sz="6" w:space="0" w:color="000000"/>
            </w:tcBorders>
            <w:shd w:fill="CCEEFF" w:val="clear"/>
            <w:tcMar>
              <w:bottom w:w="28" w:type="dxa"/>
            </w:tcMar>
            <w:vAlign w:val="center"/>
          </w:tcPr>
          <w:p>
            <w:pPr>
              <w:pStyle w:val="TableContents"/>
              <w:spacing w:before="0" w:after="283"/>
              <w:jc w:val="right"/>
              <w:rPr/>
            </w:pPr>
            <w:r>
              <w:rPr/>
              <w:t>(8,881,859</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46"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669" w:type="dxa"/>
            <w:tcBorders>
              <w:bottom w:val="double" w:sz="6" w:space="0" w:color="000000"/>
            </w:tcBorders>
            <w:shd w:fill="CCEEFF" w:val="clear"/>
            <w:tcMar>
              <w:bottom w:w="28" w:type="dxa"/>
            </w:tcMar>
            <w:vAlign w:val="center"/>
          </w:tcPr>
          <w:p>
            <w:pPr>
              <w:pStyle w:val="TableContents"/>
              <w:spacing w:before="0" w:after="283"/>
              <w:jc w:val="right"/>
              <w:rPr/>
            </w:pPr>
            <w:r>
              <w:rPr/>
              <w:t>109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130" w:type="dxa"/>
            <w:tcBorders>
              <w:bottom w:val="double" w:sz="6" w:space="0" w:color="000000"/>
            </w:tcBorders>
            <w:shd w:fill="CCEEFF" w:val="clear"/>
            <w:tcMar>
              <w:bottom w:w="28" w:type="dxa"/>
            </w:tcMar>
            <w:vAlign w:val="center"/>
          </w:tcPr>
          <w:p>
            <w:pPr>
              <w:pStyle w:val="TableContents"/>
              <w:spacing w:before="0" w:after="283"/>
              <w:jc w:val="right"/>
              <w:rPr/>
            </w:pPr>
            <w:r>
              <w:rPr/>
              <w:t>55,096,312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05" w:type="dxa"/>
            <w:tcBorders>
              <w:bottom w:val="double" w:sz="6" w:space="0" w:color="000000"/>
            </w:tcBorders>
            <w:shd w:fill="CCEEFF" w:val="clear"/>
            <w:tcMar>
              <w:bottom w:w="28" w:type="dxa"/>
            </w:tcMar>
            <w:vAlign w:val="center"/>
          </w:tcPr>
          <w:p>
            <w:pPr>
              <w:pStyle w:val="TableContents"/>
              <w:spacing w:before="0" w:after="283"/>
              <w:jc w:val="right"/>
              <w:rPr/>
            </w:pPr>
            <w:r>
              <w:rPr/>
              <w:t>(11,381,282</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93"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622" w:type="dxa"/>
            <w:tcBorders>
              <w:bottom w:val="double" w:sz="6" w:space="0" w:color="000000"/>
            </w:tcBorders>
            <w:shd w:fill="CCEEFF" w:val="clear"/>
            <w:tcMar>
              <w:bottom w:w="28" w:type="dxa"/>
            </w:tcMar>
            <w:vAlign w:val="center"/>
          </w:tcPr>
          <w:p>
            <w:pPr>
              <w:pStyle w:val="TableContents"/>
              <w:spacing w:before="0" w:after="283"/>
              <w:jc w:val="right"/>
              <w:rPr/>
            </w:pPr>
            <w:r>
              <w:rPr/>
              <w:t>46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6" w:space="0" w:color="000000"/>
            </w:tcBorders>
            <w:shd w:fill="CCEEFF" w:val="clear"/>
            <w:tcMar>
              <w:bottom w:w="28" w:type="dxa"/>
            </w:tcMar>
            <w:vAlign w:val="center"/>
          </w:tcPr>
          <w:p>
            <w:pPr>
              <w:pStyle w:val="TableContents"/>
              <w:spacing w:before="0" w:after="283"/>
              <w:jc w:val="right"/>
              <w:rPr/>
            </w:pPr>
            <w:r>
              <w:rPr/>
              <w:t>149,041,125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05" w:type="dxa"/>
            <w:tcBorders>
              <w:bottom w:val="double" w:sz="6" w:space="0" w:color="000000"/>
            </w:tcBorders>
            <w:shd w:fill="CCEEFF" w:val="clear"/>
            <w:tcMar>
              <w:bottom w:w="28" w:type="dxa"/>
            </w:tcMar>
            <w:vAlign w:val="center"/>
          </w:tcPr>
          <w:p>
            <w:pPr>
              <w:pStyle w:val="TableContents"/>
              <w:spacing w:before="0" w:after="283"/>
              <w:jc w:val="right"/>
              <w:rPr/>
            </w:pPr>
            <w:r>
              <w:rPr/>
              <w:t>(20,263,141</w:t>
            </w:r>
          </w:p>
        </w:tc>
        <w:tc>
          <w:tcPr>
            <w:tcW w:w="170" w:type="dxa"/>
            <w:tcBorders/>
            <w:shd w:fill="CCEEFF" w:val="clear"/>
            <w:vAlign w:val="center"/>
          </w:tcPr>
          <w:p>
            <w:pPr>
              <w:pStyle w:val="TableContents"/>
              <w:spacing w:before="0" w:after="283"/>
              <w:rPr/>
            </w:pPr>
            <w:r>
              <w:rPr/>
              <w:t>)</w:t>
            </w:r>
          </w:p>
        </w:tc>
      </w:tr>
    </w:tbl>
    <w:p>
      <w:pPr>
        <w:pStyle w:val="TextBody"/>
        <w:spacing w:before="0" w:after="0"/>
        <w:ind w:left="0" w:right="0" w:hanging="0"/>
        <w:rPr/>
      </w:pPr>
      <w:r>
        <w:rPr/>
        <w:t> </w:t>
      </w:r>
    </w:p>
    <w:tbl>
      <w:tblPr>
        <w:tblW w:w="12270" w:type="dxa"/>
        <w:jc w:val="left"/>
        <w:tblInd w:w="0" w:type="dxa"/>
        <w:tblCellMar>
          <w:top w:w="0" w:type="dxa"/>
          <w:left w:w="0" w:type="dxa"/>
          <w:bottom w:w="0" w:type="dxa"/>
          <w:right w:w="0" w:type="dxa"/>
        </w:tblCellMar>
      </w:tblPr>
      <w:tblGrid>
        <w:gridCol w:w="2045"/>
        <w:gridCol w:w="90"/>
        <w:gridCol w:w="170"/>
        <w:gridCol w:w="1130"/>
        <w:gridCol w:w="90"/>
        <w:gridCol w:w="90"/>
        <w:gridCol w:w="170"/>
        <w:gridCol w:w="905"/>
        <w:gridCol w:w="125"/>
        <w:gridCol w:w="90"/>
        <w:gridCol w:w="193"/>
        <w:gridCol w:w="622"/>
        <w:gridCol w:w="90"/>
        <w:gridCol w:w="90"/>
        <w:gridCol w:w="170"/>
        <w:gridCol w:w="1010"/>
        <w:gridCol w:w="90"/>
        <w:gridCol w:w="90"/>
        <w:gridCol w:w="170"/>
        <w:gridCol w:w="905"/>
        <w:gridCol w:w="125"/>
        <w:gridCol w:w="90"/>
        <w:gridCol w:w="279"/>
        <w:gridCol w:w="536"/>
        <w:gridCol w:w="90"/>
        <w:gridCol w:w="90"/>
        <w:gridCol w:w="170"/>
        <w:gridCol w:w="1130"/>
        <w:gridCol w:w="90"/>
        <w:gridCol w:w="90"/>
        <w:gridCol w:w="170"/>
        <w:gridCol w:w="905"/>
        <w:gridCol w:w="170"/>
      </w:tblGrid>
      <w:tr>
        <w:trPr/>
        <w:tc>
          <w:tcPr>
            <w:tcW w:w="20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965" w:type="dxa"/>
            <w:gridSpan w:val="30"/>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2021</w:t>
            </w:r>
          </w:p>
        </w:tc>
        <w:tc>
          <w:tcPr>
            <w:tcW w:w="170" w:type="dxa"/>
            <w:tcBorders/>
            <w:shd w:fill="auto" w:val="clear"/>
            <w:vAlign w:val="center"/>
          </w:tcPr>
          <w:p>
            <w:pPr>
              <w:pStyle w:val="TableContents"/>
              <w:spacing w:before="0" w:after="0"/>
              <w:ind w:left="0" w:right="0" w:hanging="0"/>
              <w:rPr/>
            </w:pPr>
            <w:r>
              <w:rPr/>
              <w:t> </w:t>
            </w:r>
          </w:p>
        </w:tc>
      </w:tr>
      <w:tr>
        <w:trPr/>
        <w:tc>
          <w:tcPr>
            <w:tcW w:w="20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585" w:type="dxa"/>
            <w:gridSpan w:val="10"/>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Less than 12 months</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465" w:type="dxa"/>
            <w:gridSpan w:val="10"/>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12 months or more</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555"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Total</w:t>
            </w:r>
          </w:p>
        </w:tc>
        <w:tc>
          <w:tcPr>
            <w:tcW w:w="170" w:type="dxa"/>
            <w:tcBorders/>
            <w:shd w:fill="auto" w:val="clear"/>
            <w:vAlign w:val="center"/>
          </w:tcPr>
          <w:p>
            <w:pPr>
              <w:pStyle w:val="TableContents"/>
              <w:spacing w:before="0" w:after="0"/>
              <w:ind w:left="0" w:right="0" w:hanging="0"/>
              <w:rPr/>
            </w:pPr>
            <w:r>
              <w:rPr/>
              <w:t> </w:t>
            </w:r>
          </w:p>
        </w:tc>
      </w:tr>
      <w:tr>
        <w:trPr/>
        <w:tc>
          <w:tcPr>
            <w:tcW w:w="20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Estimated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15"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No. of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Estimated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15"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No. of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Estimated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0"/>
              <w:ind w:left="0" w:right="0" w:hanging="0"/>
              <w:rPr/>
            </w:pPr>
            <w:r>
              <w:rPr/>
              <w:t> </w:t>
            </w:r>
          </w:p>
        </w:tc>
      </w:tr>
      <w:tr>
        <w:trPr/>
        <w:tc>
          <w:tcPr>
            <w:tcW w:w="20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Fair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Unrealized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15"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Positions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Fair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Unrealized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15"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Positions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Fair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Unrealized </w:t>
            </w:r>
          </w:p>
        </w:tc>
        <w:tc>
          <w:tcPr>
            <w:tcW w:w="170" w:type="dxa"/>
            <w:tcBorders/>
            <w:shd w:fill="auto" w:val="clear"/>
            <w:vAlign w:val="center"/>
          </w:tcPr>
          <w:p>
            <w:pPr>
              <w:pStyle w:val="TableContents"/>
              <w:spacing w:before="0" w:after="0"/>
              <w:ind w:left="0" w:right="0" w:hanging="0"/>
              <w:rPr/>
            </w:pPr>
            <w:r>
              <w:rPr/>
              <w:t> </w:t>
            </w:r>
          </w:p>
        </w:tc>
      </w:tr>
      <w:tr>
        <w:trPr/>
        <w:tc>
          <w:tcPr>
            <w:tcW w:w="2045"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Fonts w:ascii="times new roman" w:hAnsi="times new roman"/>
                <w:sz w:val="20"/>
              </w:rPr>
              <w:t xml:space="preserve">Category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Value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Losses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Held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Value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Losses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Held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Value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Losses </w:t>
            </w:r>
          </w:p>
        </w:tc>
        <w:tc>
          <w:tcPr>
            <w:tcW w:w="170" w:type="dxa"/>
            <w:tcBorders/>
            <w:shd w:fill="auto" w:val="clear"/>
            <w:vAlign w:val="center"/>
          </w:tcPr>
          <w:p>
            <w:pPr>
              <w:pStyle w:val="TableContents"/>
              <w:spacing w:before="0" w:after="0"/>
              <w:ind w:left="0" w:right="0" w:hanging="0"/>
              <w:rPr/>
            </w:pPr>
            <w:r>
              <w:rPr/>
              <w:t> </w:t>
            </w:r>
          </w:p>
        </w:tc>
      </w:tr>
      <w:tr>
        <w:trPr/>
        <w:tc>
          <w:tcPr>
            <w:tcW w:w="20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c>
          <w:tcPr>
            <w:tcW w:w="905" w:type="dxa"/>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93" w:type="dxa"/>
            <w:tcBorders/>
            <w:shd w:fill="auto" w:val="clear"/>
            <w:vAlign w:val="center"/>
          </w:tcPr>
          <w:p>
            <w:pPr>
              <w:pStyle w:val="TableContents"/>
              <w:spacing w:before="0" w:after="0"/>
              <w:ind w:left="0" w:right="0" w:hanging="0"/>
              <w:rPr/>
            </w:pPr>
            <w:r>
              <w:rPr/>
              <w:t> </w:t>
            </w:r>
          </w:p>
        </w:tc>
        <w:tc>
          <w:tcPr>
            <w:tcW w:w="7172" w:type="dxa"/>
            <w:gridSpan w:val="22"/>
            <w:tcBorders/>
            <w:shd w:fill="auto" w:val="clear"/>
            <w:vAlign w:val="center"/>
          </w:tcPr>
          <w:p>
            <w:pPr>
              <w:pStyle w:val="TableContents"/>
              <w:spacing w:before="0" w:after="0"/>
              <w:ind w:left="0" w:right="0" w:hanging="0"/>
              <w:rPr/>
            </w:pPr>
            <w:r>
              <w:rPr/>
              <w:t> </w:t>
            </w:r>
          </w:p>
        </w:tc>
      </w:tr>
      <w:tr>
        <w:trPr/>
        <w:tc>
          <w:tcPr>
            <w:tcW w:w="2045" w:type="dxa"/>
            <w:tcBorders/>
            <w:shd w:fill="auto" w:val="clear"/>
            <w:vAlign w:val="center"/>
          </w:tcPr>
          <w:p>
            <w:pPr>
              <w:pStyle w:val="TableContents"/>
              <w:spacing w:before="0" w:after="0"/>
              <w:ind w:left="0" w:right="0" w:hanging="0"/>
              <w:rPr/>
            </w:pPr>
            <w:r>
              <w:rPr>
                <w:rStyle w:val="StrongEmphasis"/>
                <w:rFonts w:ascii="times new roman" w:hAnsi="times new roman"/>
                <w:sz w:val="20"/>
              </w:rPr>
              <w:t xml:space="preserve">Fixed-Maturity Securities: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15"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1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15"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75" w:type="dxa"/>
            <w:gridSpan w:val="2"/>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r>
      <w:tr>
        <w:trPr/>
        <w:tc>
          <w:tcPr>
            <w:tcW w:w="204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U.S. Treasury securities and obligations of U.S. government corporations and agencies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905"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93" w:type="dxa"/>
            <w:tcBorders/>
            <w:shd w:fill="CCEEFF" w:val="clear"/>
            <w:vAlign w:val="center"/>
          </w:tcPr>
          <w:p>
            <w:pPr>
              <w:pStyle w:val="TableContents"/>
              <w:spacing w:before="0" w:after="0"/>
              <w:ind w:left="0" w:right="0" w:hanging="0"/>
              <w:rPr/>
            </w:pPr>
            <w:r>
              <w:rPr/>
              <w:t> </w:t>
            </w:r>
          </w:p>
        </w:tc>
        <w:tc>
          <w:tcPr>
            <w:tcW w:w="622"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79" w:type="dxa"/>
            <w:tcBorders/>
            <w:shd w:fill="CCEEFF" w:val="clear"/>
            <w:vAlign w:val="center"/>
          </w:tcPr>
          <w:p>
            <w:pPr>
              <w:pStyle w:val="TableContents"/>
              <w:spacing w:before="0" w:after="0"/>
              <w:ind w:left="0" w:right="0" w:hanging="0"/>
              <w:rPr/>
            </w:pPr>
            <w:r>
              <w:rPr/>
              <w:t> </w:t>
            </w:r>
          </w:p>
        </w:tc>
        <w:tc>
          <w:tcPr>
            <w:tcW w:w="536"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905" w:type="dxa"/>
            <w:tcBorders/>
            <w:shd w:fill="CCEEFF" w:val="clear"/>
            <w:vAlign w:val="center"/>
          </w:tcPr>
          <w:p>
            <w:pPr>
              <w:pStyle w:val="TableContents"/>
              <w:spacing w:before="0" w:after="283"/>
              <w:jc w:val="right"/>
              <w:rPr/>
            </w:pPr>
            <w:r>
              <w:rPr/>
              <w:t>-</w:t>
            </w:r>
          </w:p>
        </w:tc>
        <w:tc>
          <w:tcPr>
            <w:tcW w:w="170" w:type="dxa"/>
            <w:tcBorders/>
            <w:shd w:fill="CCEEFF" w:val="clear"/>
            <w:vAlign w:val="center"/>
          </w:tcPr>
          <w:p>
            <w:pPr>
              <w:pStyle w:val="TableContents"/>
              <w:spacing w:before="0" w:after="0"/>
              <w:ind w:left="0" w:right="0" w:hanging="0"/>
              <w:rPr/>
            </w:pPr>
            <w:r>
              <w:rPr/>
              <w:t> </w:t>
            </w:r>
          </w:p>
        </w:tc>
      </w:tr>
      <w:tr>
        <w:trPr/>
        <w:tc>
          <w:tcPr>
            <w:tcW w:w="20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93" w:type="dxa"/>
            <w:tcBorders/>
            <w:shd w:fill="FFFFFF" w:val="clear"/>
            <w:vAlign w:val="center"/>
          </w:tcPr>
          <w:p>
            <w:pPr>
              <w:pStyle w:val="TableContents"/>
              <w:spacing w:before="0" w:after="0"/>
              <w:ind w:left="0" w:right="0" w:hanging="0"/>
              <w:rPr/>
            </w:pPr>
            <w:r>
              <w:rPr/>
              <w:t> </w:t>
            </w:r>
          </w:p>
        </w:tc>
        <w:tc>
          <w:tcPr>
            <w:tcW w:w="622"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79" w:type="dxa"/>
            <w:tcBorders/>
            <w:shd w:fill="FFFFFF" w:val="clear"/>
            <w:vAlign w:val="center"/>
          </w:tcPr>
          <w:p>
            <w:pPr>
              <w:pStyle w:val="TableContents"/>
              <w:spacing w:before="0" w:after="0"/>
              <w:ind w:left="0" w:right="0" w:hanging="0"/>
              <w:rPr/>
            </w:pPr>
            <w:r>
              <w:rPr/>
              <w:t> </w:t>
            </w:r>
          </w:p>
        </w:tc>
        <w:tc>
          <w:tcPr>
            <w:tcW w:w="536"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204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Political subdivisions of States, Territories and Possessions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6,768,123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283"/>
              <w:jc w:val="right"/>
              <w:rPr/>
            </w:pPr>
            <w:r>
              <w:rPr/>
              <w:t>(197,984</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93" w:type="dxa"/>
            <w:tcBorders/>
            <w:shd w:fill="CCEEFF" w:val="clear"/>
            <w:vAlign w:val="center"/>
          </w:tcPr>
          <w:p>
            <w:pPr>
              <w:pStyle w:val="TableContents"/>
              <w:spacing w:before="0" w:after="0"/>
              <w:ind w:left="0" w:right="0" w:hanging="0"/>
              <w:rPr/>
            </w:pPr>
            <w:r>
              <w:rPr/>
              <w:t> </w:t>
            </w:r>
          </w:p>
        </w:tc>
        <w:tc>
          <w:tcPr>
            <w:tcW w:w="622" w:type="dxa"/>
            <w:tcBorders/>
            <w:shd w:fill="CCEEFF" w:val="clear"/>
            <w:vAlign w:val="center"/>
          </w:tcPr>
          <w:p>
            <w:pPr>
              <w:pStyle w:val="TableContents"/>
              <w:spacing w:before="0" w:after="283"/>
              <w:jc w:val="right"/>
              <w:rPr/>
            </w:pPr>
            <w:r>
              <w:rPr/>
              <w:t>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79" w:type="dxa"/>
            <w:tcBorders/>
            <w:shd w:fill="CCEEFF" w:val="clear"/>
            <w:vAlign w:val="center"/>
          </w:tcPr>
          <w:p>
            <w:pPr>
              <w:pStyle w:val="TableContents"/>
              <w:spacing w:before="0" w:after="0"/>
              <w:ind w:left="0" w:right="0" w:hanging="0"/>
              <w:rPr/>
            </w:pPr>
            <w:r>
              <w:rPr/>
              <w:t> </w:t>
            </w:r>
          </w:p>
        </w:tc>
        <w:tc>
          <w:tcPr>
            <w:tcW w:w="536"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6,768,123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283"/>
              <w:jc w:val="right"/>
              <w:rPr/>
            </w:pPr>
            <w:r>
              <w:rPr/>
              <w:t>(197,984</w:t>
            </w:r>
          </w:p>
        </w:tc>
        <w:tc>
          <w:tcPr>
            <w:tcW w:w="170" w:type="dxa"/>
            <w:tcBorders/>
            <w:shd w:fill="CCEEFF" w:val="clear"/>
            <w:vAlign w:val="center"/>
          </w:tcPr>
          <w:p>
            <w:pPr>
              <w:pStyle w:val="TableContents"/>
              <w:spacing w:before="0" w:after="283"/>
              <w:rPr/>
            </w:pPr>
            <w:r>
              <w:rPr/>
              <w:t>)</w:t>
            </w:r>
          </w:p>
        </w:tc>
      </w:tr>
      <w:tr>
        <w:trPr/>
        <w:tc>
          <w:tcPr>
            <w:tcW w:w="20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93" w:type="dxa"/>
            <w:tcBorders/>
            <w:shd w:fill="FFFFFF" w:val="clear"/>
            <w:vAlign w:val="center"/>
          </w:tcPr>
          <w:p>
            <w:pPr>
              <w:pStyle w:val="TableContents"/>
              <w:spacing w:before="0" w:after="0"/>
              <w:ind w:left="0" w:right="0" w:hanging="0"/>
              <w:rPr/>
            </w:pPr>
            <w:r>
              <w:rPr/>
              <w:t> </w:t>
            </w:r>
          </w:p>
        </w:tc>
        <w:tc>
          <w:tcPr>
            <w:tcW w:w="622"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79" w:type="dxa"/>
            <w:tcBorders/>
            <w:shd w:fill="FFFFFF" w:val="clear"/>
            <w:vAlign w:val="center"/>
          </w:tcPr>
          <w:p>
            <w:pPr>
              <w:pStyle w:val="TableContents"/>
              <w:spacing w:before="0" w:after="0"/>
              <w:ind w:left="0" w:right="0" w:hanging="0"/>
              <w:rPr/>
            </w:pPr>
            <w:r>
              <w:rPr/>
              <w:t> </w:t>
            </w:r>
          </w:p>
        </w:tc>
        <w:tc>
          <w:tcPr>
            <w:tcW w:w="536"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204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Corporate and other bonds industrial and miscellaneous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17,593,707</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283"/>
              <w:jc w:val="right"/>
              <w:rPr/>
            </w:pPr>
            <w:r>
              <w:rPr/>
              <w:t>(126,926</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93" w:type="dxa"/>
            <w:tcBorders/>
            <w:shd w:fill="CCEEFF" w:val="clear"/>
            <w:vAlign w:val="center"/>
          </w:tcPr>
          <w:p>
            <w:pPr>
              <w:pStyle w:val="TableContents"/>
              <w:spacing w:before="0" w:after="0"/>
              <w:ind w:left="0" w:right="0" w:hanging="0"/>
              <w:rPr/>
            </w:pPr>
            <w:r>
              <w:rPr/>
              <w:t> </w:t>
            </w:r>
          </w:p>
        </w:tc>
        <w:tc>
          <w:tcPr>
            <w:tcW w:w="622" w:type="dxa"/>
            <w:tcBorders/>
            <w:shd w:fill="CCEEFF" w:val="clear"/>
            <w:vAlign w:val="center"/>
          </w:tcPr>
          <w:p>
            <w:pPr>
              <w:pStyle w:val="TableContents"/>
              <w:spacing w:before="0" w:after="283"/>
              <w:jc w:val="right"/>
              <w:rPr/>
            </w:pPr>
            <w:r>
              <w:rPr/>
              <w:t>15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79" w:type="dxa"/>
            <w:tcBorders/>
            <w:shd w:fill="CCEEFF" w:val="clear"/>
            <w:vAlign w:val="center"/>
          </w:tcPr>
          <w:p>
            <w:pPr>
              <w:pStyle w:val="TableContents"/>
              <w:spacing w:before="0" w:after="0"/>
              <w:ind w:left="0" w:right="0" w:hanging="0"/>
              <w:rPr/>
            </w:pPr>
            <w:r>
              <w:rPr/>
              <w:t> </w:t>
            </w:r>
          </w:p>
        </w:tc>
        <w:tc>
          <w:tcPr>
            <w:tcW w:w="536"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17,593,707</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905" w:type="dxa"/>
            <w:tcBorders/>
            <w:shd w:fill="CCEEFF" w:val="clear"/>
            <w:vAlign w:val="center"/>
          </w:tcPr>
          <w:p>
            <w:pPr>
              <w:pStyle w:val="TableContents"/>
              <w:spacing w:before="0" w:after="283"/>
              <w:jc w:val="right"/>
              <w:rPr/>
            </w:pPr>
            <w:r>
              <w:rPr/>
              <w:t>(126,926</w:t>
            </w:r>
          </w:p>
        </w:tc>
        <w:tc>
          <w:tcPr>
            <w:tcW w:w="170" w:type="dxa"/>
            <w:tcBorders/>
            <w:shd w:fill="CCEEFF" w:val="clear"/>
            <w:vAlign w:val="center"/>
          </w:tcPr>
          <w:p>
            <w:pPr>
              <w:pStyle w:val="TableContents"/>
              <w:spacing w:before="0" w:after="283"/>
              <w:rPr/>
            </w:pPr>
            <w:r>
              <w:rPr/>
              <w:t>)</w:t>
            </w:r>
          </w:p>
        </w:tc>
      </w:tr>
      <w:tr>
        <w:trPr/>
        <w:tc>
          <w:tcPr>
            <w:tcW w:w="20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93" w:type="dxa"/>
            <w:tcBorders/>
            <w:shd w:fill="FFFFFF" w:val="clear"/>
            <w:vAlign w:val="center"/>
          </w:tcPr>
          <w:p>
            <w:pPr>
              <w:pStyle w:val="TableContents"/>
              <w:spacing w:before="0" w:after="0"/>
              <w:ind w:left="0" w:right="0" w:hanging="0"/>
              <w:rPr/>
            </w:pPr>
            <w:r>
              <w:rPr/>
              <w:t> </w:t>
            </w:r>
          </w:p>
        </w:tc>
        <w:tc>
          <w:tcPr>
            <w:tcW w:w="622"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79" w:type="dxa"/>
            <w:tcBorders/>
            <w:shd w:fill="FFFFFF" w:val="clear"/>
            <w:vAlign w:val="center"/>
          </w:tcPr>
          <w:p>
            <w:pPr>
              <w:pStyle w:val="TableContents"/>
              <w:spacing w:before="0" w:after="0"/>
              <w:ind w:left="0" w:right="0" w:hanging="0"/>
              <w:rPr/>
            </w:pPr>
            <w:r>
              <w:rPr/>
              <w:t> </w:t>
            </w:r>
          </w:p>
        </w:tc>
        <w:tc>
          <w:tcPr>
            <w:tcW w:w="536"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204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Residential mortgage and other asset backed securities</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CCEEFF" w:val="clear"/>
            <w:tcMar>
              <w:bottom w:w="28" w:type="dxa"/>
            </w:tcMar>
            <w:vAlign w:val="center"/>
          </w:tcPr>
          <w:p>
            <w:pPr>
              <w:pStyle w:val="TableContents"/>
              <w:spacing w:before="0" w:after="283"/>
              <w:jc w:val="right"/>
              <w:rPr/>
            </w:pPr>
            <w:r>
              <w:rPr/>
              <w:t>45,399,451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05" w:type="dxa"/>
            <w:tcBorders>
              <w:bottom w:val="single" w:sz="2" w:space="0" w:color="000000"/>
            </w:tcBorders>
            <w:shd w:fill="CCEEFF" w:val="clear"/>
            <w:tcMar>
              <w:bottom w:w="28" w:type="dxa"/>
            </w:tcMar>
            <w:vAlign w:val="center"/>
          </w:tcPr>
          <w:p>
            <w:pPr>
              <w:pStyle w:val="TableContents"/>
              <w:spacing w:before="0" w:after="283"/>
              <w:jc w:val="right"/>
              <w:rPr/>
            </w:pPr>
            <w:r>
              <w:rPr/>
              <w:t>(489,258</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93"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22" w:type="dxa"/>
            <w:tcBorders>
              <w:bottom w:val="single" w:sz="2" w:space="0" w:color="000000"/>
            </w:tcBorders>
            <w:shd w:fill="CCEEFF" w:val="clear"/>
            <w:tcMar>
              <w:bottom w:w="28" w:type="dxa"/>
            </w:tcMar>
            <w:vAlign w:val="center"/>
          </w:tcPr>
          <w:p>
            <w:pPr>
              <w:pStyle w:val="TableContents"/>
              <w:spacing w:before="0" w:after="283"/>
              <w:jc w:val="right"/>
              <w:rPr/>
            </w:pPr>
            <w:r>
              <w:rPr/>
              <w:t>26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2,923,182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05" w:type="dxa"/>
            <w:tcBorders>
              <w:bottom w:val="single" w:sz="2" w:space="0" w:color="000000"/>
            </w:tcBorders>
            <w:shd w:fill="CCEEFF" w:val="clear"/>
            <w:tcMar>
              <w:bottom w:w="28" w:type="dxa"/>
            </w:tcMar>
            <w:vAlign w:val="center"/>
          </w:tcPr>
          <w:p>
            <w:pPr>
              <w:pStyle w:val="TableContents"/>
              <w:spacing w:before="0" w:after="283"/>
              <w:jc w:val="right"/>
              <w:rPr/>
            </w:pPr>
            <w:r>
              <w:rPr/>
              <w:t>(120,344</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27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36" w:type="dxa"/>
            <w:tcBorders>
              <w:bottom w:val="single" w:sz="2" w:space="0" w:color="000000"/>
            </w:tcBorders>
            <w:shd w:fill="CCEEFF" w:val="clear"/>
            <w:tcMar>
              <w:bottom w:w="28" w:type="dxa"/>
            </w:tcMar>
            <w:vAlign w:val="center"/>
          </w:tcPr>
          <w:p>
            <w:pPr>
              <w:pStyle w:val="TableContents"/>
              <w:spacing w:before="0" w:after="283"/>
              <w:jc w:val="right"/>
              <w:rPr/>
            </w:pPr>
            <w:r>
              <w:rPr/>
              <w:t>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CCEEFF" w:val="clear"/>
            <w:tcMar>
              <w:bottom w:w="28" w:type="dxa"/>
            </w:tcMar>
            <w:vAlign w:val="center"/>
          </w:tcPr>
          <w:p>
            <w:pPr>
              <w:pStyle w:val="TableContents"/>
              <w:spacing w:before="0" w:after="283"/>
              <w:jc w:val="right"/>
              <w:rPr/>
            </w:pPr>
            <w:r>
              <w:rPr/>
              <w:t>48,322,633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05" w:type="dxa"/>
            <w:tcBorders>
              <w:bottom w:val="single" w:sz="2" w:space="0" w:color="000000"/>
            </w:tcBorders>
            <w:shd w:fill="CCEEFF" w:val="clear"/>
            <w:tcMar>
              <w:bottom w:w="28" w:type="dxa"/>
            </w:tcMar>
            <w:vAlign w:val="center"/>
          </w:tcPr>
          <w:p>
            <w:pPr>
              <w:pStyle w:val="TableContents"/>
              <w:spacing w:before="0" w:after="283"/>
              <w:jc w:val="right"/>
              <w:rPr/>
            </w:pPr>
            <w:r>
              <w:rPr/>
              <w:t>(609,602</w:t>
            </w:r>
          </w:p>
        </w:tc>
        <w:tc>
          <w:tcPr>
            <w:tcW w:w="170" w:type="dxa"/>
            <w:tcBorders/>
            <w:shd w:fill="CCEEFF" w:val="clear"/>
            <w:vAlign w:val="center"/>
          </w:tcPr>
          <w:p>
            <w:pPr>
              <w:pStyle w:val="TableContents"/>
              <w:spacing w:before="0" w:after="283"/>
              <w:rPr/>
            </w:pPr>
            <w:r>
              <w:rPr/>
              <w:t>)</w:t>
            </w:r>
          </w:p>
        </w:tc>
      </w:tr>
      <w:tr>
        <w:trPr/>
        <w:tc>
          <w:tcPr>
            <w:tcW w:w="20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93" w:type="dxa"/>
            <w:tcBorders/>
            <w:shd w:fill="FFFFFF" w:val="clear"/>
            <w:vAlign w:val="center"/>
          </w:tcPr>
          <w:p>
            <w:pPr>
              <w:pStyle w:val="TableContents"/>
              <w:spacing w:before="0" w:after="0"/>
              <w:ind w:left="0" w:right="0" w:hanging="0"/>
              <w:rPr/>
            </w:pPr>
            <w:r>
              <w:rPr/>
              <w:t> </w:t>
            </w:r>
          </w:p>
        </w:tc>
        <w:tc>
          <w:tcPr>
            <w:tcW w:w="622"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79" w:type="dxa"/>
            <w:tcBorders/>
            <w:shd w:fill="FFFFFF" w:val="clear"/>
            <w:vAlign w:val="center"/>
          </w:tcPr>
          <w:p>
            <w:pPr>
              <w:pStyle w:val="TableContents"/>
              <w:spacing w:before="0" w:after="0"/>
              <w:ind w:left="0" w:right="0" w:hanging="0"/>
              <w:rPr/>
            </w:pPr>
            <w:r>
              <w:rPr/>
              <w:t> </w:t>
            </w:r>
          </w:p>
        </w:tc>
        <w:tc>
          <w:tcPr>
            <w:tcW w:w="536"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9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2045"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Total fixed-maturity securities</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130" w:type="dxa"/>
            <w:tcBorders>
              <w:bottom w:val="double" w:sz="6" w:space="0" w:color="000000"/>
            </w:tcBorders>
            <w:shd w:fill="CCEEFF" w:val="clear"/>
            <w:tcMar>
              <w:bottom w:w="28" w:type="dxa"/>
            </w:tcMar>
            <w:vAlign w:val="center"/>
          </w:tcPr>
          <w:p>
            <w:pPr>
              <w:pStyle w:val="TableContents"/>
              <w:spacing w:before="0" w:after="283"/>
              <w:jc w:val="right"/>
              <w:rPr/>
            </w:pPr>
            <w:r>
              <w:rPr/>
              <w:t>69,761,281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905" w:type="dxa"/>
            <w:tcBorders>
              <w:bottom w:val="double" w:sz="6" w:space="0" w:color="000000"/>
            </w:tcBorders>
            <w:shd w:fill="CCEEFF" w:val="clear"/>
            <w:tcMar>
              <w:bottom w:w="28" w:type="dxa"/>
            </w:tcMar>
            <w:vAlign w:val="center"/>
          </w:tcPr>
          <w:p>
            <w:pPr>
              <w:pStyle w:val="TableContents"/>
              <w:spacing w:before="0" w:after="283"/>
              <w:jc w:val="right"/>
              <w:rPr/>
            </w:pPr>
            <w:r>
              <w:rPr/>
              <w:t>(814,168</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93"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622" w:type="dxa"/>
            <w:tcBorders>
              <w:bottom w:val="double" w:sz="6" w:space="0" w:color="000000"/>
            </w:tcBorders>
            <w:shd w:fill="CCEEFF" w:val="clear"/>
            <w:tcMar>
              <w:bottom w:w="28" w:type="dxa"/>
            </w:tcMar>
            <w:vAlign w:val="center"/>
          </w:tcPr>
          <w:p>
            <w:pPr>
              <w:pStyle w:val="TableContents"/>
              <w:spacing w:before="0" w:after="283"/>
              <w:jc w:val="right"/>
              <w:rPr/>
            </w:pPr>
            <w:r>
              <w:rPr/>
              <w:t>46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010" w:type="dxa"/>
            <w:tcBorders>
              <w:bottom w:val="double" w:sz="6" w:space="0" w:color="000000"/>
            </w:tcBorders>
            <w:shd w:fill="CCEEFF" w:val="clear"/>
            <w:tcMar>
              <w:bottom w:w="28" w:type="dxa"/>
            </w:tcMar>
            <w:vAlign w:val="center"/>
          </w:tcPr>
          <w:p>
            <w:pPr>
              <w:pStyle w:val="TableContents"/>
              <w:spacing w:before="0" w:after="283"/>
              <w:jc w:val="right"/>
              <w:rPr/>
            </w:pPr>
            <w:r>
              <w:rPr/>
              <w:t>2,923,182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905" w:type="dxa"/>
            <w:tcBorders>
              <w:bottom w:val="double" w:sz="6" w:space="0" w:color="000000"/>
            </w:tcBorders>
            <w:shd w:fill="CCEEFF" w:val="clear"/>
            <w:tcMar>
              <w:bottom w:w="28" w:type="dxa"/>
            </w:tcMar>
            <w:vAlign w:val="center"/>
          </w:tcPr>
          <w:p>
            <w:pPr>
              <w:pStyle w:val="TableContents"/>
              <w:spacing w:before="0" w:after="283"/>
              <w:jc w:val="right"/>
              <w:rPr/>
            </w:pPr>
            <w:r>
              <w:rPr/>
              <w:t>(120,344</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279"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536" w:type="dxa"/>
            <w:tcBorders>
              <w:bottom w:val="double" w:sz="6" w:space="0" w:color="000000"/>
            </w:tcBorders>
            <w:shd w:fill="CCEEFF" w:val="clear"/>
            <w:tcMar>
              <w:bottom w:w="28" w:type="dxa"/>
            </w:tcMar>
            <w:vAlign w:val="center"/>
          </w:tcPr>
          <w:p>
            <w:pPr>
              <w:pStyle w:val="TableContents"/>
              <w:spacing w:before="0" w:after="283"/>
              <w:jc w:val="right"/>
              <w:rPr/>
            </w:pPr>
            <w:r>
              <w:rPr/>
              <w:t>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130" w:type="dxa"/>
            <w:tcBorders>
              <w:bottom w:val="double" w:sz="6" w:space="0" w:color="000000"/>
            </w:tcBorders>
            <w:shd w:fill="CCEEFF" w:val="clear"/>
            <w:tcMar>
              <w:bottom w:w="28" w:type="dxa"/>
            </w:tcMar>
            <w:vAlign w:val="center"/>
          </w:tcPr>
          <w:p>
            <w:pPr>
              <w:pStyle w:val="TableContents"/>
              <w:spacing w:before="0" w:after="283"/>
              <w:jc w:val="right"/>
              <w:rPr/>
            </w:pPr>
            <w:r>
              <w:rPr/>
              <w:t>72,684,463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905" w:type="dxa"/>
            <w:tcBorders>
              <w:bottom w:val="double" w:sz="6" w:space="0" w:color="000000"/>
            </w:tcBorders>
            <w:shd w:fill="CCEEFF" w:val="clear"/>
            <w:tcMar>
              <w:bottom w:w="28" w:type="dxa"/>
            </w:tcMar>
            <w:vAlign w:val="center"/>
          </w:tcPr>
          <w:p>
            <w:pPr>
              <w:pStyle w:val="TableContents"/>
              <w:spacing w:before="0" w:after="283"/>
              <w:jc w:val="right"/>
              <w:rPr/>
            </w:pPr>
            <w:r>
              <w:rPr/>
              <w:t>(934,512</w:t>
            </w:r>
          </w:p>
        </w:tc>
        <w:tc>
          <w:tcPr>
            <w:tcW w:w="170" w:type="dxa"/>
            <w:tcBorders/>
            <w:shd w:fill="CCEEFF" w:val="clear"/>
            <w:vAlign w:val="center"/>
          </w:tcPr>
          <w:p>
            <w:pPr>
              <w:pStyle w:val="TableContents"/>
              <w:spacing w:before="0" w:after="283"/>
              <w:rPr/>
            </w:pPr>
            <w:r>
              <w:rPr/>
              <w:t>)</w:t>
            </w:r>
          </w:p>
        </w:tc>
      </w:tr>
    </w:tbl>
    <w:p>
      <w:pPr>
        <w:pStyle w:val="TextBody"/>
        <w:spacing w:before="0" w:after="0"/>
        <w:ind w:left="0" w:right="0" w:hanging="0"/>
        <w:jc w:val="center"/>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F-23</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2022 AND 2021</w:t>
      </w:r>
    </w:p>
    <w:p>
      <w:pPr>
        <w:pStyle w:val="TextBody"/>
        <w:spacing w:before="0" w:after="0"/>
        <w:ind w:left="0" w:right="0" w:hanging="0"/>
        <w:jc w:val="center"/>
        <w:rPr/>
      </w:pPr>
      <w:r>
        <w:rPr>
          <w:rStyle w:val="StrongEmphasis"/>
        </w:rPr>
        <w:t> </w:t>
      </w:r>
    </w:p>
    <w:p>
      <w:pPr>
        <w:pStyle w:val="TextBody"/>
        <w:spacing w:before="0" w:after="0"/>
        <w:ind w:left="0" w:right="0" w:hanging="0"/>
        <w:jc w:val="both"/>
        <w:rPr/>
      </w:pPr>
      <w:r>
        <w:rPr>
          <w:rStyle w:val="StrongEmphasis"/>
          <w:rFonts w:ascii="times new roman" w:hAnsi="times new roman"/>
          <w:sz w:val="20"/>
        </w:rPr>
        <w:t>Note 4 - Fair Value Measurements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Fair value is the price that would be received upon sale of an asset or paid to transfer a liability in an orderly transaction between market participants at the measurement date. The valuation technique used by the Company to estimate the fair value of its financial instruments is the market approach, which uses prices and other relevant information generated by market transactions involving identical or comparable assets.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fair value hierarchy gives the highest priority to quoted prices in active markets for identical assets or liabilities (Level 1) and the lowest priority to unobservable inputs (Level 3). If the inputs used to measure the assets or liabilities fall within different levels of the hierarchy, the classification is based on the lowest level input that is significant to the fair value measurement of the asset or liability. Classification of assets and liabilities within the hierarchy considers the markets in which the assets and liabilities are traded, including during periods of market disruption, and the reliability and transparency of the assumptions used to determine fair value. The hierarchy requires the use of observable market data when available. The levels of the hierarchy and those investments included in each are as follows: </w:t>
      </w:r>
    </w:p>
    <w:p>
      <w:pPr>
        <w:pStyle w:val="TextBody"/>
        <w:spacing w:before="0" w:after="0"/>
        <w:ind w:left="0" w:right="0" w:hanging="0"/>
        <w:rPr/>
      </w:pPr>
      <w:r>
        <w:rPr/>
        <w:t> </w:t>
      </w:r>
    </w:p>
    <w:p>
      <w:pPr>
        <w:pStyle w:val="TextBody"/>
        <w:spacing w:before="0" w:after="0"/>
        <w:ind w:left="0" w:right="0" w:hanging="0"/>
        <w:jc w:val="both"/>
        <w:rPr/>
      </w:pPr>
      <w:r>
        <w:rPr>
          <w:rStyle w:val="Emphasis"/>
          <w:rFonts w:ascii="times new roman" w:hAnsi="times new roman"/>
          <w:sz w:val="20"/>
        </w:rPr>
        <w:t>Level 1</w:t>
      </w:r>
      <w:r>
        <w:rPr>
          <w:rFonts w:ascii="times new roman" w:hAnsi="times new roman"/>
          <w:sz w:val="20"/>
        </w:rPr>
        <w:t xml:space="preserve">—Inputs to the valuation methodology are quoted prices (unadjusted) for identical assets or liabilities traded in active markets. Included are those investments traded on an active exchange, such as the Nasdaq Global Select Market, U.S. Treasury securities and obligations of U.S. government agencies, together with corporate debt securities that are generally investment grade. </w:t>
      </w:r>
    </w:p>
    <w:p>
      <w:pPr>
        <w:pStyle w:val="TextBody"/>
        <w:spacing w:before="0" w:after="0"/>
        <w:ind w:left="0" w:right="0" w:hanging="0"/>
        <w:rPr/>
      </w:pPr>
      <w:r>
        <w:rPr/>
        <w:t> </w:t>
      </w:r>
    </w:p>
    <w:p>
      <w:pPr>
        <w:pStyle w:val="TextBody"/>
        <w:spacing w:before="0" w:after="0"/>
        <w:ind w:left="0" w:right="0" w:hanging="0"/>
        <w:jc w:val="both"/>
        <w:rPr/>
      </w:pPr>
      <w:r>
        <w:rPr>
          <w:rStyle w:val="Emphasis"/>
          <w:rFonts w:ascii="times new roman" w:hAnsi="times new roman"/>
          <w:sz w:val="20"/>
        </w:rPr>
        <w:t>Level 2</w:t>
      </w:r>
      <w:r>
        <w:rPr>
          <w:rFonts w:ascii="times new roman" w:hAnsi="times new roman"/>
          <w:sz w:val="20"/>
        </w:rPr>
        <w:t>—Inputs to the valuation methodology include quoted prices for similar assets or liabilities in active markets, quoted prices for identical or similar assets or liabilities in markets that are not active, inputs other than quoted prices that are observable for the asset or liability and market-corroborated inputs.  Municipal and corporate bonds, and residential mortgage-backed securities, that are traded in less active markets are classified as Level 2.  These securities are valued using market price quotations for recently executed transactions.</w:t>
      </w:r>
    </w:p>
    <w:p>
      <w:pPr>
        <w:pStyle w:val="TextBody"/>
        <w:spacing w:before="0" w:after="0"/>
        <w:ind w:left="0" w:right="0" w:hanging="0"/>
        <w:rPr/>
      </w:pPr>
      <w:r>
        <w:rPr/>
        <w:t> </w:t>
      </w:r>
    </w:p>
    <w:p>
      <w:pPr>
        <w:pStyle w:val="TextBody"/>
        <w:spacing w:before="0" w:after="0"/>
        <w:ind w:left="0" w:right="0" w:hanging="0"/>
        <w:jc w:val="both"/>
        <w:rPr/>
      </w:pPr>
      <w:r>
        <w:rPr>
          <w:rStyle w:val="Emphasis"/>
          <w:rFonts w:ascii="times new roman" w:hAnsi="times new roman"/>
          <w:sz w:val="20"/>
        </w:rPr>
        <w:t>Level 3</w:t>
      </w:r>
      <w:r>
        <w:rPr>
          <w:rFonts w:ascii="times new roman" w:hAnsi="times new roman"/>
          <w:sz w:val="20"/>
        </w:rPr>
        <w:t xml:space="preserve">—Inputs to the valuation methodology are unobservable for the asset or liability and are significant to the fair value measurement. Material assumptions and factors considered in pricing investment securities and other assets may include appraisals, projected cash flows, market clearing activity or liquidity circumstances in the security or similar securities that may have occurred since the prior pricing period. </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availability of observable inputs varies and is affected by a wide variety of factors. When the valuation is based on models or inputs that are less observable or unobservable in the market, the determination of fair value requires significantly more judgment. The degree of judgment exercised by management in determining fair value is greatest for investments categorized as Level 3. For investments in this category, the Company considers prices and inputs that are current as of the measurement date. In periods of market dislocation, as characterized by current market conditions, the ability to observe prices and inputs may be reduced for many instruments. This condition could cause a security to be reclassified between levels. </w:t>
      </w:r>
    </w:p>
    <w:p>
      <w:pPr>
        <w:pStyle w:val="TextBody"/>
        <w:spacing w:before="0" w:after="0"/>
        <w:ind w:left="0" w:right="0" w:hanging="0"/>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F-24</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2022 AND 2021</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20"/>
        </w:rPr>
      </w:pPr>
      <w:r>
        <w:rPr>
          <w:rFonts w:ascii="times new roman" w:hAnsi="times new roman"/>
          <w:sz w:val="20"/>
        </w:rPr>
        <w:t>The following table presents information about the Company’s investments that are measured at fair value on a recurring basis at December 31, 2022 and 2021 indicating the fair value hierarchy of the valuation inputs the Company utilized to determine such fair value:</w:t>
      </w:r>
    </w:p>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4660"/>
        <w:gridCol w:w="90"/>
        <w:gridCol w:w="170"/>
        <w:gridCol w:w="1250"/>
        <w:gridCol w:w="90"/>
        <w:gridCol w:w="90"/>
        <w:gridCol w:w="170"/>
        <w:gridCol w:w="1130"/>
        <w:gridCol w:w="90"/>
        <w:gridCol w:w="90"/>
        <w:gridCol w:w="368"/>
        <w:gridCol w:w="271"/>
        <w:gridCol w:w="90"/>
        <w:gridCol w:w="90"/>
        <w:gridCol w:w="170"/>
        <w:gridCol w:w="1250"/>
        <w:gridCol w:w="136"/>
      </w:tblGrid>
      <w:tr>
        <w:trPr/>
        <w:tc>
          <w:tcPr>
            <w:tcW w:w="466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5319" w:type="dxa"/>
            <w:gridSpan w:val="14"/>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2022</w:t>
            </w:r>
          </w:p>
        </w:tc>
        <w:tc>
          <w:tcPr>
            <w:tcW w:w="136" w:type="dxa"/>
            <w:tcBorders/>
            <w:shd w:fill="auto" w:val="clear"/>
            <w:vAlign w:val="center"/>
          </w:tcPr>
          <w:p>
            <w:pPr>
              <w:pStyle w:val="TableContents"/>
              <w:spacing w:before="0" w:after="0"/>
              <w:ind w:left="0" w:right="0" w:hanging="0"/>
              <w:rPr/>
            </w:pPr>
            <w:r>
              <w:rPr/>
              <w:t> </w:t>
            </w:r>
          </w:p>
        </w:tc>
      </w:tr>
      <w:tr>
        <w:trPr/>
        <w:tc>
          <w:tcPr>
            <w:tcW w:w="466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Level 1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Level 2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63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Level 3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Total </w:t>
            </w:r>
          </w:p>
        </w:tc>
        <w:tc>
          <w:tcPr>
            <w:tcW w:w="136" w:type="dxa"/>
            <w:tcBorders/>
            <w:shd w:fill="auto" w:val="clear"/>
            <w:vAlign w:val="center"/>
          </w:tcPr>
          <w:p>
            <w:pPr>
              <w:pStyle w:val="TableContents"/>
              <w:spacing w:before="0" w:after="0"/>
              <w:ind w:left="0" w:right="0" w:hanging="0"/>
              <w:rPr/>
            </w:pPr>
            <w:r>
              <w:rPr/>
              <w:t> </w:t>
            </w:r>
          </w:p>
        </w:tc>
      </w:tr>
      <w:tr>
        <w:trPr/>
        <w:tc>
          <w:tcPr>
            <w:tcW w:w="466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c>
          <w:tcPr>
            <w:tcW w:w="3685" w:type="dxa"/>
            <w:gridSpan w:val="10"/>
            <w:tcBorders/>
            <w:shd w:fill="auto" w:val="clear"/>
            <w:vAlign w:val="center"/>
          </w:tcPr>
          <w:p>
            <w:pPr>
              <w:pStyle w:val="TableContents"/>
              <w:spacing w:before="0" w:after="0"/>
              <w:ind w:left="0" w:right="0" w:hanging="0"/>
              <w:rPr/>
            </w:pPr>
            <w:r>
              <w:rPr/>
              <w:t> </w:t>
            </w:r>
          </w:p>
        </w:tc>
      </w:tr>
      <w:tr>
        <w:trPr/>
        <w:tc>
          <w:tcPr>
            <w:tcW w:w="4660" w:type="dxa"/>
            <w:tcBorders/>
            <w:shd w:fill="auto" w:val="clear"/>
            <w:vAlign w:val="center"/>
          </w:tcPr>
          <w:p>
            <w:pPr>
              <w:pStyle w:val="TableContents"/>
              <w:spacing w:before="0" w:after="0"/>
              <w:ind w:left="0" w:right="0" w:hanging="0"/>
              <w:rPr/>
            </w:pPr>
            <w:r>
              <w:rPr>
                <w:rStyle w:val="StrongEmphasis"/>
                <w:rFonts w:ascii="times new roman" w:hAnsi="times new roman"/>
                <w:sz w:val="20"/>
              </w:rPr>
              <w:t xml:space="preserve">Fixed-maturity securities available-for-sale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639"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36" w:type="dxa"/>
            <w:tcBorders/>
            <w:shd w:fill="auto" w:val="clear"/>
            <w:vAlign w:val="center"/>
          </w:tcPr>
          <w:p>
            <w:pPr>
              <w:pStyle w:val="TableContents"/>
              <w:spacing w:before="0" w:after="0"/>
              <w:ind w:left="0" w:right="0" w:hanging="0"/>
              <w:rPr/>
            </w:pPr>
            <w:r>
              <w:rPr/>
              <w:t> </w:t>
            </w:r>
          </w:p>
        </w:tc>
      </w:tr>
      <w:tr>
        <w:trPr/>
        <w:tc>
          <w:tcPr>
            <w:tcW w:w="466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U.S. Treasury securities and obligations of U.S. government corporations and agencies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23,869,096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368" w:type="dxa"/>
            <w:tcBorders/>
            <w:shd w:fill="CCEEFF" w:val="clear"/>
            <w:vAlign w:val="center"/>
          </w:tcPr>
          <w:p>
            <w:pPr>
              <w:pStyle w:val="TableContents"/>
              <w:spacing w:before="0" w:after="283"/>
              <w:rPr/>
            </w:pPr>
            <w:r>
              <w:rPr/>
              <w:t>$</w:t>
            </w:r>
          </w:p>
        </w:tc>
        <w:tc>
          <w:tcPr>
            <w:tcW w:w="271"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23,869,096</w:t>
            </w:r>
          </w:p>
        </w:tc>
        <w:tc>
          <w:tcPr>
            <w:tcW w:w="136" w:type="dxa"/>
            <w:tcBorders/>
            <w:shd w:fill="CCEEFF" w:val="clear"/>
            <w:vAlign w:val="center"/>
          </w:tcPr>
          <w:p>
            <w:pPr>
              <w:pStyle w:val="TableContents"/>
              <w:spacing w:before="0" w:after="0"/>
              <w:ind w:left="0" w:right="0" w:hanging="0"/>
              <w:rPr/>
            </w:pPr>
            <w:r>
              <w:rPr/>
              <w:t> </w:t>
            </w:r>
          </w:p>
        </w:tc>
      </w:tr>
      <w:tr>
        <w:trPr/>
        <w:tc>
          <w:tcPr>
            <w:tcW w:w="466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368" w:type="dxa"/>
            <w:tcBorders/>
            <w:shd w:fill="FFFFFF" w:val="clear"/>
            <w:vAlign w:val="center"/>
          </w:tcPr>
          <w:p>
            <w:pPr>
              <w:pStyle w:val="TableContents"/>
              <w:spacing w:before="0" w:after="0"/>
              <w:ind w:left="0" w:right="0" w:hanging="0"/>
              <w:rPr/>
            </w:pPr>
            <w:r>
              <w:rPr/>
              <w:t> </w:t>
            </w:r>
          </w:p>
        </w:tc>
        <w:tc>
          <w:tcPr>
            <w:tcW w:w="271"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36" w:type="dxa"/>
            <w:tcBorders/>
            <w:shd w:fill="FFFFFF" w:val="clear"/>
            <w:vAlign w:val="center"/>
          </w:tcPr>
          <w:p>
            <w:pPr>
              <w:pStyle w:val="TableContents"/>
              <w:spacing w:before="0" w:after="0"/>
              <w:ind w:left="0" w:right="0" w:hanging="0"/>
              <w:rPr/>
            </w:pPr>
            <w:r>
              <w:rPr/>
              <w:t> </w:t>
            </w:r>
          </w:p>
        </w:tc>
      </w:tr>
      <w:tr>
        <w:trPr/>
        <w:tc>
          <w:tcPr>
            <w:tcW w:w="466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Political subdivisions of States, Territories and Possessions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13,141,387</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368" w:type="dxa"/>
            <w:tcBorders/>
            <w:shd w:fill="CCEEFF" w:val="clear"/>
            <w:vAlign w:val="center"/>
          </w:tcPr>
          <w:p>
            <w:pPr>
              <w:pStyle w:val="TableContents"/>
              <w:spacing w:before="0" w:after="0"/>
              <w:ind w:left="0" w:right="0" w:hanging="0"/>
              <w:rPr/>
            </w:pPr>
            <w:r>
              <w:rPr/>
              <w:t> </w:t>
            </w:r>
          </w:p>
        </w:tc>
        <w:tc>
          <w:tcPr>
            <w:tcW w:w="271"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13,141,387</w:t>
            </w:r>
          </w:p>
        </w:tc>
        <w:tc>
          <w:tcPr>
            <w:tcW w:w="136" w:type="dxa"/>
            <w:tcBorders/>
            <w:shd w:fill="CCEEFF" w:val="clear"/>
            <w:vAlign w:val="center"/>
          </w:tcPr>
          <w:p>
            <w:pPr>
              <w:pStyle w:val="TableContents"/>
              <w:spacing w:before="0" w:after="0"/>
              <w:ind w:left="0" w:right="0" w:hanging="0"/>
              <w:rPr/>
            </w:pPr>
            <w:r>
              <w:rPr/>
              <w:t> </w:t>
            </w:r>
          </w:p>
        </w:tc>
      </w:tr>
      <w:tr>
        <w:trPr/>
        <w:tc>
          <w:tcPr>
            <w:tcW w:w="466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368" w:type="dxa"/>
            <w:tcBorders/>
            <w:shd w:fill="FFFFFF" w:val="clear"/>
            <w:vAlign w:val="center"/>
          </w:tcPr>
          <w:p>
            <w:pPr>
              <w:pStyle w:val="TableContents"/>
              <w:spacing w:before="0" w:after="0"/>
              <w:ind w:left="0" w:right="0" w:hanging="0"/>
              <w:rPr/>
            </w:pPr>
            <w:r>
              <w:rPr/>
              <w:t> </w:t>
            </w:r>
          </w:p>
        </w:tc>
        <w:tc>
          <w:tcPr>
            <w:tcW w:w="271"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36" w:type="dxa"/>
            <w:tcBorders/>
            <w:shd w:fill="FFFFFF" w:val="clear"/>
            <w:vAlign w:val="center"/>
          </w:tcPr>
          <w:p>
            <w:pPr>
              <w:pStyle w:val="TableContents"/>
              <w:spacing w:before="0" w:after="0"/>
              <w:ind w:left="0" w:right="0" w:hanging="0"/>
              <w:rPr/>
            </w:pPr>
            <w:r>
              <w:rPr/>
              <w:t> </w:t>
            </w:r>
          </w:p>
        </w:tc>
      </w:tr>
      <w:tr>
        <w:trPr/>
        <w:tc>
          <w:tcPr>
            <w:tcW w:w="466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Corporate and other bonds industrial and miscellaneous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71,585,115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497,370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368" w:type="dxa"/>
            <w:tcBorders/>
            <w:shd w:fill="CCEEFF" w:val="clear"/>
            <w:vAlign w:val="center"/>
          </w:tcPr>
          <w:p>
            <w:pPr>
              <w:pStyle w:val="TableContents"/>
              <w:spacing w:before="0" w:after="0"/>
              <w:ind w:left="0" w:right="0" w:hanging="0"/>
              <w:rPr/>
            </w:pPr>
            <w:r>
              <w:rPr/>
              <w:t> </w:t>
            </w:r>
          </w:p>
        </w:tc>
        <w:tc>
          <w:tcPr>
            <w:tcW w:w="271"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72,082,485</w:t>
            </w:r>
          </w:p>
        </w:tc>
        <w:tc>
          <w:tcPr>
            <w:tcW w:w="136" w:type="dxa"/>
            <w:tcBorders/>
            <w:shd w:fill="CCEEFF" w:val="clear"/>
            <w:vAlign w:val="center"/>
          </w:tcPr>
          <w:p>
            <w:pPr>
              <w:pStyle w:val="TableContents"/>
              <w:spacing w:before="0" w:after="0"/>
              <w:ind w:left="0" w:right="0" w:hanging="0"/>
              <w:rPr/>
            </w:pPr>
            <w:r>
              <w:rPr/>
              <w:t> </w:t>
            </w:r>
          </w:p>
        </w:tc>
      </w:tr>
      <w:tr>
        <w:trPr/>
        <w:tc>
          <w:tcPr>
            <w:tcW w:w="466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368" w:type="dxa"/>
            <w:tcBorders/>
            <w:shd w:fill="FFFFFF" w:val="clear"/>
            <w:vAlign w:val="center"/>
          </w:tcPr>
          <w:p>
            <w:pPr>
              <w:pStyle w:val="TableContents"/>
              <w:spacing w:before="0" w:after="0"/>
              <w:ind w:left="0" w:right="0" w:hanging="0"/>
              <w:rPr/>
            </w:pPr>
            <w:r>
              <w:rPr/>
              <w:t> </w:t>
            </w:r>
          </w:p>
        </w:tc>
        <w:tc>
          <w:tcPr>
            <w:tcW w:w="271"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36" w:type="dxa"/>
            <w:tcBorders/>
            <w:shd w:fill="FFFFFF" w:val="clear"/>
            <w:vAlign w:val="center"/>
          </w:tcPr>
          <w:p>
            <w:pPr>
              <w:pStyle w:val="TableContents"/>
              <w:spacing w:before="0" w:after="0"/>
              <w:ind w:left="0" w:right="0" w:hanging="0"/>
              <w:rPr/>
            </w:pPr>
            <w:r>
              <w:rPr/>
              <w:t> </w:t>
            </w:r>
          </w:p>
        </w:tc>
      </w:tr>
      <w:tr>
        <w:trPr/>
        <w:tc>
          <w:tcPr>
            <w:tcW w:w="466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Residential mortgage and other asset backed securities</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CCEEFF" w:val="clear"/>
            <w:tcMar>
              <w:bottom w:w="28" w:type="dxa"/>
            </w:tcMar>
            <w:vAlign w:val="center"/>
          </w:tcPr>
          <w:p>
            <w:pPr>
              <w:pStyle w:val="TableContents"/>
              <w:spacing w:before="0" w:after="283"/>
              <w:jc w:val="right"/>
              <w:rPr/>
            </w:pPr>
            <w:r>
              <w:rPr/>
              <w:t>45,622,195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36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271"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45,622,195</w:t>
            </w:r>
          </w:p>
        </w:tc>
        <w:tc>
          <w:tcPr>
            <w:tcW w:w="136" w:type="dxa"/>
            <w:tcBorders/>
            <w:shd w:fill="CCEEFF" w:val="clear"/>
            <w:vAlign w:val="center"/>
          </w:tcPr>
          <w:p>
            <w:pPr>
              <w:pStyle w:val="TableContents"/>
              <w:spacing w:before="0" w:after="0"/>
              <w:ind w:left="0" w:right="0" w:hanging="0"/>
              <w:rPr/>
            </w:pPr>
            <w:r>
              <w:rPr/>
              <w:t> </w:t>
            </w:r>
          </w:p>
        </w:tc>
      </w:tr>
      <w:tr>
        <w:trPr/>
        <w:tc>
          <w:tcPr>
            <w:tcW w:w="466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Total fixed maturities</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95,454,211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59,260,952</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368" w:type="dxa"/>
            <w:tcBorders/>
            <w:shd w:fill="FFFFFF" w:val="clear"/>
            <w:vAlign w:val="center"/>
          </w:tcPr>
          <w:p>
            <w:pPr>
              <w:pStyle w:val="TableContents"/>
              <w:spacing w:before="0" w:after="0"/>
              <w:ind w:left="0" w:right="0" w:hanging="0"/>
              <w:rPr/>
            </w:pPr>
            <w:r>
              <w:rPr/>
              <w:t> </w:t>
            </w:r>
          </w:p>
        </w:tc>
        <w:tc>
          <w:tcPr>
            <w:tcW w:w="271" w:type="dxa"/>
            <w:tcBorders/>
            <w:shd w:fill="FFFFFF" w:val="cle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154,715,163</w:t>
            </w:r>
          </w:p>
        </w:tc>
        <w:tc>
          <w:tcPr>
            <w:tcW w:w="136" w:type="dxa"/>
            <w:tcBorders/>
            <w:shd w:fill="FFFFFF" w:val="clear"/>
            <w:vAlign w:val="center"/>
          </w:tcPr>
          <w:p>
            <w:pPr>
              <w:pStyle w:val="TableContents"/>
              <w:spacing w:before="0" w:after="0"/>
              <w:ind w:left="0" w:right="0" w:hanging="0"/>
              <w:rPr/>
            </w:pPr>
            <w:r>
              <w:rPr/>
              <w:t> </w:t>
            </w:r>
          </w:p>
        </w:tc>
      </w:tr>
      <w:tr>
        <w:trPr/>
        <w:tc>
          <w:tcPr>
            <w:tcW w:w="4660" w:type="dxa"/>
            <w:tcBorders/>
            <w:shd w:fill="CCEEFF" w:val="clear"/>
            <w:vAlign w:val="center"/>
          </w:tcPr>
          <w:p>
            <w:pPr>
              <w:pStyle w:val="TableContents"/>
              <w:spacing w:before="0" w:after="0"/>
              <w:ind w:left="0" w:right="0" w:hanging="0"/>
              <w:rPr/>
            </w:pPr>
            <w:r>
              <w:rPr>
                <w:rStyle w:val="StrongEmphasis"/>
                <w:rFonts w:ascii="times new roman" w:hAnsi="times new roman"/>
                <w:sz w:val="20"/>
              </w:rPr>
              <w:t xml:space="preserve">Equity securities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13,834,390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36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271"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13,834,390</w:t>
            </w:r>
          </w:p>
        </w:tc>
        <w:tc>
          <w:tcPr>
            <w:tcW w:w="136" w:type="dxa"/>
            <w:tcBorders/>
            <w:shd w:fill="CCEEFF" w:val="clear"/>
            <w:vAlign w:val="center"/>
          </w:tcPr>
          <w:p>
            <w:pPr>
              <w:pStyle w:val="TableContents"/>
              <w:spacing w:before="0" w:after="0"/>
              <w:ind w:left="0" w:right="0" w:hanging="0"/>
              <w:rPr/>
            </w:pPr>
            <w:r>
              <w:rPr/>
              <w:t> </w:t>
            </w:r>
          </w:p>
        </w:tc>
      </w:tr>
      <w:tr>
        <w:trPr/>
        <w:tc>
          <w:tcPr>
            <w:tcW w:w="466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Total investments</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109,288,601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130" w:type="dxa"/>
            <w:tcBorders>
              <w:bottom w:val="double" w:sz="6" w:space="0" w:color="000000"/>
            </w:tcBorders>
            <w:shd w:fill="FFFFFF" w:val="clear"/>
            <w:tcMar>
              <w:bottom w:w="28" w:type="dxa"/>
            </w:tcMar>
            <w:vAlign w:val="center"/>
          </w:tcPr>
          <w:p>
            <w:pPr>
              <w:pStyle w:val="TableContents"/>
              <w:spacing w:before="0" w:after="283"/>
              <w:jc w:val="right"/>
              <w:rPr/>
            </w:pPr>
            <w:r>
              <w:rPr/>
              <w:t>59,260,952</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368" w:type="dxa"/>
            <w:tcBorders>
              <w:bottom w:val="double" w:sz="6" w:space="0" w:color="000000"/>
            </w:tcBorders>
            <w:shd w:fill="FFFFFF" w:val="clear"/>
            <w:tcMar>
              <w:bottom w:w="28" w:type="dxa"/>
            </w:tcMar>
            <w:vAlign w:val="center"/>
          </w:tcPr>
          <w:p>
            <w:pPr>
              <w:pStyle w:val="TableContents"/>
              <w:spacing w:before="0" w:after="283"/>
              <w:rPr/>
            </w:pPr>
            <w:r>
              <w:rPr/>
              <w:t>$</w:t>
            </w:r>
          </w:p>
        </w:tc>
        <w:tc>
          <w:tcPr>
            <w:tcW w:w="271" w:type="dxa"/>
            <w:tcBorders>
              <w:bottom w:val="double" w:sz="6" w:space="0" w:color="000000"/>
            </w:tcBorders>
            <w:shd w:fill="FFFFFF" w:val="clear"/>
            <w:tcMar>
              <w:bottom w:w="28" w:type="dxa"/>
            </w:tcM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168,549,553</w:t>
            </w:r>
          </w:p>
        </w:tc>
        <w:tc>
          <w:tcPr>
            <w:tcW w:w="136" w:type="dxa"/>
            <w:tcBorders/>
            <w:shd w:fill="FFFFFF" w:val="clear"/>
            <w:vAlign w:val="center"/>
          </w:tcPr>
          <w:p>
            <w:pPr>
              <w:pStyle w:val="TableContents"/>
              <w:spacing w:before="0" w:after="0"/>
              <w:ind w:left="0" w:right="0" w:hanging="0"/>
              <w:rPr/>
            </w:pPr>
            <w:r>
              <w:rPr/>
              <w:t> </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4660"/>
        <w:gridCol w:w="90"/>
        <w:gridCol w:w="170"/>
        <w:gridCol w:w="1250"/>
        <w:gridCol w:w="90"/>
        <w:gridCol w:w="90"/>
        <w:gridCol w:w="170"/>
        <w:gridCol w:w="1130"/>
        <w:gridCol w:w="90"/>
        <w:gridCol w:w="90"/>
        <w:gridCol w:w="368"/>
        <w:gridCol w:w="271"/>
        <w:gridCol w:w="90"/>
        <w:gridCol w:w="90"/>
        <w:gridCol w:w="170"/>
        <w:gridCol w:w="1250"/>
        <w:gridCol w:w="136"/>
      </w:tblGrid>
      <w:tr>
        <w:trPr/>
        <w:tc>
          <w:tcPr>
            <w:tcW w:w="466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5319" w:type="dxa"/>
            <w:gridSpan w:val="14"/>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2021</w:t>
            </w:r>
          </w:p>
        </w:tc>
        <w:tc>
          <w:tcPr>
            <w:tcW w:w="136" w:type="dxa"/>
            <w:tcBorders/>
            <w:shd w:fill="auto" w:val="clear"/>
            <w:vAlign w:val="center"/>
          </w:tcPr>
          <w:p>
            <w:pPr>
              <w:pStyle w:val="TableContents"/>
              <w:spacing w:before="0" w:after="0"/>
              <w:ind w:left="0" w:right="0" w:hanging="0"/>
              <w:rPr/>
            </w:pPr>
            <w:r>
              <w:rPr/>
              <w:t> </w:t>
            </w:r>
          </w:p>
        </w:tc>
      </w:tr>
      <w:tr>
        <w:trPr/>
        <w:tc>
          <w:tcPr>
            <w:tcW w:w="466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Level 1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Level 2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63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Level 3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Total </w:t>
            </w:r>
          </w:p>
        </w:tc>
        <w:tc>
          <w:tcPr>
            <w:tcW w:w="136" w:type="dxa"/>
            <w:tcBorders/>
            <w:shd w:fill="auto" w:val="clear"/>
            <w:vAlign w:val="center"/>
          </w:tcPr>
          <w:p>
            <w:pPr>
              <w:pStyle w:val="TableContents"/>
              <w:spacing w:before="0" w:after="0"/>
              <w:ind w:left="0" w:right="0" w:hanging="0"/>
              <w:rPr/>
            </w:pPr>
            <w:r>
              <w:rPr/>
              <w:t> </w:t>
            </w:r>
          </w:p>
        </w:tc>
      </w:tr>
      <w:tr>
        <w:trPr/>
        <w:tc>
          <w:tcPr>
            <w:tcW w:w="466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c>
          <w:tcPr>
            <w:tcW w:w="3685" w:type="dxa"/>
            <w:gridSpan w:val="10"/>
            <w:tcBorders/>
            <w:shd w:fill="auto" w:val="clear"/>
            <w:vAlign w:val="center"/>
          </w:tcPr>
          <w:p>
            <w:pPr>
              <w:pStyle w:val="TableContents"/>
              <w:spacing w:before="0" w:after="0"/>
              <w:ind w:left="0" w:right="0" w:hanging="0"/>
              <w:rPr/>
            </w:pPr>
            <w:r>
              <w:rPr/>
              <w:t> </w:t>
            </w:r>
          </w:p>
        </w:tc>
      </w:tr>
      <w:tr>
        <w:trPr/>
        <w:tc>
          <w:tcPr>
            <w:tcW w:w="4660" w:type="dxa"/>
            <w:tcBorders/>
            <w:shd w:fill="auto" w:val="clear"/>
            <w:vAlign w:val="center"/>
          </w:tcPr>
          <w:p>
            <w:pPr>
              <w:pStyle w:val="TableContents"/>
              <w:spacing w:before="0" w:after="0"/>
              <w:ind w:left="0" w:right="0" w:hanging="0"/>
              <w:rPr/>
            </w:pPr>
            <w:r>
              <w:rPr>
                <w:rStyle w:val="StrongEmphasis"/>
                <w:rFonts w:ascii="times new roman" w:hAnsi="times new roman"/>
                <w:sz w:val="20"/>
              </w:rPr>
              <w:t xml:space="preserve">Fixed-maturity securities available-for-sale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639"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36" w:type="dxa"/>
            <w:tcBorders/>
            <w:shd w:fill="auto" w:val="clear"/>
            <w:vAlign w:val="center"/>
          </w:tcPr>
          <w:p>
            <w:pPr>
              <w:pStyle w:val="TableContents"/>
              <w:spacing w:before="0" w:after="0"/>
              <w:ind w:left="0" w:right="0" w:hanging="0"/>
              <w:rPr/>
            </w:pPr>
            <w:r>
              <w:rPr/>
              <w:t> </w:t>
            </w:r>
          </w:p>
        </w:tc>
      </w:tr>
      <w:tr>
        <w:trPr/>
        <w:tc>
          <w:tcPr>
            <w:tcW w:w="466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U.S. Treasury securities and obligations of U.S. government corporations and agencies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368" w:type="dxa"/>
            <w:tcBorders/>
            <w:shd w:fill="CCEEFF" w:val="clear"/>
            <w:vAlign w:val="center"/>
          </w:tcPr>
          <w:p>
            <w:pPr>
              <w:pStyle w:val="TableContents"/>
              <w:spacing w:before="0" w:after="283"/>
              <w:rPr/>
            </w:pPr>
            <w:r>
              <w:rPr/>
              <w:t>$</w:t>
            </w:r>
          </w:p>
        </w:tc>
        <w:tc>
          <w:tcPr>
            <w:tcW w:w="271"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w:t>
            </w:r>
          </w:p>
        </w:tc>
        <w:tc>
          <w:tcPr>
            <w:tcW w:w="136" w:type="dxa"/>
            <w:tcBorders/>
            <w:shd w:fill="CCEEFF" w:val="clear"/>
            <w:vAlign w:val="center"/>
          </w:tcPr>
          <w:p>
            <w:pPr>
              <w:pStyle w:val="TableContents"/>
              <w:spacing w:before="0" w:after="0"/>
              <w:ind w:left="0" w:right="0" w:hanging="0"/>
              <w:rPr/>
            </w:pPr>
            <w:r>
              <w:rPr/>
              <w:t> </w:t>
            </w:r>
          </w:p>
        </w:tc>
      </w:tr>
      <w:tr>
        <w:trPr/>
        <w:tc>
          <w:tcPr>
            <w:tcW w:w="466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368" w:type="dxa"/>
            <w:tcBorders/>
            <w:shd w:fill="FFFFFF" w:val="clear"/>
            <w:vAlign w:val="center"/>
          </w:tcPr>
          <w:p>
            <w:pPr>
              <w:pStyle w:val="TableContents"/>
              <w:spacing w:before="0" w:after="0"/>
              <w:ind w:left="0" w:right="0" w:hanging="0"/>
              <w:rPr/>
            </w:pPr>
            <w:r>
              <w:rPr/>
              <w:t> </w:t>
            </w:r>
          </w:p>
        </w:tc>
        <w:tc>
          <w:tcPr>
            <w:tcW w:w="271"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36" w:type="dxa"/>
            <w:tcBorders/>
            <w:shd w:fill="FFFFFF" w:val="clear"/>
            <w:vAlign w:val="center"/>
          </w:tcPr>
          <w:p>
            <w:pPr>
              <w:pStyle w:val="TableContents"/>
              <w:spacing w:before="0" w:after="0"/>
              <w:ind w:left="0" w:right="0" w:hanging="0"/>
              <w:rPr/>
            </w:pPr>
            <w:r>
              <w:rPr/>
              <w:t> </w:t>
            </w:r>
          </w:p>
        </w:tc>
      </w:tr>
      <w:tr>
        <w:trPr/>
        <w:tc>
          <w:tcPr>
            <w:tcW w:w="466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Political subdivisions of States, Territories and Possessions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17,285,514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368" w:type="dxa"/>
            <w:tcBorders/>
            <w:shd w:fill="CCEEFF" w:val="clear"/>
            <w:vAlign w:val="center"/>
          </w:tcPr>
          <w:p>
            <w:pPr>
              <w:pStyle w:val="TableContents"/>
              <w:spacing w:before="0" w:after="0"/>
              <w:ind w:left="0" w:right="0" w:hanging="0"/>
              <w:rPr/>
            </w:pPr>
            <w:r>
              <w:rPr/>
              <w:t> </w:t>
            </w:r>
          </w:p>
        </w:tc>
        <w:tc>
          <w:tcPr>
            <w:tcW w:w="271"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17,285,514</w:t>
            </w:r>
          </w:p>
        </w:tc>
        <w:tc>
          <w:tcPr>
            <w:tcW w:w="136" w:type="dxa"/>
            <w:tcBorders/>
            <w:shd w:fill="CCEEFF" w:val="clear"/>
            <w:vAlign w:val="center"/>
          </w:tcPr>
          <w:p>
            <w:pPr>
              <w:pStyle w:val="TableContents"/>
              <w:spacing w:before="0" w:after="0"/>
              <w:ind w:left="0" w:right="0" w:hanging="0"/>
              <w:rPr/>
            </w:pPr>
            <w:r>
              <w:rPr/>
              <w:t> </w:t>
            </w:r>
          </w:p>
        </w:tc>
      </w:tr>
      <w:tr>
        <w:trPr/>
        <w:tc>
          <w:tcPr>
            <w:tcW w:w="466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368" w:type="dxa"/>
            <w:tcBorders/>
            <w:shd w:fill="FFFFFF" w:val="clear"/>
            <w:vAlign w:val="center"/>
          </w:tcPr>
          <w:p>
            <w:pPr>
              <w:pStyle w:val="TableContents"/>
              <w:spacing w:before="0" w:after="0"/>
              <w:ind w:left="0" w:right="0" w:hanging="0"/>
              <w:rPr/>
            </w:pPr>
            <w:r>
              <w:rPr/>
              <w:t> </w:t>
            </w:r>
          </w:p>
        </w:tc>
        <w:tc>
          <w:tcPr>
            <w:tcW w:w="271"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36" w:type="dxa"/>
            <w:tcBorders/>
            <w:shd w:fill="FFFFFF" w:val="clear"/>
            <w:vAlign w:val="center"/>
          </w:tcPr>
          <w:p>
            <w:pPr>
              <w:pStyle w:val="TableContents"/>
              <w:spacing w:before="0" w:after="0"/>
              <w:ind w:left="0" w:right="0" w:hanging="0"/>
              <w:rPr/>
            </w:pPr>
            <w:r>
              <w:rPr/>
              <w:t> </w:t>
            </w:r>
          </w:p>
        </w:tc>
      </w:tr>
      <w:tr>
        <w:trPr/>
        <w:tc>
          <w:tcPr>
            <w:tcW w:w="466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Corporate and other bonds industrial and miscellaneous</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82,500,779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510,475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368" w:type="dxa"/>
            <w:tcBorders/>
            <w:shd w:fill="CCEEFF" w:val="clear"/>
            <w:vAlign w:val="center"/>
          </w:tcPr>
          <w:p>
            <w:pPr>
              <w:pStyle w:val="TableContents"/>
              <w:spacing w:before="0" w:after="0"/>
              <w:ind w:left="0" w:right="0" w:hanging="0"/>
              <w:rPr/>
            </w:pPr>
            <w:r>
              <w:rPr/>
              <w:t> </w:t>
            </w:r>
          </w:p>
        </w:tc>
        <w:tc>
          <w:tcPr>
            <w:tcW w:w="271"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83,011,254</w:t>
            </w:r>
          </w:p>
        </w:tc>
        <w:tc>
          <w:tcPr>
            <w:tcW w:w="136" w:type="dxa"/>
            <w:tcBorders/>
            <w:shd w:fill="CCEEFF" w:val="clear"/>
            <w:vAlign w:val="center"/>
          </w:tcPr>
          <w:p>
            <w:pPr>
              <w:pStyle w:val="TableContents"/>
              <w:spacing w:before="0" w:after="0"/>
              <w:ind w:left="0" w:right="0" w:hanging="0"/>
              <w:rPr/>
            </w:pPr>
            <w:r>
              <w:rPr/>
              <w:t> </w:t>
            </w:r>
          </w:p>
        </w:tc>
      </w:tr>
      <w:tr>
        <w:trPr/>
        <w:tc>
          <w:tcPr>
            <w:tcW w:w="466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368" w:type="dxa"/>
            <w:tcBorders/>
            <w:shd w:fill="FFFFFF" w:val="clear"/>
            <w:vAlign w:val="center"/>
          </w:tcPr>
          <w:p>
            <w:pPr>
              <w:pStyle w:val="TableContents"/>
              <w:spacing w:before="0" w:after="0"/>
              <w:ind w:left="0" w:right="0" w:hanging="0"/>
              <w:rPr/>
            </w:pPr>
            <w:r>
              <w:rPr/>
              <w:t> </w:t>
            </w:r>
          </w:p>
        </w:tc>
        <w:tc>
          <w:tcPr>
            <w:tcW w:w="271"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36" w:type="dxa"/>
            <w:tcBorders/>
            <w:shd w:fill="FFFFFF" w:val="clear"/>
            <w:vAlign w:val="center"/>
          </w:tcPr>
          <w:p>
            <w:pPr>
              <w:pStyle w:val="TableContents"/>
              <w:spacing w:before="0" w:after="0"/>
              <w:ind w:left="0" w:right="0" w:hanging="0"/>
              <w:rPr/>
            </w:pPr>
            <w:r>
              <w:rPr/>
              <w:t> </w:t>
            </w:r>
          </w:p>
        </w:tc>
      </w:tr>
      <w:tr>
        <w:trPr/>
        <w:tc>
          <w:tcPr>
            <w:tcW w:w="466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Residential mortgage and other asset backed securities</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CCEEFF" w:val="clear"/>
            <w:tcMar>
              <w:bottom w:w="28" w:type="dxa"/>
            </w:tcMar>
            <w:vAlign w:val="center"/>
          </w:tcPr>
          <w:p>
            <w:pPr>
              <w:pStyle w:val="TableContents"/>
              <w:spacing w:before="0" w:after="283"/>
              <w:jc w:val="right"/>
              <w:rPr/>
            </w:pPr>
            <w:r>
              <w:rPr/>
              <w:t>57,783,342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36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271"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57,783,342</w:t>
            </w:r>
          </w:p>
        </w:tc>
        <w:tc>
          <w:tcPr>
            <w:tcW w:w="136" w:type="dxa"/>
            <w:tcBorders/>
            <w:shd w:fill="CCEEFF" w:val="clear"/>
            <w:vAlign w:val="center"/>
          </w:tcPr>
          <w:p>
            <w:pPr>
              <w:pStyle w:val="TableContents"/>
              <w:spacing w:before="0" w:after="0"/>
              <w:ind w:left="0" w:right="0" w:hanging="0"/>
              <w:rPr/>
            </w:pPr>
            <w:r>
              <w:rPr/>
              <w:t> </w:t>
            </w:r>
          </w:p>
        </w:tc>
      </w:tr>
      <w:tr>
        <w:trPr/>
        <w:tc>
          <w:tcPr>
            <w:tcW w:w="466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Total fixed maturities</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82,500,779</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75,579,331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368" w:type="dxa"/>
            <w:tcBorders/>
            <w:shd w:fill="FFFFFF" w:val="clear"/>
            <w:vAlign w:val="center"/>
          </w:tcPr>
          <w:p>
            <w:pPr>
              <w:pStyle w:val="TableContents"/>
              <w:spacing w:before="0" w:after="0"/>
              <w:ind w:left="0" w:right="0" w:hanging="0"/>
              <w:rPr/>
            </w:pPr>
            <w:r>
              <w:rPr/>
              <w:t> </w:t>
            </w:r>
          </w:p>
        </w:tc>
        <w:tc>
          <w:tcPr>
            <w:tcW w:w="271" w:type="dxa"/>
            <w:tcBorders/>
            <w:shd w:fill="FFFFFF" w:val="cle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158,080,110</w:t>
            </w:r>
          </w:p>
        </w:tc>
        <w:tc>
          <w:tcPr>
            <w:tcW w:w="136" w:type="dxa"/>
            <w:tcBorders/>
            <w:shd w:fill="FFFFFF" w:val="clear"/>
            <w:vAlign w:val="center"/>
          </w:tcPr>
          <w:p>
            <w:pPr>
              <w:pStyle w:val="TableContents"/>
              <w:spacing w:before="0" w:after="0"/>
              <w:ind w:left="0" w:right="0" w:hanging="0"/>
              <w:rPr/>
            </w:pPr>
            <w:r>
              <w:rPr/>
              <w:t> </w:t>
            </w:r>
          </w:p>
        </w:tc>
      </w:tr>
      <w:tr>
        <w:trPr/>
        <w:tc>
          <w:tcPr>
            <w:tcW w:w="4660" w:type="dxa"/>
            <w:tcBorders/>
            <w:shd w:fill="CCEEFF" w:val="clear"/>
            <w:vAlign w:val="center"/>
          </w:tcPr>
          <w:p>
            <w:pPr>
              <w:pStyle w:val="TableContents"/>
              <w:spacing w:before="0" w:after="0"/>
              <w:ind w:left="0" w:right="0" w:hanging="0"/>
              <w:rPr/>
            </w:pPr>
            <w:r>
              <w:rPr>
                <w:rStyle w:val="StrongEmphasis"/>
                <w:rFonts w:ascii="times new roman" w:hAnsi="times new roman"/>
                <w:sz w:val="20"/>
              </w:rPr>
              <w:t xml:space="preserve">Equity securities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39,687,002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36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271"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39,687,002</w:t>
            </w:r>
          </w:p>
        </w:tc>
        <w:tc>
          <w:tcPr>
            <w:tcW w:w="136" w:type="dxa"/>
            <w:tcBorders/>
            <w:shd w:fill="CCEEFF" w:val="clear"/>
            <w:vAlign w:val="center"/>
          </w:tcPr>
          <w:p>
            <w:pPr>
              <w:pStyle w:val="TableContents"/>
              <w:spacing w:before="0" w:after="0"/>
              <w:ind w:left="0" w:right="0" w:hanging="0"/>
              <w:rPr/>
            </w:pPr>
            <w:r>
              <w:rPr/>
              <w:t> </w:t>
            </w:r>
          </w:p>
        </w:tc>
      </w:tr>
      <w:tr>
        <w:trPr/>
        <w:tc>
          <w:tcPr>
            <w:tcW w:w="466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Total investments</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122,187,781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130" w:type="dxa"/>
            <w:tcBorders>
              <w:bottom w:val="double" w:sz="6" w:space="0" w:color="000000"/>
            </w:tcBorders>
            <w:shd w:fill="FFFFFF" w:val="clear"/>
            <w:tcMar>
              <w:bottom w:w="28" w:type="dxa"/>
            </w:tcMar>
            <w:vAlign w:val="center"/>
          </w:tcPr>
          <w:p>
            <w:pPr>
              <w:pStyle w:val="TableContents"/>
              <w:spacing w:before="0" w:after="283"/>
              <w:jc w:val="right"/>
              <w:rPr/>
            </w:pPr>
            <w:r>
              <w:rPr/>
              <w:t>75,579,331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368" w:type="dxa"/>
            <w:tcBorders>
              <w:bottom w:val="double" w:sz="6" w:space="0" w:color="000000"/>
            </w:tcBorders>
            <w:shd w:fill="FFFFFF" w:val="clear"/>
            <w:tcMar>
              <w:bottom w:w="28" w:type="dxa"/>
            </w:tcMar>
            <w:vAlign w:val="center"/>
          </w:tcPr>
          <w:p>
            <w:pPr>
              <w:pStyle w:val="TableContents"/>
              <w:spacing w:before="0" w:after="283"/>
              <w:rPr/>
            </w:pPr>
            <w:r>
              <w:rPr/>
              <w:t>$</w:t>
            </w:r>
          </w:p>
        </w:tc>
        <w:tc>
          <w:tcPr>
            <w:tcW w:w="271" w:type="dxa"/>
            <w:tcBorders>
              <w:bottom w:val="double" w:sz="6" w:space="0" w:color="000000"/>
            </w:tcBorders>
            <w:shd w:fill="FFFFFF" w:val="clear"/>
            <w:tcMar>
              <w:bottom w:w="28" w:type="dxa"/>
            </w:tcM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6"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6" w:space="0" w:color="000000"/>
            </w:tcBorders>
            <w:shd w:fill="FFFFFF" w:val="clear"/>
            <w:tcMar>
              <w:bottom w:w="28" w:type="dxa"/>
            </w:tcMar>
            <w:vAlign w:val="center"/>
          </w:tcPr>
          <w:p>
            <w:pPr>
              <w:pStyle w:val="TableContents"/>
              <w:spacing w:before="0" w:after="283"/>
              <w:jc w:val="right"/>
              <w:rPr/>
            </w:pPr>
            <w:r>
              <w:rPr/>
              <w:t>197,767,112</w:t>
            </w:r>
          </w:p>
        </w:tc>
        <w:tc>
          <w:tcPr>
            <w:tcW w:w="136" w:type="dxa"/>
            <w:tcBorders/>
            <w:shd w:fill="FFFFFF" w:val="clear"/>
            <w:vAlign w:val="center"/>
          </w:tcPr>
          <w:p>
            <w:pPr>
              <w:pStyle w:val="TableContents"/>
              <w:spacing w:before="0" w:after="0"/>
              <w:ind w:left="0" w:right="0" w:hanging="0"/>
              <w:rPr/>
            </w:pPr>
            <w:r>
              <w:rPr/>
              <w:t> </w:t>
            </w:r>
          </w:p>
        </w:tc>
      </w:tr>
    </w:tbl>
    <w:p>
      <w:pPr>
        <w:pStyle w:val="TextBody"/>
        <w:spacing w:before="0" w:after="0"/>
        <w:ind w:left="0" w:right="0" w:hanging="0"/>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F-25</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2022 AND 2021</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sets forth the Company’s investment in a hedge fund measured at Net Asset Value (“NAV”) per share as of December 31, 2022 and 2021. The Company measures this investment at fair value on a recurring basis.  Fair value using NAV per share is as follows as of the dates indicated:</w:t>
      </w:r>
    </w:p>
    <w:p>
      <w:pPr>
        <w:pStyle w:val="TextBody"/>
        <w:spacing w:before="0" w:after="0"/>
        <w:ind w:left="0" w:right="0" w:hanging="0"/>
        <w:jc w:val="both"/>
        <w:rPr/>
      </w:pPr>
      <w:r>
        <w:rPr/>
        <w:t> </w:t>
      </w:r>
    </w:p>
    <w:tbl>
      <w:tblPr>
        <w:tblW w:w="5323" w:type="dxa"/>
        <w:jc w:val="left"/>
        <w:tblInd w:w="0" w:type="dxa"/>
        <w:tblCellMar>
          <w:top w:w="0" w:type="dxa"/>
          <w:left w:w="0" w:type="dxa"/>
          <w:bottom w:w="28" w:type="dxa"/>
          <w:right w:w="0" w:type="dxa"/>
        </w:tblCellMar>
      </w:tblPr>
      <w:tblGrid>
        <w:gridCol w:w="1580"/>
        <w:gridCol w:w="90"/>
        <w:gridCol w:w="240"/>
        <w:gridCol w:w="1429"/>
        <w:gridCol w:w="90"/>
        <w:gridCol w:w="90"/>
        <w:gridCol w:w="240"/>
        <w:gridCol w:w="1429"/>
        <w:gridCol w:w="135"/>
      </w:tblGrid>
      <w:tr>
        <w:trPr/>
        <w:tc>
          <w:tcPr>
            <w:tcW w:w="1580" w:type="dxa"/>
            <w:tcBorders>
              <w:bottom w:val="single" w:sz="8" w:space="0" w:color="000000"/>
            </w:tcBorders>
            <w:shd w:fill="auto" w:val="clear"/>
            <w:vAlign w:val="center"/>
          </w:tcPr>
          <w:p>
            <w:pPr>
              <w:pStyle w:val="TableContents"/>
              <w:spacing w:before="0" w:after="0"/>
              <w:ind w:left="0" w:right="0" w:hanging="0"/>
              <w:jc w:val="left"/>
              <w:rPr/>
            </w:pPr>
            <w:r>
              <w:rPr>
                <w:rStyle w:val="StrongEmphasis"/>
                <w:rFonts w:ascii="times new roman" w:hAnsi="times new roman"/>
                <w:sz w:val="20"/>
              </w:rPr>
              <w:t xml:space="preserve">Category </w:t>
            </w:r>
          </w:p>
        </w:tc>
        <w:tc>
          <w:tcPr>
            <w:tcW w:w="90" w:type="dxa"/>
            <w:tcBorders/>
            <w:shd w:fill="auto" w:val="clear"/>
            <w:tcMar>
              <w:bottom w:w="0" w:type="dxa"/>
            </w:tcMar>
            <w:vAlign w:val="center"/>
          </w:tcPr>
          <w:p>
            <w:pPr>
              <w:pStyle w:val="TableContents"/>
              <w:spacing w:before="0" w:after="0"/>
              <w:ind w:left="0" w:right="0" w:hanging="0"/>
              <w:rPr/>
            </w:pPr>
            <w:r>
              <w:rPr>
                <w:rStyle w:val="StrongEmphasis"/>
              </w:rPr>
              <w:t> </w:t>
            </w:r>
          </w:p>
        </w:tc>
        <w:tc>
          <w:tcPr>
            <w:tcW w:w="1669" w:type="dxa"/>
            <w:gridSpan w:val="2"/>
            <w:tcBorders>
              <w:bottom w:val="single" w:sz="8"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December 31, 2022</w:t>
            </w:r>
          </w:p>
        </w:tc>
        <w:tc>
          <w:tcPr>
            <w:tcW w:w="90" w:type="dxa"/>
            <w:tcBorders/>
            <w:shd w:fill="auto" w:val="clear"/>
            <w:tcMar>
              <w:bottom w:w="0" w:type="dxa"/>
            </w:tcMar>
            <w:vAlign w:val="center"/>
          </w:tcPr>
          <w:p>
            <w:pPr>
              <w:pStyle w:val="TableContents"/>
              <w:spacing w:before="0" w:after="0"/>
              <w:ind w:left="0" w:right="0" w:hanging="0"/>
              <w:rPr/>
            </w:pPr>
            <w:r>
              <w:rPr>
                <w:rStyle w:val="StrongEmphasis"/>
              </w:rPr>
              <w:t> </w:t>
            </w:r>
          </w:p>
        </w:tc>
        <w:tc>
          <w:tcPr>
            <w:tcW w:w="90" w:type="dxa"/>
            <w:tcBorders/>
            <w:shd w:fill="auto" w:val="clear"/>
            <w:tcMar>
              <w:bottom w:w="0" w:type="dxa"/>
            </w:tcMar>
            <w:vAlign w:val="center"/>
          </w:tcPr>
          <w:p>
            <w:pPr>
              <w:pStyle w:val="TableContents"/>
              <w:spacing w:before="0" w:after="0"/>
              <w:ind w:left="0" w:right="0" w:hanging="0"/>
              <w:rPr/>
            </w:pPr>
            <w:r>
              <w:rPr>
                <w:rStyle w:val="StrongEmphasis"/>
              </w:rPr>
              <w:t> </w:t>
            </w:r>
          </w:p>
        </w:tc>
        <w:tc>
          <w:tcPr>
            <w:tcW w:w="1669" w:type="dxa"/>
            <w:gridSpan w:val="2"/>
            <w:tcBorders>
              <w:bottom w:val="single" w:sz="8"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December 31, 2</w:t>
            </w:r>
            <w:r>
              <w:rPr>
                <w:rFonts w:ascii="times new roman" w:hAnsi="times new roman"/>
                <w:sz w:val="20"/>
              </w:rPr>
              <w:t>021</w:t>
            </w:r>
          </w:p>
        </w:tc>
        <w:tc>
          <w:tcPr>
            <w:tcW w:w="135" w:type="dxa"/>
            <w:tcBorders/>
            <w:shd w:fill="auto" w:val="clear"/>
            <w:tcMar>
              <w:bottom w:w="0" w:type="dxa"/>
            </w:tcMar>
            <w:vAlign w:val="center"/>
          </w:tcPr>
          <w:p>
            <w:pPr>
              <w:pStyle w:val="TableContents"/>
              <w:spacing w:before="0" w:after="0"/>
              <w:ind w:left="0" w:right="0" w:hanging="0"/>
              <w:rPr/>
            </w:pPr>
            <w:r>
              <w:rPr/>
              <w:t> </w:t>
            </w:r>
          </w:p>
        </w:tc>
      </w:tr>
      <w:tr>
        <w:trPr/>
        <w:tc>
          <w:tcPr>
            <w:tcW w:w="1580"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669" w:type="dxa"/>
            <w:gridSpan w:val="2"/>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894" w:type="dxa"/>
            <w:gridSpan w:val="4"/>
            <w:tcBorders/>
            <w:shd w:fill="auto" w:val="clear"/>
            <w:tcMar>
              <w:bottom w:w="0" w:type="dxa"/>
            </w:tcMar>
            <w:vAlign w:val="center"/>
          </w:tcPr>
          <w:p>
            <w:pPr>
              <w:pStyle w:val="TableContents"/>
              <w:spacing w:before="0" w:after="0"/>
              <w:ind w:left="0" w:right="0" w:hanging="0"/>
              <w:rPr/>
            </w:pPr>
            <w:r>
              <w:rPr/>
              <w:t> </w:t>
            </w:r>
          </w:p>
        </w:tc>
      </w:tr>
      <w:tr>
        <w:trPr/>
        <w:tc>
          <w:tcPr>
            <w:tcW w:w="1580" w:type="dxa"/>
            <w:tcBorders/>
            <w:shd w:fill="auto" w:val="clear"/>
            <w:tcMar>
              <w:bottom w:w="0" w:type="dxa"/>
            </w:tcM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Other Investments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669" w:type="dxa"/>
            <w:gridSpan w:val="2"/>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669" w:type="dxa"/>
            <w:gridSpan w:val="2"/>
            <w:tcBorders/>
            <w:shd w:fill="auto" w:val="clear"/>
            <w:tcMar>
              <w:bottom w:w="0" w:type="dxa"/>
            </w:tcMar>
            <w:vAlign w:val="center"/>
          </w:tcPr>
          <w:p>
            <w:pPr>
              <w:pStyle w:val="TableContents"/>
              <w:spacing w:before="0" w:after="0"/>
              <w:ind w:left="0" w:right="0" w:hanging="0"/>
              <w:rPr/>
            </w:pPr>
            <w:r>
              <w:rPr/>
              <w:t> </w:t>
            </w:r>
          </w:p>
        </w:tc>
        <w:tc>
          <w:tcPr>
            <w:tcW w:w="135" w:type="dxa"/>
            <w:tcBorders/>
            <w:shd w:fill="auto" w:val="clear"/>
            <w:tcMar>
              <w:bottom w:w="0" w:type="dxa"/>
            </w:tcMar>
            <w:vAlign w:val="center"/>
          </w:tcPr>
          <w:p>
            <w:pPr>
              <w:pStyle w:val="TableContents"/>
              <w:spacing w:before="0" w:after="0"/>
              <w:ind w:left="0" w:right="0" w:hanging="0"/>
              <w:rPr/>
            </w:pPr>
            <w:r>
              <w:rPr/>
              <w:t> </w:t>
            </w:r>
          </w:p>
        </w:tc>
      </w:tr>
      <w:tr>
        <w:trPr/>
        <w:tc>
          <w:tcPr>
            <w:tcW w:w="1580" w:type="dxa"/>
            <w:tcBorders/>
            <w:shd w:fill="CCEEFF" w:val="clear"/>
            <w:tcMar>
              <w:bottom w:w="0" w:type="dxa"/>
            </w:tcM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Hedge fund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240" w:type="dxa"/>
            <w:tcBorders>
              <w:bottom w:val="double" w:sz="5" w:space="0" w:color="000000"/>
            </w:tcBorders>
            <w:shd w:fill="CCEEFF" w:val="clear"/>
            <w:vAlign w:val="center"/>
          </w:tcPr>
          <w:p>
            <w:pPr>
              <w:pStyle w:val="TableContents"/>
              <w:spacing w:before="0" w:after="283"/>
              <w:rPr/>
            </w:pPr>
            <w:r>
              <w:rPr/>
              <w:t>$</w:t>
            </w:r>
          </w:p>
        </w:tc>
        <w:tc>
          <w:tcPr>
            <w:tcW w:w="1429" w:type="dxa"/>
            <w:tcBorders>
              <w:bottom w:val="double" w:sz="5" w:space="0" w:color="000000"/>
            </w:tcBorders>
            <w:shd w:fill="CCEEFF" w:val="clear"/>
            <w:vAlign w:val="center"/>
          </w:tcPr>
          <w:p>
            <w:pPr>
              <w:pStyle w:val="TableContents"/>
              <w:spacing w:before="0" w:after="283"/>
              <w:jc w:val="right"/>
              <w:rPr/>
            </w:pPr>
            <w:r>
              <w:rPr/>
              <w:t>2,771,652</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240" w:type="dxa"/>
            <w:tcBorders>
              <w:bottom w:val="double" w:sz="5" w:space="0" w:color="000000"/>
            </w:tcBorders>
            <w:shd w:fill="CCEEFF" w:val="clear"/>
            <w:vAlign w:val="center"/>
          </w:tcPr>
          <w:p>
            <w:pPr>
              <w:pStyle w:val="TableContents"/>
              <w:spacing w:before="0" w:after="283"/>
              <w:rPr/>
            </w:pPr>
            <w:r>
              <w:rPr/>
              <w:t>$</w:t>
            </w:r>
          </w:p>
        </w:tc>
        <w:tc>
          <w:tcPr>
            <w:tcW w:w="1429" w:type="dxa"/>
            <w:tcBorders>
              <w:bottom w:val="double" w:sz="5" w:space="0" w:color="000000"/>
            </w:tcBorders>
            <w:shd w:fill="CCEEFF" w:val="clear"/>
            <w:vAlign w:val="center"/>
          </w:tcPr>
          <w:p>
            <w:pPr>
              <w:pStyle w:val="TableContents"/>
              <w:spacing w:before="0" w:after="283"/>
              <w:jc w:val="right"/>
              <w:rPr/>
            </w:pPr>
            <w:r>
              <w:rPr/>
              <w:t>7,561,415</w:t>
            </w:r>
          </w:p>
        </w:tc>
        <w:tc>
          <w:tcPr>
            <w:tcW w:w="135" w:type="dxa"/>
            <w:tcBorders/>
            <w:shd w:fill="CCEEFF" w:val="clear"/>
            <w:tcMar>
              <w:bottom w:w="0" w:type="dxa"/>
            </w:tcM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hedge fund investment is generally redeemable with at least 45 days prior written notice.  The hedge fund investment is accounted for as a limited partnership by the Company. Income is earned based upon the Company’s allocated share of the partnership’s changes in unrealized gains and losses to its partners. Such amounts have been recorded in the accompanying consolidated statements of operations and comprehensive (loss) income within net (losses) gains on investments.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estimated fair value and the level of the fair value hierarchy of the Company’s debt as of December 31, 2022 and 2021, which is not measured at fair value, is as follows:</w:t>
      </w:r>
    </w:p>
    <w:p>
      <w:pPr>
        <w:pStyle w:val="TextBody"/>
        <w:spacing w:before="0" w:after="0"/>
        <w:ind w:left="0" w:right="0" w:hanging="0"/>
        <w:jc w:val="both"/>
        <w:rPr/>
      </w:pPr>
      <w:r>
        <w:rPr/>
        <w:t> </w:t>
      </w:r>
    </w:p>
    <w:tbl>
      <w:tblPr>
        <w:tblW w:w="7113" w:type="dxa"/>
        <w:jc w:val="left"/>
        <w:tblInd w:w="0" w:type="dxa"/>
        <w:tblCellMar>
          <w:top w:w="0" w:type="dxa"/>
          <w:left w:w="0" w:type="dxa"/>
          <w:bottom w:w="0" w:type="dxa"/>
          <w:right w:w="0" w:type="dxa"/>
        </w:tblCellMar>
      </w:tblPr>
      <w:tblGrid>
        <w:gridCol w:w="2300"/>
        <w:gridCol w:w="90"/>
        <w:gridCol w:w="417"/>
        <w:gridCol w:w="307"/>
        <w:gridCol w:w="90"/>
        <w:gridCol w:w="90"/>
        <w:gridCol w:w="170"/>
        <w:gridCol w:w="1130"/>
        <w:gridCol w:w="90"/>
        <w:gridCol w:w="90"/>
        <w:gridCol w:w="417"/>
        <w:gridCol w:w="307"/>
        <w:gridCol w:w="90"/>
        <w:gridCol w:w="90"/>
        <w:gridCol w:w="170"/>
        <w:gridCol w:w="1130"/>
        <w:gridCol w:w="135"/>
      </w:tblGrid>
      <w:tr>
        <w:trPr/>
        <w:tc>
          <w:tcPr>
            <w:tcW w:w="230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4588" w:type="dxa"/>
            <w:gridSpan w:val="14"/>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2022</w:t>
            </w:r>
          </w:p>
        </w:tc>
        <w:tc>
          <w:tcPr>
            <w:tcW w:w="135" w:type="dxa"/>
            <w:tcBorders/>
            <w:shd w:fill="auto" w:val="clear"/>
            <w:vAlign w:val="center"/>
          </w:tcPr>
          <w:p>
            <w:pPr>
              <w:pStyle w:val="TableContents"/>
              <w:spacing w:before="0" w:after="0"/>
              <w:ind w:left="0" w:right="0" w:hanging="0"/>
              <w:rPr/>
            </w:pPr>
            <w:r>
              <w:rPr>
                <w:rStyle w:val="StrongEmphasis"/>
              </w:rPr>
              <w:t> </w:t>
            </w:r>
          </w:p>
        </w:tc>
      </w:tr>
      <w:tr>
        <w:trPr/>
        <w:tc>
          <w:tcPr>
            <w:tcW w:w="2300" w:type="dxa"/>
            <w:tcBorders>
              <w:bottom w:val="single" w:sz="8" w:space="0" w:color="000000"/>
            </w:tcBorders>
            <w:shd w:fill="auto" w:val="clear"/>
            <w:tcMar>
              <w:bottom w:w="28" w:type="dxa"/>
            </w:tcM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724"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Level 1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0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Level 2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724"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Level 3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0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Total </w:t>
            </w:r>
          </w:p>
        </w:tc>
        <w:tc>
          <w:tcPr>
            <w:tcW w:w="135" w:type="dxa"/>
            <w:tcBorders/>
            <w:shd w:fill="auto" w:val="clear"/>
            <w:vAlign w:val="center"/>
          </w:tcPr>
          <w:p>
            <w:pPr>
              <w:pStyle w:val="TableContents"/>
              <w:spacing w:before="0" w:after="0"/>
              <w:ind w:left="0" w:right="0" w:hanging="0"/>
              <w:rPr/>
            </w:pPr>
            <w:r>
              <w:rPr/>
              <w:t> </w:t>
            </w:r>
          </w:p>
        </w:tc>
      </w:tr>
      <w:tr>
        <w:trPr/>
        <w:tc>
          <w:tcPr>
            <w:tcW w:w="2300" w:type="dxa"/>
            <w:tcBorders/>
            <w:shd w:fill="auto" w:val="clear"/>
            <w:vAlign w:val="center"/>
          </w:tcPr>
          <w:p>
            <w:pPr>
              <w:pStyle w:val="TableContents"/>
              <w:spacing w:before="0" w:after="283"/>
              <w:rPr/>
            </w:pPr>
            <w:r>
              <w:rPr>
                <w:rStyle w:val="StrongEmphasis"/>
              </w:rPr>
              <w:t xml:space="preserve">Debt </w:t>
            </w:r>
          </w:p>
        </w:tc>
        <w:tc>
          <w:tcPr>
            <w:tcW w:w="90" w:type="dxa"/>
            <w:tcBorders/>
            <w:shd w:fill="auto" w:val="clear"/>
            <w:vAlign w:val="center"/>
          </w:tcPr>
          <w:p>
            <w:pPr>
              <w:pStyle w:val="TableContents"/>
              <w:spacing w:before="0" w:after="0"/>
              <w:ind w:left="0" w:right="0" w:hanging="0"/>
              <w:rPr/>
            </w:pPr>
            <w:r>
              <w:rPr/>
              <w:t> </w:t>
            </w:r>
          </w:p>
        </w:tc>
        <w:tc>
          <w:tcPr>
            <w:tcW w:w="724"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24"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230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24"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24"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2300" w:type="dxa"/>
            <w:tcBorders/>
            <w:shd w:fill="CCEEFF" w:val="clear"/>
            <w:vAlign w:val="center"/>
          </w:tcPr>
          <w:p>
            <w:pPr>
              <w:pStyle w:val="TableContents"/>
              <w:spacing w:before="0" w:after="283"/>
              <w:rPr/>
            </w:pPr>
            <w:r>
              <w:rPr/>
              <w:t xml:space="preserve">Senior Notes due 2024 </w:t>
            </w:r>
          </w:p>
        </w:tc>
        <w:tc>
          <w:tcPr>
            <w:tcW w:w="90" w:type="dxa"/>
            <w:tcBorders/>
            <w:shd w:fill="CCEEFF" w:val="clear"/>
            <w:vAlign w:val="center"/>
          </w:tcPr>
          <w:p>
            <w:pPr>
              <w:pStyle w:val="TableContents"/>
              <w:spacing w:before="0" w:after="0"/>
              <w:ind w:left="0" w:right="0" w:hanging="0"/>
              <w:rPr/>
            </w:pPr>
            <w:r>
              <w:rPr/>
              <w:t> </w:t>
            </w:r>
          </w:p>
        </w:tc>
        <w:tc>
          <w:tcPr>
            <w:tcW w:w="417" w:type="dxa"/>
            <w:tcBorders/>
            <w:shd w:fill="CCEEFF" w:val="clear"/>
            <w:vAlign w:val="center"/>
          </w:tcPr>
          <w:p>
            <w:pPr>
              <w:pStyle w:val="TableContents"/>
              <w:spacing w:before="0" w:after="283"/>
              <w:rPr/>
            </w:pPr>
            <w:r>
              <w:rPr/>
              <w:t>$</w:t>
            </w:r>
          </w:p>
        </w:tc>
        <w:tc>
          <w:tcPr>
            <w:tcW w:w="307"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15,829,096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417" w:type="dxa"/>
            <w:tcBorders/>
            <w:shd w:fill="CCEEFF" w:val="clear"/>
            <w:vAlign w:val="center"/>
          </w:tcPr>
          <w:p>
            <w:pPr>
              <w:pStyle w:val="TableContents"/>
              <w:spacing w:before="0" w:after="283"/>
              <w:rPr/>
            </w:pPr>
            <w:r>
              <w:rPr/>
              <w:t>$</w:t>
            </w:r>
          </w:p>
        </w:tc>
        <w:tc>
          <w:tcPr>
            <w:tcW w:w="307"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15,829,096</w:t>
            </w:r>
          </w:p>
        </w:tc>
        <w:tc>
          <w:tcPr>
            <w:tcW w:w="135"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rPr/>
      </w:pPr>
      <w:r>
        <w:rPr/>
        <w:t xml:space="preserve">  </w:t>
      </w:r>
    </w:p>
    <w:tbl>
      <w:tblPr>
        <w:tblW w:w="7113" w:type="dxa"/>
        <w:jc w:val="left"/>
        <w:tblInd w:w="0" w:type="dxa"/>
        <w:tblCellMar>
          <w:top w:w="0" w:type="dxa"/>
          <w:left w:w="0" w:type="dxa"/>
          <w:bottom w:w="0" w:type="dxa"/>
          <w:right w:w="0" w:type="dxa"/>
        </w:tblCellMar>
      </w:tblPr>
      <w:tblGrid>
        <w:gridCol w:w="2300"/>
        <w:gridCol w:w="90"/>
        <w:gridCol w:w="417"/>
        <w:gridCol w:w="307"/>
        <w:gridCol w:w="90"/>
        <w:gridCol w:w="90"/>
        <w:gridCol w:w="170"/>
        <w:gridCol w:w="1130"/>
        <w:gridCol w:w="90"/>
        <w:gridCol w:w="90"/>
        <w:gridCol w:w="417"/>
        <w:gridCol w:w="307"/>
        <w:gridCol w:w="90"/>
        <w:gridCol w:w="90"/>
        <w:gridCol w:w="170"/>
        <w:gridCol w:w="1130"/>
        <w:gridCol w:w="135"/>
      </w:tblGrid>
      <w:tr>
        <w:trPr/>
        <w:tc>
          <w:tcPr>
            <w:tcW w:w="230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4588" w:type="dxa"/>
            <w:gridSpan w:val="14"/>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2021</w:t>
            </w:r>
          </w:p>
        </w:tc>
        <w:tc>
          <w:tcPr>
            <w:tcW w:w="135" w:type="dxa"/>
            <w:tcBorders/>
            <w:shd w:fill="auto" w:val="clear"/>
            <w:vAlign w:val="center"/>
          </w:tcPr>
          <w:p>
            <w:pPr>
              <w:pStyle w:val="TableContents"/>
              <w:spacing w:before="0" w:after="0"/>
              <w:ind w:left="0" w:right="0" w:hanging="0"/>
              <w:rPr/>
            </w:pPr>
            <w:r>
              <w:rPr>
                <w:rStyle w:val="StrongEmphasis"/>
              </w:rPr>
              <w:t> </w:t>
            </w:r>
          </w:p>
        </w:tc>
      </w:tr>
      <w:tr>
        <w:trPr/>
        <w:tc>
          <w:tcPr>
            <w:tcW w:w="2300" w:type="dxa"/>
            <w:tcBorders>
              <w:bottom w:val="single" w:sz="8" w:space="0" w:color="000000"/>
            </w:tcBorders>
            <w:shd w:fill="auto" w:val="clear"/>
            <w:tcMar>
              <w:bottom w:w="28" w:type="dxa"/>
            </w:tcM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724"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Level 1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0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Level 2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724"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Level 3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0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Tot</w:t>
            </w:r>
            <w:r>
              <w:rPr>
                <w:rFonts w:ascii="times new roman" w:hAnsi="times new roman"/>
                <w:sz w:val="20"/>
              </w:rPr>
              <w:t xml:space="preserve">al </w:t>
            </w:r>
          </w:p>
        </w:tc>
        <w:tc>
          <w:tcPr>
            <w:tcW w:w="135" w:type="dxa"/>
            <w:tcBorders/>
            <w:shd w:fill="auto" w:val="clear"/>
            <w:vAlign w:val="center"/>
          </w:tcPr>
          <w:p>
            <w:pPr>
              <w:pStyle w:val="TableContents"/>
              <w:spacing w:before="0" w:after="0"/>
              <w:ind w:left="0" w:right="0" w:hanging="0"/>
              <w:rPr/>
            </w:pPr>
            <w:r>
              <w:rPr/>
              <w:t> </w:t>
            </w:r>
          </w:p>
        </w:tc>
      </w:tr>
      <w:tr>
        <w:trPr/>
        <w:tc>
          <w:tcPr>
            <w:tcW w:w="2300" w:type="dxa"/>
            <w:tcBorders/>
            <w:shd w:fill="auto" w:val="clear"/>
            <w:vAlign w:val="center"/>
          </w:tcPr>
          <w:p>
            <w:pPr>
              <w:pStyle w:val="TableContents"/>
              <w:spacing w:before="0" w:after="283"/>
              <w:rPr/>
            </w:pPr>
            <w:r>
              <w:rPr>
                <w:rStyle w:val="StrongEmphasis"/>
              </w:rPr>
              <w:t xml:space="preserve">Debt </w:t>
            </w:r>
          </w:p>
        </w:tc>
        <w:tc>
          <w:tcPr>
            <w:tcW w:w="90" w:type="dxa"/>
            <w:tcBorders/>
            <w:shd w:fill="auto" w:val="clear"/>
            <w:vAlign w:val="center"/>
          </w:tcPr>
          <w:p>
            <w:pPr>
              <w:pStyle w:val="TableContents"/>
              <w:spacing w:before="0" w:after="0"/>
              <w:ind w:left="0" w:right="0" w:hanging="0"/>
              <w:rPr/>
            </w:pPr>
            <w:r>
              <w:rPr/>
              <w:t> </w:t>
            </w:r>
          </w:p>
        </w:tc>
        <w:tc>
          <w:tcPr>
            <w:tcW w:w="724"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24"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230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24"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24"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2300" w:type="dxa"/>
            <w:tcBorders/>
            <w:shd w:fill="CCEEFF" w:val="clear"/>
            <w:vAlign w:val="center"/>
          </w:tcPr>
          <w:p>
            <w:pPr>
              <w:pStyle w:val="TableContents"/>
              <w:spacing w:before="0" w:after="283"/>
              <w:rPr/>
            </w:pPr>
            <w:r>
              <w:rPr/>
              <w:t xml:space="preserve">Senior Notes due 2022 </w:t>
            </w:r>
          </w:p>
        </w:tc>
        <w:tc>
          <w:tcPr>
            <w:tcW w:w="90" w:type="dxa"/>
            <w:tcBorders/>
            <w:shd w:fill="CCEEFF" w:val="clear"/>
            <w:vAlign w:val="center"/>
          </w:tcPr>
          <w:p>
            <w:pPr>
              <w:pStyle w:val="TableContents"/>
              <w:spacing w:before="0" w:after="0"/>
              <w:ind w:left="0" w:right="0" w:hanging="0"/>
              <w:rPr/>
            </w:pPr>
            <w:r>
              <w:rPr/>
              <w:t> </w:t>
            </w:r>
          </w:p>
        </w:tc>
        <w:tc>
          <w:tcPr>
            <w:tcW w:w="417" w:type="dxa"/>
            <w:tcBorders/>
            <w:shd w:fill="CCEEFF" w:val="clear"/>
            <w:vAlign w:val="center"/>
          </w:tcPr>
          <w:p>
            <w:pPr>
              <w:pStyle w:val="TableContents"/>
              <w:spacing w:before="0" w:after="283"/>
              <w:rPr/>
            </w:pPr>
            <w:r>
              <w:rPr/>
              <w:t>$</w:t>
            </w:r>
          </w:p>
        </w:tc>
        <w:tc>
          <w:tcPr>
            <w:tcW w:w="307"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28,436,019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417" w:type="dxa"/>
            <w:tcBorders/>
            <w:shd w:fill="CCEEFF" w:val="clear"/>
            <w:vAlign w:val="center"/>
          </w:tcPr>
          <w:p>
            <w:pPr>
              <w:pStyle w:val="TableContents"/>
              <w:spacing w:before="0" w:after="283"/>
              <w:rPr/>
            </w:pPr>
            <w:r>
              <w:rPr/>
              <w:t>$</w:t>
            </w:r>
          </w:p>
        </w:tc>
        <w:tc>
          <w:tcPr>
            <w:tcW w:w="307"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28,436,019</w:t>
            </w:r>
          </w:p>
        </w:tc>
        <w:tc>
          <w:tcPr>
            <w:tcW w:w="135"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rPr/>
      </w:pPr>
      <w:r>
        <w:rPr/>
        <w:t xml:space="preserve">  </w:t>
      </w:r>
    </w:p>
    <w:p>
      <w:pPr>
        <w:pStyle w:val="TextBody"/>
        <w:spacing w:before="0" w:after="0"/>
        <w:ind w:left="0" w:right="0" w:hanging="0"/>
        <w:jc w:val="both"/>
        <w:rPr>
          <w:rFonts w:ascii="times new roman" w:hAnsi="times new roman"/>
          <w:sz w:val="20"/>
        </w:rPr>
      </w:pPr>
      <w:r>
        <w:rPr>
          <w:rFonts w:ascii="times new roman" w:hAnsi="times new roman"/>
          <w:sz w:val="20"/>
        </w:rPr>
        <w:t>The fair value of debt is estimated based on observable market prices when available. When observable market prices are not available, the fair values of debt are based on observable market prices of comparable instruments adjusted for differences between the observed instruments and the instruments being valued or is estimated using discounted cash flow analyses, based on current incremental borrowing rates for similar types of borrowing arrangements.</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F-26</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2022 AND 2021</w:t>
      </w:r>
    </w:p>
    <w:p>
      <w:pPr>
        <w:pStyle w:val="TextBody"/>
        <w:spacing w:before="0" w:after="0"/>
        <w:ind w:left="0" w:right="0" w:hanging="0"/>
        <w:jc w:val="center"/>
        <w:rPr/>
      </w:pPr>
      <w:r>
        <w:rPr/>
        <w:t> </w:t>
      </w:r>
    </w:p>
    <w:p>
      <w:pPr>
        <w:pStyle w:val="TextBody"/>
        <w:spacing w:before="0" w:after="0"/>
        <w:ind w:left="0" w:right="0" w:hanging="0"/>
        <w:rPr/>
      </w:pPr>
      <w:r>
        <w:rPr>
          <w:rStyle w:val="StrongEmphasis"/>
          <w:rFonts w:ascii="times new roman" w:hAnsi="times new roman"/>
          <w:sz w:val="20"/>
        </w:rPr>
        <w:t>Note 5 - Fair Value of Financial Instruments and Real Estate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Company uses the following methods and assumptions in estimating the fair value of financial instruments and real estate: </w:t>
      </w:r>
    </w:p>
    <w:p>
      <w:pPr>
        <w:pStyle w:val="TextBody"/>
        <w:spacing w:before="0" w:after="0"/>
        <w:ind w:left="0" w:right="0" w:hanging="0"/>
        <w:rPr/>
      </w:pPr>
      <w:r>
        <w:rPr/>
        <w:t> </w:t>
      </w:r>
    </w:p>
    <w:p>
      <w:pPr>
        <w:pStyle w:val="TextBody"/>
        <w:spacing w:before="0" w:after="0"/>
        <w:ind w:left="0" w:right="0" w:hanging="0"/>
        <w:jc w:val="both"/>
        <w:rPr/>
      </w:pPr>
      <w:r>
        <w:rPr>
          <w:rStyle w:val="Emphasis"/>
          <w:rFonts w:ascii="times new roman" w:hAnsi="times new roman"/>
          <w:sz w:val="20"/>
        </w:rPr>
        <w:t>Equity securities, available-for-sale fixed income securities, and other investments:</w:t>
      </w:r>
      <w:r>
        <w:rPr>
          <w:rStyle w:val="StrongEmphasis"/>
          <w:rFonts w:ascii="times new roman" w:hAnsi="times new roman"/>
          <w:sz w:val="20"/>
        </w:rPr>
        <w:t>  </w:t>
      </w:r>
      <w:r>
        <w:rPr>
          <w:rFonts w:ascii="times new roman" w:hAnsi="times new roman"/>
          <w:sz w:val="20"/>
        </w:rPr>
        <w:t xml:space="preserve">Fair value disclosures for these investments are included in Note 3 - Investments and Note 4 – Fair Value Measurements.   </w:t>
      </w:r>
    </w:p>
    <w:p>
      <w:pPr>
        <w:pStyle w:val="TextBody"/>
        <w:spacing w:before="0" w:after="0"/>
        <w:ind w:left="0" w:right="0" w:hanging="0"/>
        <w:jc w:val="both"/>
        <w:rPr/>
      </w:pPr>
      <w:r>
        <w:rPr/>
        <w:t> </w:t>
      </w:r>
    </w:p>
    <w:p>
      <w:pPr>
        <w:pStyle w:val="TextBody"/>
        <w:spacing w:before="0" w:after="0"/>
        <w:ind w:left="0" w:right="0" w:hanging="0"/>
        <w:jc w:val="both"/>
        <w:rPr/>
      </w:pPr>
      <w:r>
        <w:rPr>
          <w:rStyle w:val="Emphasis"/>
          <w:rFonts w:ascii="times new roman" w:hAnsi="times new roman"/>
          <w:sz w:val="20"/>
        </w:rPr>
        <w:t xml:space="preserve">Cash and cash equivalents: </w:t>
      </w:r>
      <w:r>
        <w:rPr>
          <w:rFonts w:ascii="times new roman" w:hAnsi="times new roman"/>
          <w:sz w:val="20"/>
        </w:rPr>
        <w:t>The carrying values of cash and cash equivalents approximate their fair values because of the short-term nature of these instruments.</w:t>
      </w:r>
    </w:p>
    <w:p>
      <w:pPr>
        <w:pStyle w:val="TextBody"/>
        <w:spacing w:before="0" w:after="0"/>
        <w:ind w:left="0" w:right="0" w:hanging="0"/>
        <w:jc w:val="both"/>
        <w:rPr/>
      </w:pPr>
      <w:r>
        <w:rPr/>
        <w:t> </w:t>
      </w:r>
    </w:p>
    <w:p>
      <w:pPr>
        <w:pStyle w:val="TextBody"/>
        <w:spacing w:before="0" w:after="0"/>
        <w:ind w:left="0" w:right="0" w:hanging="0"/>
        <w:jc w:val="both"/>
        <w:rPr/>
      </w:pPr>
      <w:r>
        <w:rPr>
          <w:rStyle w:val="Emphasis"/>
          <w:rFonts w:ascii="times new roman" w:hAnsi="times new roman"/>
          <w:sz w:val="20"/>
        </w:rPr>
        <w:t>Premiums receivable and reinsurance receivables:</w:t>
      </w:r>
      <w:r>
        <w:rPr>
          <w:rFonts w:ascii="times new roman" w:hAnsi="times new roman"/>
          <w:sz w:val="20"/>
        </w:rPr>
        <w:t>  The carrying values reported in the accompanying consolidated balance sheets for these financial instruments approximate their fair values due to the short-term nature of the assets.</w:t>
      </w:r>
    </w:p>
    <w:p>
      <w:pPr>
        <w:pStyle w:val="TextBody"/>
        <w:spacing w:before="0" w:after="0"/>
        <w:ind w:left="0" w:right="0" w:hanging="0"/>
        <w:jc w:val="both"/>
        <w:rPr/>
      </w:pPr>
      <w:r>
        <w:rPr/>
        <w:t> </w:t>
      </w:r>
    </w:p>
    <w:p>
      <w:pPr>
        <w:pStyle w:val="TextBody"/>
        <w:spacing w:before="0" w:after="0"/>
        <w:ind w:left="0" w:right="0" w:hanging="0"/>
        <w:jc w:val="both"/>
        <w:rPr/>
      </w:pPr>
      <w:r>
        <w:rPr>
          <w:rStyle w:val="Emphasis"/>
          <w:rFonts w:ascii="times new roman" w:hAnsi="times new roman"/>
          <w:sz w:val="20"/>
        </w:rPr>
        <w:t>Real estate:</w:t>
      </w:r>
      <w:r>
        <w:rPr>
          <w:rFonts w:ascii="times new roman" w:hAnsi="times new roman"/>
          <w:sz w:val="20"/>
        </w:rPr>
        <w:t xml:space="preserve"> The estimated fair value was based on an appraisal prepared using the sales comparison approach, and accordingly the real estate is a Level 3 asset under the fair value hierarchy.</w:t>
      </w:r>
    </w:p>
    <w:p>
      <w:pPr>
        <w:pStyle w:val="TextBody"/>
        <w:spacing w:before="0" w:after="0"/>
        <w:ind w:left="0" w:right="0" w:hanging="0"/>
        <w:jc w:val="both"/>
        <w:rPr/>
      </w:pPr>
      <w:r>
        <w:rPr/>
        <w:t> </w:t>
      </w:r>
    </w:p>
    <w:p>
      <w:pPr>
        <w:pStyle w:val="TextBody"/>
        <w:spacing w:before="0" w:after="0"/>
        <w:ind w:left="0" w:right="0" w:hanging="0"/>
        <w:jc w:val="both"/>
        <w:rPr/>
      </w:pPr>
      <w:r>
        <w:rPr>
          <w:rStyle w:val="Emphasis"/>
          <w:rFonts w:ascii="times new roman" w:hAnsi="times new roman"/>
          <w:sz w:val="20"/>
        </w:rPr>
        <w:t>Reinsurance balances payable:</w:t>
      </w:r>
      <w:r>
        <w:rPr>
          <w:rFonts w:ascii="times new roman" w:hAnsi="times new roman"/>
          <w:sz w:val="20"/>
        </w:rPr>
        <w:t>  The carrying value reported in the consolidated balance sheets for these financial instruments approximates fair value.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estimated fair values of the Company’s financial instruments and real estate as of December 31, 2022 and 2021 are as follows:</w:t>
      </w:r>
    </w:p>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4111"/>
        <w:gridCol w:w="90"/>
        <w:gridCol w:w="178"/>
        <w:gridCol w:w="1185"/>
        <w:gridCol w:w="90"/>
        <w:gridCol w:w="90"/>
        <w:gridCol w:w="170"/>
        <w:gridCol w:w="1130"/>
        <w:gridCol w:w="90"/>
        <w:gridCol w:w="90"/>
        <w:gridCol w:w="178"/>
        <w:gridCol w:w="1185"/>
        <w:gridCol w:w="90"/>
        <w:gridCol w:w="90"/>
        <w:gridCol w:w="170"/>
        <w:gridCol w:w="1130"/>
        <w:gridCol w:w="138"/>
      </w:tblGrid>
      <w:tr>
        <w:trPr/>
        <w:tc>
          <w:tcPr>
            <w:tcW w:w="4111"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843" w:type="dxa"/>
            <w:gridSpan w:val="6"/>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2022</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2843" w:type="dxa"/>
            <w:gridSpan w:val="6"/>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2021</w:t>
            </w:r>
          </w:p>
        </w:tc>
        <w:tc>
          <w:tcPr>
            <w:tcW w:w="138" w:type="dxa"/>
            <w:tcBorders/>
            <w:shd w:fill="auto" w:val="clear"/>
            <w:vAlign w:val="center"/>
          </w:tcPr>
          <w:p>
            <w:pPr>
              <w:pStyle w:val="TableContents"/>
              <w:spacing w:before="0" w:after="0"/>
              <w:ind w:left="0" w:right="0" w:hanging="0"/>
              <w:rPr/>
            </w:pPr>
            <w:r>
              <w:rPr>
                <w:rStyle w:val="StrongEmphasis"/>
              </w:rPr>
              <w:t> </w:t>
            </w:r>
          </w:p>
        </w:tc>
      </w:tr>
      <w:tr>
        <w:trPr/>
        <w:tc>
          <w:tcPr>
            <w:tcW w:w="4111"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63"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Carrying Value</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0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Fair Value</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63"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Carrying Value</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0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Fair Value</w:t>
            </w:r>
          </w:p>
        </w:tc>
        <w:tc>
          <w:tcPr>
            <w:tcW w:w="138" w:type="dxa"/>
            <w:tcBorders/>
            <w:shd w:fill="auto" w:val="clear"/>
            <w:vAlign w:val="center"/>
          </w:tcPr>
          <w:p>
            <w:pPr>
              <w:pStyle w:val="TableContents"/>
              <w:spacing w:before="0" w:after="0"/>
              <w:ind w:left="0" w:right="0" w:hanging="0"/>
              <w:rPr/>
            </w:pPr>
            <w:r>
              <w:rPr/>
              <w:t> </w:t>
            </w:r>
          </w:p>
        </w:tc>
      </w:tr>
      <w:tr>
        <w:trPr/>
        <w:tc>
          <w:tcPr>
            <w:tcW w:w="4111"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63"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981" w:type="dxa"/>
            <w:gridSpan w:val="7"/>
            <w:tcBorders/>
            <w:shd w:fill="auto" w:val="clear"/>
            <w:vAlign w:val="center"/>
          </w:tcPr>
          <w:p>
            <w:pPr>
              <w:pStyle w:val="TableContents"/>
              <w:spacing w:before="0" w:after="0"/>
              <w:ind w:left="0" w:right="0" w:hanging="0"/>
              <w:rPr/>
            </w:pPr>
            <w:r>
              <w:rPr/>
              <w:t> </w:t>
            </w:r>
          </w:p>
        </w:tc>
      </w:tr>
      <w:tr>
        <w:trPr/>
        <w:tc>
          <w:tcPr>
            <w:tcW w:w="4111" w:type="dxa"/>
            <w:tcBorders/>
            <w:shd w:fill="CCEEFF" w:val="clear"/>
            <w:vAlign w:val="center"/>
          </w:tcPr>
          <w:p>
            <w:pPr>
              <w:pStyle w:val="TableContents"/>
              <w:spacing w:before="0" w:after="283"/>
              <w:rPr/>
            </w:pPr>
            <w:r>
              <w:rPr/>
              <w:t xml:space="preserve">Fixed-maturity securities-held-to maturity, Level 1 </w:t>
            </w:r>
          </w:p>
        </w:tc>
        <w:tc>
          <w:tcPr>
            <w:tcW w:w="90" w:type="dxa"/>
            <w:tcBorders/>
            <w:shd w:fill="CCEEFF" w:val="clear"/>
            <w:vAlign w:val="center"/>
          </w:tcPr>
          <w:p>
            <w:pPr>
              <w:pStyle w:val="TableContents"/>
              <w:spacing w:before="0" w:after="0"/>
              <w:ind w:left="0" w:right="0" w:hanging="0"/>
              <w:rPr/>
            </w:pPr>
            <w:r>
              <w:rPr/>
              <w:t> </w:t>
            </w:r>
          </w:p>
        </w:tc>
        <w:tc>
          <w:tcPr>
            <w:tcW w:w="178" w:type="dxa"/>
            <w:tcBorders/>
            <w:shd w:fill="CCEEFF" w:val="clear"/>
            <w:vAlign w:val="center"/>
          </w:tcPr>
          <w:p>
            <w:pPr>
              <w:pStyle w:val="TableContents"/>
              <w:spacing w:before="0" w:after="283"/>
              <w:rPr/>
            </w:pPr>
            <w:r>
              <w:rPr/>
              <w:t>$</w:t>
            </w:r>
          </w:p>
        </w:tc>
        <w:tc>
          <w:tcPr>
            <w:tcW w:w="1185" w:type="dxa"/>
            <w:tcBorders/>
            <w:shd w:fill="CCEEFF" w:val="clear"/>
            <w:vAlign w:val="center"/>
          </w:tcPr>
          <w:p>
            <w:pPr>
              <w:pStyle w:val="TableContents"/>
              <w:spacing w:before="0" w:after="283"/>
              <w:jc w:val="right"/>
              <w:rPr/>
            </w:pPr>
            <w:r>
              <w:rPr/>
              <w:t>7,766,140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6,600,388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8" w:type="dxa"/>
            <w:tcBorders/>
            <w:shd w:fill="CCEEFF" w:val="clear"/>
            <w:vAlign w:val="center"/>
          </w:tcPr>
          <w:p>
            <w:pPr>
              <w:pStyle w:val="TableContents"/>
              <w:spacing w:before="0" w:after="283"/>
              <w:rPr/>
            </w:pPr>
            <w:r>
              <w:rPr/>
              <w:t>$</w:t>
            </w:r>
          </w:p>
        </w:tc>
        <w:tc>
          <w:tcPr>
            <w:tcW w:w="1185" w:type="dxa"/>
            <w:tcBorders/>
            <w:shd w:fill="CCEEFF" w:val="clear"/>
            <w:vAlign w:val="center"/>
          </w:tcPr>
          <w:p>
            <w:pPr>
              <w:pStyle w:val="TableContents"/>
              <w:spacing w:before="0" w:after="283"/>
              <w:jc w:val="right"/>
              <w:rPr/>
            </w:pPr>
            <w:r>
              <w:rPr/>
              <w:t>8,266,334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8,753,159</w:t>
            </w:r>
          </w:p>
        </w:tc>
        <w:tc>
          <w:tcPr>
            <w:tcW w:w="138" w:type="dxa"/>
            <w:tcBorders/>
            <w:shd w:fill="CCEEFF" w:val="clear"/>
            <w:vAlign w:val="center"/>
          </w:tcPr>
          <w:p>
            <w:pPr>
              <w:pStyle w:val="TableContents"/>
              <w:spacing w:before="0" w:after="0"/>
              <w:ind w:left="0" w:right="0" w:hanging="0"/>
              <w:rPr/>
            </w:pPr>
            <w:r>
              <w:rPr/>
              <w:t> </w:t>
            </w:r>
          </w:p>
        </w:tc>
      </w:tr>
      <w:tr>
        <w:trPr/>
        <w:tc>
          <w:tcPr>
            <w:tcW w:w="4111"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Cash and cash equivalents, Level 1 </w:t>
            </w:r>
          </w:p>
        </w:tc>
        <w:tc>
          <w:tcPr>
            <w:tcW w:w="90" w:type="dxa"/>
            <w:tcBorders/>
            <w:shd w:fill="FFFFFF" w:val="clear"/>
            <w:vAlign w:val="center"/>
          </w:tcPr>
          <w:p>
            <w:pPr>
              <w:pStyle w:val="TableContents"/>
              <w:spacing w:before="0" w:after="0"/>
              <w:ind w:left="0" w:right="0" w:hanging="0"/>
              <w:rPr/>
            </w:pPr>
            <w:r>
              <w:rPr/>
              <w:t> </w:t>
            </w:r>
          </w:p>
        </w:tc>
        <w:tc>
          <w:tcPr>
            <w:tcW w:w="178" w:type="dxa"/>
            <w:tcBorders/>
            <w:shd w:fill="FFFFFF" w:val="clear"/>
            <w:vAlign w:val="center"/>
          </w:tcPr>
          <w:p>
            <w:pPr>
              <w:pStyle w:val="TableContents"/>
              <w:spacing w:before="0" w:after="283"/>
              <w:rPr/>
            </w:pPr>
            <w:r>
              <w:rPr/>
              <w:t>$</w:t>
            </w:r>
          </w:p>
        </w:tc>
        <w:tc>
          <w:tcPr>
            <w:tcW w:w="1185" w:type="dxa"/>
            <w:tcBorders/>
            <w:shd w:fill="FFFFFF" w:val="clear"/>
            <w:vAlign w:val="center"/>
          </w:tcPr>
          <w:p>
            <w:pPr>
              <w:pStyle w:val="TableContents"/>
              <w:spacing w:before="0" w:after="283"/>
              <w:jc w:val="right"/>
              <w:rPr/>
            </w:pPr>
            <w:r>
              <w:rPr/>
              <w:t>11,958,228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130" w:type="dxa"/>
            <w:tcBorders/>
            <w:shd w:fill="FFFFFF" w:val="clear"/>
            <w:vAlign w:val="center"/>
          </w:tcPr>
          <w:p>
            <w:pPr>
              <w:pStyle w:val="TableContents"/>
              <w:spacing w:before="0" w:after="283"/>
              <w:jc w:val="right"/>
              <w:rPr/>
            </w:pPr>
            <w:r>
              <w:rPr/>
              <w:t>11,958,228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8" w:type="dxa"/>
            <w:tcBorders/>
            <w:shd w:fill="FFFFFF" w:val="clear"/>
            <w:vAlign w:val="center"/>
          </w:tcPr>
          <w:p>
            <w:pPr>
              <w:pStyle w:val="TableContents"/>
              <w:spacing w:before="0" w:after="283"/>
              <w:rPr/>
            </w:pPr>
            <w:r>
              <w:rPr/>
              <w:t>$</w:t>
            </w:r>
          </w:p>
        </w:tc>
        <w:tc>
          <w:tcPr>
            <w:tcW w:w="1185" w:type="dxa"/>
            <w:tcBorders/>
            <w:shd w:fill="FFFFFF" w:val="clear"/>
            <w:vAlign w:val="center"/>
          </w:tcPr>
          <w:p>
            <w:pPr>
              <w:pStyle w:val="TableContents"/>
              <w:spacing w:before="0" w:after="283"/>
              <w:jc w:val="right"/>
              <w:rPr/>
            </w:pPr>
            <w:r>
              <w:rPr/>
              <w:t>24,290,598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130" w:type="dxa"/>
            <w:tcBorders/>
            <w:shd w:fill="FFFFFF" w:val="clear"/>
            <w:vAlign w:val="center"/>
          </w:tcPr>
          <w:p>
            <w:pPr>
              <w:pStyle w:val="TableContents"/>
              <w:spacing w:before="0" w:after="283"/>
              <w:jc w:val="right"/>
              <w:rPr/>
            </w:pPr>
            <w:r>
              <w:rPr/>
              <w:t>24,290,598</w:t>
            </w:r>
          </w:p>
        </w:tc>
        <w:tc>
          <w:tcPr>
            <w:tcW w:w="138" w:type="dxa"/>
            <w:tcBorders/>
            <w:shd w:fill="FFFFFF" w:val="clear"/>
            <w:vAlign w:val="center"/>
          </w:tcPr>
          <w:p>
            <w:pPr>
              <w:pStyle w:val="TableContents"/>
              <w:spacing w:before="0" w:after="0"/>
              <w:ind w:left="0" w:right="0" w:hanging="0"/>
              <w:rPr/>
            </w:pPr>
            <w:r>
              <w:rPr/>
              <w:t> </w:t>
            </w:r>
          </w:p>
        </w:tc>
      </w:tr>
      <w:tr>
        <w:trPr/>
        <w:tc>
          <w:tcPr>
            <w:tcW w:w="4111"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Premiums receivable, net, Level 3 </w:t>
            </w:r>
          </w:p>
        </w:tc>
        <w:tc>
          <w:tcPr>
            <w:tcW w:w="90" w:type="dxa"/>
            <w:tcBorders/>
            <w:shd w:fill="CCEEFF" w:val="clear"/>
            <w:vAlign w:val="center"/>
          </w:tcPr>
          <w:p>
            <w:pPr>
              <w:pStyle w:val="TableContents"/>
              <w:spacing w:before="0" w:after="0"/>
              <w:ind w:left="0" w:right="0" w:hanging="0"/>
              <w:rPr/>
            </w:pPr>
            <w:r>
              <w:rPr/>
              <w:t> </w:t>
            </w:r>
          </w:p>
        </w:tc>
        <w:tc>
          <w:tcPr>
            <w:tcW w:w="178" w:type="dxa"/>
            <w:tcBorders/>
            <w:shd w:fill="CCEEFF" w:val="clear"/>
            <w:vAlign w:val="center"/>
          </w:tcPr>
          <w:p>
            <w:pPr>
              <w:pStyle w:val="TableContents"/>
              <w:spacing w:before="0" w:after="283"/>
              <w:rPr/>
            </w:pPr>
            <w:r>
              <w:rPr/>
              <w:t>$</w:t>
            </w:r>
          </w:p>
        </w:tc>
        <w:tc>
          <w:tcPr>
            <w:tcW w:w="1185" w:type="dxa"/>
            <w:tcBorders/>
            <w:shd w:fill="CCEEFF" w:val="clear"/>
            <w:vAlign w:val="center"/>
          </w:tcPr>
          <w:p>
            <w:pPr>
              <w:pStyle w:val="TableContents"/>
              <w:spacing w:before="0" w:after="283"/>
              <w:jc w:val="right"/>
              <w:rPr/>
            </w:pPr>
            <w:r>
              <w:rPr/>
              <w:t>13,880,504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13,880,504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8" w:type="dxa"/>
            <w:tcBorders/>
            <w:shd w:fill="CCEEFF" w:val="clear"/>
            <w:vAlign w:val="center"/>
          </w:tcPr>
          <w:p>
            <w:pPr>
              <w:pStyle w:val="TableContents"/>
              <w:spacing w:before="0" w:after="283"/>
              <w:rPr/>
            </w:pPr>
            <w:r>
              <w:rPr/>
              <w:t>$</w:t>
            </w:r>
          </w:p>
        </w:tc>
        <w:tc>
          <w:tcPr>
            <w:tcW w:w="1185" w:type="dxa"/>
            <w:tcBorders/>
            <w:shd w:fill="CCEEFF" w:val="clear"/>
            <w:vAlign w:val="center"/>
          </w:tcPr>
          <w:p>
            <w:pPr>
              <w:pStyle w:val="TableContents"/>
              <w:spacing w:before="0" w:after="283"/>
              <w:jc w:val="right"/>
              <w:rPr/>
            </w:pPr>
            <w:r>
              <w:rPr/>
              <w:t>12,318,336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12,318,336</w:t>
            </w:r>
          </w:p>
        </w:tc>
        <w:tc>
          <w:tcPr>
            <w:tcW w:w="138" w:type="dxa"/>
            <w:tcBorders/>
            <w:shd w:fill="CCEEFF" w:val="clear"/>
            <w:vAlign w:val="center"/>
          </w:tcPr>
          <w:p>
            <w:pPr>
              <w:pStyle w:val="TableContents"/>
              <w:spacing w:before="0" w:after="0"/>
              <w:ind w:left="0" w:right="0" w:hanging="0"/>
              <w:rPr/>
            </w:pPr>
            <w:r>
              <w:rPr/>
              <w:t> </w:t>
            </w:r>
          </w:p>
        </w:tc>
      </w:tr>
      <w:tr>
        <w:trPr/>
        <w:tc>
          <w:tcPr>
            <w:tcW w:w="4111"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Reinsurance receivables, net, Level 3 </w:t>
            </w:r>
          </w:p>
        </w:tc>
        <w:tc>
          <w:tcPr>
            <w:tcW w:w="90" w:type="dxa"/>
            <w:tcBorders/>
            <w:shd w:fill="FFFFFF" w:val="clear"/>
            <w:vAlign w:val="center"/>
          </w:tcPr>
          <w:p>
            <w:pPr>
              <w:pStyle w:val="TableContents"/>
              <w:spacing w:before="0" w:after="0"/>
              <w:ind w:left="0" w:right="0" w:hanging="0"/>
              <w:rPr/>
            </w:pPr>
            <w:r>
              <w:rPr/>
              <w:t> </w:t>
            </w:r>
          </w:p>
        </w:tc>
        <w:tc>
          <w:tcPr>
            <w:tcW w:w="178" w:type="dxa"/>
            <w:tcBorders/>
            <w:shd w:fill="FFFFFF" w:val="clear"/>
            <w:vAlign w:val="center"/>
          </w:tcPr>
          <w:p>
            <w:pPr>
              <w:pStyle w:val="TableContents"/>
              <w:spacing w:before="0" w:after="283"/>
              <w:rPr/>
            </w:pPr>
            <w:r>
              <w:rPr/>
              <w:t>$</w:t>
            </w:r>
          </w:p>
        </w:tc>
        <w:tc>
          <w:tcPr>
            <w:tcW w:w="1185" w:type="dxa"/>
            <w:tcBorders/>
            <w:shd w:fill="FFFFFF" w:val="clear"/>
            <w:vAlign w:val="center"/>
          </w:tcPr>
          <w:p>
            <w:pPr>
              <w:pStyle w:val="TableContents"/>
              <w:spacing w:before="0" w:after="283"/>
              <w:jc w:val="right"/>
              <w:rPr/>
            </w:pPr>
            <w:r>
              <w:rPr/>
              <w:t>66,465,061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130" w:type="dxa"/>
            <w:tcBorders/>
            <w:shd w:fill="FFFFFF" w:val="clear"/>
            <w:vAlign w:val="center"/>
          </w:tcPr>
          <w:p>
            <w:pPr>
              <w:pStyle w:val="TableContents"/>
              <w:spacing w:before="0" w:after="283"/>
              <w:jc w:val="right"/>
              <w:rPr/>
            </w:pPr>
            <w:r>
              <w:rPr/>
              <w:t>66,465,061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8" w:type="dxa"/>
            <w:tcBorders/>
            <w:shd w:fill="FFFFFF" w:val="clear"/>
            <w:vAlign w:val="center"/>
          </w:tcPr>
          <w:p>
            <w:pPr>
              <w:pStyle w:val="TableContents"/>
              <w:spacing w:before="0" w:after="283"/>
              <w:rPr/>
            </w:pPr>
            <w:r>
              <w:rPr/>
              <w:t>$</w:t>
            </w:r>
          </w:p>
        </w:tc>
        <w:tc>
          <w:tcPr>
            <w:tcW w:w="1185" w:type="dxa"/>
            <w:tcBorders/>
            <w:shd w:fill="FFFFFF" w:val="clear"/>
            <w:vAlign w:val="center"/>
          </w:tcPr>
          <w:p>
            <w:pPr>
              <w:pStyle w:val="TableContents"/>
              <w:spacing w:before="0" w:after="283"/>
              <w:jc w:val="right"/>
              <w:rPr/>
            </w:pPr>
            <w:r>
              <w:rPr/>
              <w:t>40,292,438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130" w:type="dxa"/>
            <w:tcBorders/>
            <w:shd w:fill="FFFFFF" w:val="clear"/>
            <w:vAlign w:val="center"/>
          </w:tcPr>
          <w:p>
            <w:pPr>
              <w:pStyle w:val="TableContents"/>
              <w:spacing w:before="0" w:after="283"/>
              <w:jc w:val="right"/>
              <w:rPr/>
            </w:pPr>
            <w:r>
              <w:rPr/>
              <w:t>40,292,438</w:t>
            </w:r>
          </w:p>
        </w:tc>
        <w:tc>
          <w:tcPr>
            <w:tcW w:w="138" w:type="dxa"/>
            <w:tcBorders/>
            <w:shd w:fill="FFFFFF" w:val="clear"/>
            <w:vAlign w:val="center"/>
          </w:tcPr>
          <w:p>
            <w:pPr>
              <w:pStyle w:val="TableContents"/>
              <w:spacing w:before="0" w:after="0"/>
              <w:ind w:left="0" w:right="0" w:hanging="0"/>
              <w:rPr/>
            </w:pPr>
            <w:r>
              <w:rPr/>
              <w:t> </w:t>
            </w:r>
          </w:p>
        </w:tc>
      </w:tr>
      <w:tr>
        <w:trPr/>
        <w:tc>
          <w:tcPr>
            <w:tcW w:w="4111"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Real estate, net of accumulated depreciation, Level 3 </w:t>
            </w:r>
          </w:p>
        </w:tc>
        <w:tc>
          <w:tcPr>
            <w:tcW w:w="90" w:type="dxa"/>
            <w:tcBorders/>
            <w:shd w:fill="CCEEFF" w:val="clear"/>
            <w:vAlign w:val="center"/>
          </w:tcPr>
          <w:p>
            <w:pPr>
              <w:pStyle w:val="TableContents"/>
              <w:spacing w:before="0" w:after="0"/>
              <w:ind w:left="0" w:right="0" w:hanging="0"/>
              <w:rPr/>
            </w:pPr>
            <w:r>
              <w:rPr/>
              <w:t> </w:t>
            </w:r>
          </w:p>
        </w:tc>
        <w:tc>
          <w:tcPr>
            <w:tcW w:w="178" w:type="dxa"/>
            <w:tcBorders/>
            <w:shd w:fill="CCEEFF" w:val="clear"/>
            <w:vAlign w:val="center"/>
          </w:tcPr>
          <w:p>
            <w:pPr>
              <w:pStyle w:val="TableContents"/>
              <w:spacing w:before="0" w:after="283"/>
              <w:rPr/>
            </w:pPr>
            <w:r>
              <w:rPr/>
              <w:t>$</w:t>
            </w:r>
          </w:p>
        </w:tc>
        <w:tc>
          <w:tcPr>
            <w:tcW w:w="1185" w:type="dxa"/>
            <w:tcBorders/>
            <w:shd w:fill="CCEEFF" w:val="clear"/>
            <w:vAlign w:val="center"/>
          </w:tcPr>
          <w:p>
            <w:pPr>
              <w:pStyle w:val="TableContents"/>
              <w:spacing w:before="0" w:after="283"/>
              <w:jc w:val="right"/>
              <w:rPr/>
            </w:pPr>
            <w:r>
              <w:rPr/>
              <w:t>2,050,644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2,800,000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8" w:type="dxa"/>
            <w:tcBorders/>
            <w:shd w:fill="CCEEFF" w:val="clear"/>
            <w:vAlign w:val="center"/>
          </w:tcPr>
          <w:p>
            <w:pPr>
              <w:pStyle w:val="TableContents"/>
              <w:spacing w:before="0" w:after="283"/>
              <w:rPr/>
            </w:pPr>
            <w:r>
              <w:rPr/>
              <w:t>$</w:t>
            </w:r>
          </w:p>
        </w:tc>
        <w:tc>
          <w:tcPr>
            <w:tcW w:w="1185" w:type="dxa"/>
            <w:tcBorders/>
            <w:shd w:fill="CCEEFF" w:val="clear"/>
            <w:vAlign w:val="center"/>
          </w:tcPr>
          <w:p>
            <w:pPr>
              <w:pStyle w:val="TableContents"/>
              <w:spacing w:before="0" w:after="283"/>
              <w:jc w:val="right"/>
              <w:rPr/>
            </w:pPr>
            <w:r>
              <w:rPr/>
              <w:t>2,144,464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3,025,000</w:t>
            </w:r>
          </w:p>
        </w:tc>
        <w:tc>
          <w:tcPr>
            <w:tcW w:w="138" w:type="dxa"/>
            <w:tcBorders/>
            <w:shd w:fill="CCEEFF" w:val="clear"/>
            <w:vAlign w:val="center"/>
          </w:tcPr>
          <w:p>
            <w:pPr>
              <w:pStyle w:val="TableContents"/>
              <w:spacing w:before="0" w:after="0"/>
              <w:ind w:left="0" w:right="0" w:hanging="0"/>
              <w:rPr/>
            </w:pPr>
            <w:r>
              <w:rPr/>
              <w:t> </w:t>
            </w:r>
          </w:p>
        </w:tc>
      </w:tr>
      <w:tr>
        <w:trPr/>
        <w:tc>
          <w:tcPr>
            <w:tcW w:w="4111"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Reinsurance balances payable, Level 3 </w:t>
            </w:r>
          </w:p>
        </w:tc>
        <w:tc>
          <w:tcPr>
            <w:tcW w:w="90" w:type="dxa"/>
            <w:tcBorders/>
            <w:shd w:fill="FFFFFF" w:val="clear"/>
            <w:vAlign w:val="center"/>
          </w:tcPr>
          <w:p>
            <w:pPr>
              <w:pStyle w:val="TableContents"/>
              <w:spacing w:before="0" w:after="0"/>
              <w:ind w:left="0" w:right="0" w:hanging="0"/>
              <w:rPr/>
            </w:pPr>
            <w:r>
              <w:rPr/>
              <w:t> </w:t>
            </w:r>
          </w:p>
        </w:tc>
        <w:tc>
          <w:tcPr>
            <w:tcW w:w="178" w:type="dxa"/>
            <w:tcBorders/>
            <w:shd w:fill="FFFFFF" w:val="clear"/>
            <w:vAlign w:val="center"/>
          </w:tcPr>
          <w:p>
            <w:pPr>
              <w:pStyle w:val="TableContents"/>
              <w:spacing w:before="0" w:after="283"/>
              <w:rPr/>
            </w:pPr>
            <w:r>
              <w:rPr/>
              <w:t>$</w:t>
            </w:r>
          </w:p>
        </w:tc>
        <w:tc>
          <w:tcPr>
            <w:tcW w:w="1185" w:type="dxa"/>
            <w:tcBorders/>
            <w:shd w:fill="FFFFFF" w:val="clear"/>
            <w:vAlign w:val="center"/>
          </w:tcPr>
          <w:p>
            <w:pPr>
              <w:pStyle w:val="TableContents"/>
              <w:spacing w:before="0" w:after="283"/>
              <w:jc w:val="right"/>
              <w:rPr/>
            </w:pPr>
            <w:r>
              <w:rPr/>
              <w:t>13,061,966</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130" w:type="dxa"/>
            <w:tcBorders/>
            <w:shd w:fill="FFFFFF" w:val="clear"/>
            <w:vAlign w:val="center"/>
          </w:tcPr>
          <w:p>
            <w:pPr>
              <w:pStyle w:val="TableContents"/>
              <w:spacing w:before="0" w:after="283"/>
              <w:jc w:val="right"/>
              <w:rPr/>
            </w:pPr>
            <w:r>
              <w:rPr/>
              <w:t>13,061,966</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8" w:type="dxa"/>
            <w:tcBorders/>
            <w:shd w:fill="FFFFFF" w:val="clear"/>
            <w:vAlign w:val="center"/>
          </w:tcPr>
          <w:p>
            <w:pPr>
              <w:pStyle w:val="TableContents"/>
              <w:spacing w:before="0" w:after="283"/>
              <w:rPr/>
            </w:pPr>
            <w:r>
              <w:rPr/>
              <w:t>$</w:t>
            </w:r>
          </w:p>
        </w:tc>
        <w:tc>
          <w:tcPr>
            <w:tcW w:w="1185" w:type="dxa"/>
            <w:tcBorders/>
            <w:shd w:fill="FFFFFF" w:val="clear"/>
            <w:vAlign w:val="center"/>
          </w:tcPr>
          <w:p>
            <w:pPr>
              <w:pStyle w:val="TableContents"/>
              <w:spacing w:before="0" w:after="283"/>
              <w:jc w:val="right"/>
              <w:rPr/>
            </w:pPr>
            <w:r>
              <w:rPr/>
              <w:t>12,961,568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130" w:type="dxa"/>
            <w:tcBorders/>
            <w:shd w:fill="FFFFFF" w:val="clear"/>
            <w:vAlign w:val="center"/>
          </w:tcPr>
          <w:p>
            <w:pPr>
              <w:pStyle w:val="TableContents"/>
              <w:spacing w:before="0" w:after="283"/>
              <w:jc w:val="right"/>
              <w:rPr/>
            </w:pPr>
            <w:r>
              <w:rPr/>
              <w:t>12,961,568</w:t>
            </w:r>
          </w:p>
        </w:tc>
        <w:tc>
          <w:tcPr>
            <w:tcW w:w="138" w:type="dxa"/>
            <w:tcBorders/>
            <w:shd w:fill="FFFF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Note 6 - Intangible Assets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Intangible assets consist of finite and indefinite life assets. Finite life intangible assets include customer and producer relationships and other identifiable intangibles. KICO’s insurance company license is considered an indefinite life intangible asset subject to annual impairment testing. All identified intangible assets of finite useful life were fully amortized as of December 31, 2022 and 2021.</w:t>
      </w:r>
    </w:p>
    <w:p>
      <w:pPr>
        <w:pStyle w:val="TextBody"/>
        <w:spacing w:before="0" w:after="0"/>
        <w:ind w:left="0" w:right="0" w:hanging="0"/>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F-27</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2022 AND 2021</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components of intangible assets and their useful lives, accumulated amortization, and net carrying value as of December 31, 2022 and 2021 are summarized as follows:</w:t>
      </w:r>
    </w:p>
    <w:p>
      <w:pPr>
        <w:pStyle w:val="TextBody"/>
        <w:spacing w:before="0" w:after="0"/>
        <w:ind w:left="0" w:right="0" w:hanging="0"/>
        <w:jc w:val="both"/>
        <w:rPr/>
      </w:pPr>
      <w:r>
        <w:rPr/>
        <w:t> </w:t>
      </w:r>
    </w:p>
    <w:tbl>
      <w:tblPr>
        <w:tblW w:w="7383" w:type="dxa"/>
        <w:jc w:val="left"/>
        <w:tblInd w:w="0" w:type="dxa"/>
        <w:tblCellMar>
          <w:top w:w="0" w:type="dxa"/>
          <w:left w:w="0" w:type="dxa"/>
          <w:bottom w:w="0" w:type="dxa"/>
          <w:right w:w="0" w:type="dxa"/>
        </w:tblCellMar>
      </w:tblPr>
      <w:tblGrid>
        <w:gridCol w:w="2510"/>
        <w:gridCol w:w="90"/>
        <w:gridCol w:w="163"/>
        <w:gridCol w:w="531"/>
        <w:gridCol w:w="90"/>
        <w:gridCol w:w="90"/>
        <w:gridCol w:w="170"/>
        <w:gridCol w:w="1010"/>
        <w:gridCol w:w="90"/>
        <w:gridCol w:w="90"/>
        <w:gridCol w:w="177"/>
        <w:gridCol w:w="1057"/>
        <w:gridCol w:w="90"/>
        <w:gridCol w:w="90"/>
        <w:gridCol w:w="170"/>
        <w:gridCol w:w="830"/>
        <w:gridCol w:w="135"/>
      </w:tblGrid>
      <w:tr>
        <w:trPr/>
        <w:tc>
          <w:tcPr>
            <w:tcW w:w="251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694"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Useful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Gross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234"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00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Net </w:t>
            </w:r>
          </w:p>
        </w:tc>
        <w:tc>
          <w:tcPr>
            <w:tcW w:w="135" w:type="dxa"/>
            <w:tcBorders/>
            <w:shd w:fill="auto" w:val="clear"/>
            <w:vAlign w:val="center"/>
          </w:tcPr>
          <w:p>
            <w:pPr>
              <w:pStyle w:val="TableContents"/>
              <w:spacing w:before="0" w:after="0"/>
              <w:ind w:left="0" w:right="0" w:hanging="0"/>
              <w:rPr/>
            </w:pPr>
            <w:r>
              <w:rPr>
                <w:rStyle w:val="StrongEmphasis"/>
              </w:rPr>
              <w:t> </w:t>
            </w:r>
          </w:p>
        </w:tc>
      </w:tr>
      <w:tr>
        <w:trPr/>
        <w:tc>
          <w:tcPr>
            <w:tcW w:w="251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694"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Life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18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Carrying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234"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Accumulated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00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Carrying </w:t>
            </w:r>
          </w:p>
        </w:tc>
        <w:tc>
          <w:tcPr>
            <w:tcW w:w="135" w:type="dxa"/>
            <w:tcBorders/>
            <w:shd w:fill="auto" w:val="clear"/>
            <w:vAlign w:val="center"/>
          </w:tcPr>
          <w:p>
            <w:pPr>
              <w:pStyle w:val="TableContents"/>
              <w:spacing w:before="0" w:after="0"/>
              <w:ind w:left="0" w:right="0" w:hanging="0"/>
              <w:rPr/>
            </w:pPr>
            <w:r>
              <w:rPr>
                <w:rStyle w:val="StrongEmphasis"/>
              </w:rPr>
              <w:t> </w:t>
            </w:r>
          </w:p>
        </w:tc>
      </w:tr>
      <w:tr>
        <w:trPr/>
        <w:tc>
          <w:tcPr>
            <w:tcW w:w="251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694"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(in yrs)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18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Value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234"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Amortization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00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Amount </w:t>
            </w:r>
          </w:p>
        </w:tc>
        <w:tc>
          <w:tcPr>
            <w:tcW w:w="135" w:type="dxa"/>
            <w:tcBorders/>
            <w:shd w:fill="auto" w:val="clear"/>
            <w:vAlign w:val="center"/>
          </w:tcPr>
          <w:p>
            <w:pPr>
              <w:pStyle w:val="TableContents"/>
              <w:spacing w:before="0" w:after="0"/>
              <w:ind w:left="0" w:right="0" w:hanging="0"/>
              <w:rPr/>
            </w:pPr>
            <w:r>
              <w:rPr/>
              <w:t> </w:t>
            </w:r>
          </w:p>
        </w:tc>
      </w:tr>
      <w:tr>
        <w:trPr/>
        <w:tc>
          <w:tcPr>
            <w:tcW w:w="2510" w:type="dxa"/>
            <w:tcBorders/>
            <w:shd w:fill="CCEEFF" w:val="clear"/>
            <w:vAlign w:val="center"/>
          </w:tcPr>
          <w:p>
            <w:pPr>
              <w:pStyle w:val="TableContents"/>
              <w:spacing w:before="0" w:after="283"/>
              <w:rPr/>
            </w:pPr>
            <w:r>
              <w:rPr/>
              <w:t xml:space="preserve">Insurance license </w:t>
            </w:r>
          </w:p>
        </w:tc>
        <w:tc>
          <w:tcPr>
            <w:tcW w:w="90" w:type="dxa"/>
            <w:tcBorders/>
            <w:shd w:fill="CCEEFF" w:val="clear"/>
            <w:vAlign w:val="center"/>
          </w:tcPr>
          <w:p>
            <w:pPr>
              <w:pStyle w:val="TableContents"/>
              <w:spacing w:before="0" w:after="0"/>
              <w:ind w:left="0" w:right="0" w:hanging="0"/>
              <w:rPr/>
            </w:pPr>
            <w:r>
              <w:rPr/>
              <w:t> </w:t>
            </w:r>
          </w:p>
        </w:tc>
        <w:tc>
          <w:tcPr>
            <w:tcW w:w="163" w:type="dxa"/>
            <w:tcBorders/>
            <w:shd w:fill="CCEEFF" w:val="clear"/>
            <w:vAlign w:val="center"/>
          </w:tcPr>
          <w:p>
            <w:pPr>
              <w:pStyle w:val="TableContents"/>
              <w:spacing w:before="0" w:after="0"/>
              <w:ind w:left="0" w:right="0" w:hanging="0"/>
              <w:rPr/>
            </w:pPr>
            <w:r>
              <w:rPr/>
              <w:t> </w:t>
            </w:r>
          </w:p>
        </w:tc>
        <w:tc>
          <w:tcPr>
            <w:tcW w:w="531"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500,000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7" w:type="dxa"/>
            <w:tcBorders/>
            <w:shd w:fill="CCEEFF" w:val="clear"/>
            <w:vAlign w:val="center"/>
          </w:tcPr>
          <w:p>
            <w:pPr>
              <w:pStyle w:val="TableContents"/>
              <w:spacing w:before="0" w:after="283"/>
              <w:rPr/>
            </w:pPr>
            <w:r>
              <w:rPr/>
              <w:t>$</w:t>
            </w:r>
          </w:p>
        </w:tc>
        <w:tc>
          <w:tcPr>
            <w:tcW w:w="1057"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830" w:type="dxa"/>
            <w:tcBorders/>
            <w:shd w:fill="CCEEFF" w:val="clear"/>
            <w:vAlign w:val="center"/>
          </w:tcPr>
          <w:p>
            <w:pPr>
              <w:pStyle w:val="TableContents"/>
              <w:spacing w:before="0" w:after="283"/>
              <w:jc w:val="right"/>
              <w:rPr/>
            </w:pPr>
            <w:r>
              <w:rPr/>
              <w:t>500,000</w:t>
            </w:r>
          </w:p>
        </w:tc>
        <w:tc>
          <w:tcPr>
            <w:tcW w:w="135" w:type="dxa"/>
            <w:tcBorders/>
            <w:shd w:fill="CCEEFF" w:val="clear"/>
            <w:vAlign w:val="center"/>
          </w:tcPr>
          <w:p>
            <w:pPr>
              <w:pStyle w:val="TableContents"/>
              <w:spacing w:before="0" w:after="0"/>
              <w:ind w:left="0" w:right="0" w:hanging="0"/>
              <w:rPr/>
            </w:pPr>
            <w:r>
              <w:rPr/>
              <w:t> </w:t>
            </w:r>
          </w:p>
        </w:tc>
      </w:tr>
      <w:tr>
        <w:trPr/>
        <w:tc>
          <w:tcPr>
            <w:tcW w:w="2510" w:type="dxa"/>
            <w:tcBorders/>
            <w:shd w:fill="FFFFFF" w:val="clear"/>
            <w:vAlign w:val="center"/>
          </w:tcPr>
          <w:p>
            <w:pPr>
              <w:pStyle w:val="TableContents"/>
              <w:spacing w:before="0" w:after="283"/>
              <w:rPr/>
            </w:pPr>
            <w:r>
              <w:rPr/>
              <w:t xml:space="preserve">Customer relationships </w:t>
            </w:r>
          </w:p>
        </w:tc>
        <w:tc>
          <w:tcPr>
            <w:tcW w:w="90" w:type="dxa"/>
            <w:tcBorders/>
            <w:shd w:fill="FFFFFF" w:val="clear"/>
            <w:vAlign w:val="center"/>
          </w:tcPr>
          <w:p>
            <w:pPr>
              <w:pStyle w:val="TableContents"/>
              <w:spacing w:before="0" w:after="0"/>
              <w:ind w:left="0" w:right="0" w:hanging="0"/>
              <w:rPr/>
            </w:pPr>
            <w:r>
              <w:rPr/>
              <w:t> </w:t>
            </w:r>
          </w:p>
        </w:tc>
        <w:tc>
          <w:tcPr>
            <w:tcW w:w="163" w:type="dxa"/>
            <w:tcBorders/>
            <w:shd w:fill="FFFFFF" w:val="clear"/>
            <w:vAlign w:val="center"/>
          </w:tcPr>
          <w:p>
            <w:pPr>
              <w:pStyle w:val="TableContents"/>
              <w:spacing w:before="0" w:after="0"/>
              <w:ind w:left="0" w:right="0" w:hanging="0"/>
              <w:rPr/>
            </w:pPr>
            <w:r>
              <w:rPr/>
              <w:t> </w:t>
            </w:r>
          </w:p>
        </w:tc>
        <w:tc>
          <w:tcPr>
            <w:tcW w:w="531" w:type="dxa"/>
            <w:tcBorders/>
            <w:shd w:fill="FFFFFF" w:val="clear"/>
            <w:vAlign w:val="center"/>
          </w:tcPr>
          <w:p>
            <w:pPr>
              <w:pStyle w:val="TableContents"/>
              <w:spacing w:before="0" w:after="283"/>
              <w:jc w:val="right"/>
              <w:rPr/>
            </w:pPr>
            <w:r>
              <w:rPr/>
              <w:t>10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3,400,000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7" w:type="dxa"/>
            <w:tcBorders/>
            <w:shd w:fill="FFFFFF" w:val="clear"/>
            <w:vAlign w:val="center"/>
          </w:tcPr>
          <w:p>
            <w:pPr>
              <w:pStyle w:val="TableContents"/>
              <w:spacing w:before="0" w:after="0"/>
              <w:ind w:left="0" w:right="0" w:hanging="0"/>
              <w:rPr/>
            </w:pPr>
            <w:r>
              <w:rPr/>
              <w:t> </w:t>
            </w:r>
          </w:p>
        </w:tc>
        <w:tc>
          <w:tcPr>
            <w:tcW w:w="1057" w:type="dxa"/>
            <w:tcBorders/>
            <w:shd w:fill="FFFFFF" w:val="clear"/>
            <w:vAlign w:val="center"/>
          </w:tcPr>
          <w:p>
            <w:pPr>
              <w:pStyle w:val="TableContents"/>
              <w:spacing w:before="0" w:after="283"/>
              <w:jc w:val="right"/>
              <w:rPr/>
            </w:pPr>
            <w:r>
              <w:rPr/>
              <w:t>3,400,000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w:t>
            </w:r>
          </w:p>
        </w:tc>
        <w:tc>
          <w:tcPr>
            <w:tcW w:w="135" w:type="dxa"/>
            <w:tcBorders/>
            <w:shd w:fill="FFFFFF" w:val="clear"/>
            <w:vAlign w:val="center"/>
          </w:tcPr>
          <w:p>
            <w:pPr>
              <w:pStyle w:val="TableContents"/>
              <w:spacing w:before="0" w:after="0"/>
              <w:ind w:left="0" w:right="0" w:hanging="0"/>
              <w:rPr/>
            </w:pPr>
            <w:r>
              <w:rPr/>
              <w:t> </w:t>
            </w:r>
          </w:p>
        </w:tc>
      </w:tr>
      <w:tr>
        <w:trPr/>
        <w:tc>
          <w:tcPr>
            <w:tcW w:w="2510"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Other identifiable intangibles </w:t>
            </w:r>
          </w:p>
        </w:tc>
        <w:tc>
          <w:tcPr>
            <w:tcW w:w="90" w:type="dxa"/>
            <w:tcBorders/>
            <w:shd w:fill="CCEEFF" w:val="clear"/>
            <w:vAlign w:val="center"/>
          </w:tcPr>
          <w:p>
            <w:pPr>
              <w:pStyle w:val="TableContents"/>
              <w:spacing w:before="0" w:after="0"/>
              <w:ind w:left="0" w:right="0" w:hanging="0"/>
              <w:rPr/>
            </w:pPr>
            <w:r>
              <w:rPr/>
              <w:t> </w:t>
            </w:r>
          </w:p>
        </w:tc>
        <w:tc>
          <w:tcPr>
            <w:tcW w:w="163"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31" w:type="dxa"/>
            <w:tcBorders/>
            <w:shd w:fill="CCEEFF" w:val="clear"/>
            <w:vAlign w:val="center"/>
          </w:tcPr>
          <w:p>
            <w:pPr>
              <w:pStyle w:val="TableContents"/>
              <w:spacing w:before="0" w:after="283"/>
              <w:jc w:val="right"/>
              <w:rPr/>
            </w:pPr>
            <w:r>
              <w:rPr/>
              <w:t>7</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950,000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57" w:type="dxa"/>
            <w:tcBorders>
              <w:bottom w:val="single" w:sz="2" w:space="0" w:color="000000"/>
            </w:tcBorders>
            <w:shd w:fill="CCEEFF" w:val="clear"/>
            <w:tcMar>
              <w:bottom w:w="28" w:type="dxa"/>
            </w:tcMar>
            <w:vAlign w:val="center"/>
          </w:tcPr>
          <w:p>
            <w:pPr>
              <w:pStyle w:val="TableContents"/>
              <w:spacing w:before="0" w:after="283"/>
              <w:jc w:val="right"/>
              <w:rPr/>
            </w:pPr>
            <w:r>
              <w:rPr/>
              <w:t>950,000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35" w:type="dxa"/>
            <w:tcBorders/>
            <w:shd w:fill="CCEEFF" w:val="clear"/>
            <w:vAlign w:val="center"/>
          </w:tcPr>
          <w:p>
            <w:pPr>
              <w:pStyle w:val="TableContents"/>
              <w:spacing w:before="0" w:after="0"/>
              <w:ind w:left="0" w:right="0" w:hanging="0"/>
              <w:rPr/>
            </w:pPr>
            <w:r>
              <w:rPr/>
              <w:t> </w:t>
            </w:r>
          </w:p>
        </w:tc>
      </w:tr>
      <w:tr>
        <w:trPr/>
        <w:tc>
          <w:tcPr>
            <w:tcW w:w="2510" w:type="dxa"/>
            <w:tcBorders/>
            <w:shd w:fill="FFFFFF" w:val="clear"/>
            <w:vAlign w:val="center"/>
          </w:tcPr>
          <w:p>
            <w:pPr>
              <w:pStyle w:val="TableContents"/>
              <w:spacing w:before="0" w:after="283"/>
              <w:rPr/>
            </w:pPr>
            <w:r>
              <w:rPr/>
              <w:t xml:space="preserve">Total </w:t>
            </w:r>
          </w:p>
        </w:tc>
        <w:tc>
          <w:tcPr>
            <w:tcW w:w="90" w:type="dxa"/>
            <w:tcBorders/>
            <w:shd w:fill="FFFFFF" w:val="clear"/>
            <w:vAlign w:val="center"/>
          </w:tcPr>
          <w:p>
            <w:pPr>
              <w:pStyle w:val="TableContents"/>
              <w:spacing w:before="0" w:after="0"/>
              <w:ind w:left="0" w:right="0" w:hanging="0"/>
              <w:rPr/>
            </w:pPr>
            <w:r>
              <w:rPr/>
              <w:t> </w:t>
            </w:r>
          </w:p>
        </w:tc>
        <w:tc>
          <w:tcPr>
            <w:tcW w:w="163" w:type="dxa"/>
            <w:tcBorders/>
            <w:shd w:fill="FFFFFF" w:val="clear"/>
            <w:vAlign w:val="center"/>
          </w:tcPr>
          <w:p>
            <w:pPr>
              <w:pStyle w:val="TableContents"/>
              <w:spacing w:before="0" w:after="0"/>
              <w:ind w:left="0" w:right="0" w:hanging="0"/>
              <w:rPr/>
            </w:pPr>
            <w:r>
              <w:rPr/>
              <w:t> </w:t>
            </w:r>
          </w:p>
        </w:tc>
        <w:tc>
          <w:tcPr>
            <w:tcW w:w="531"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5" w:space="0" w:color="000000"/>
            </w:tcBorders>
            <w:shd w:fill="FFFFFF" w:val="clear"/>
            <w:tcMar>
              <w:bottom w:w="28" w:type="dxa"/>
            </w:tcMar>
            <w:vAlign w:val="center"/>
          </w:tcPr>
          <w:p>
            <w:pPr>
              <w:pStyle w:val="TableContents"/>
              <w:spacing w:before="0" w:after="283"/>
              <w:rPr/>
            </w:pPr>
            <w:r>
              <w:rPr/>
              <w:t>$</w:t>
            </w:r>
          </w:p>
        </w:tc>
        <w:tc>
          <w:tcPr>
            <w:tcW w:w="1010" w:type="dxa"/>
            <w:tcBorders>
              <w:bottom w:val="double" w:sz="5" w:space="0" w:color="000000"/>
            </w:tcBorders>
            <w:shd w:fill="FFFFFF" w:val="clear"/>
            <w:tcMar>
              <w:bottom w:w="28" w:type="dxa"/>
            </w:tcMar>
            <w:vAlign w:val="center"/>
          </w:tcPr>
          <w:p>
            <w:pPr>
              <w:pStyle w:val="TableContents"/>
              <w:spacing w:before="0" w:after="283"/>
              <w:jc w:val="right"/>
              <w:rPr/>
            </w:pPr>
            <w:r>
              <w:rPr/>
              <w:t>4,850,000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7" w:type="dxa"/>
            <w:tcBorders>
              <w:bottom w:val="double" w:sz="5" w:space="0" w:color="000000"/>
            </w:tcBorders>
            <w:shd w:fill="FFFFFF" w:val="clear"/>
            <w:tcMar>
              <w:bottom w:w="28" w:type="dxa"/>
            </w:tcMar>
            <w:vAlign w:val="center"/>
          </w:tcPr>
          <w:p>
            <w:pPr>
              <w:pStyle w:val="TableContents"/>
              <w:spacing w:before="0" w:after="283"/>
              <w:rPr/>
            </w:pPr>
            <w:r>
              <w:rPr/>
              <w:t>$</w:t>
            </w:r>
          </w:p>
        </w:tc>
        <w:tc>
          <w:tcPr>
            <w:tcW w:w="1057" w:type="dxa"/>
            <w:tcBorders>
              <w:bottom w:val="double" w:sz="5" w:space="0" w:color="000000"/>
            </w:tcBorders>
            <w:shd w:fill="FFFFFF" w:val="clear"/>
            <w:tcMar>
              <w:bottom w:w="28" w:type="dxa"/>
            </w:tcMar>
            <w:vAlign w:val="center"/>
          </w:tcPr>
          <w:p>
            <w:pPr>
              <w:pStyle w:val="TableContents"/>
              <w:spacing w:before="0" w:after="283"/>
              <w:jc w:val="right"/>
              <w:rPr/>
            </w:pPr>
            <w:r>
              <w:rPr/>
              <w:t>4,350,000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5" w:space="0" w:color="000000"/>
            </w:tcBorders>
            <w:shd w:fill="FFFFFF" w:val="clear"/>
            <w:tcMar>
              <w:bottom w:w="28" w:type="dxa"/>
            </w:tcMar>
            <w:vAlign w:val="center"/>
          </w:tcPr>
          <w:p>
            <w:pPr>
              <w:pStyle w:val="TableContents"/>
              <w:spacing w:before="0" w:after="283"/>
              <w:rPr/>
            </w:pPr>
            <w:r>
              <w:rPr/>
              <w:t>$</w:t>
            </w:r>
          </w:p>
        </w:tc>
        <w:tc>
          <w:tcPr>
            <w:tcW w:w="830" w:type="dxa"/>
            <w:tcBorders>
              <w:bottom w:val="double" w:sz="5" w:space="0" w:color="000000"/>
            </w:tcBorders>
            <w:shd w:fill="FFFFFF" w:val="clear"/>
            <w:tcMar>
              <w:bottom w:w="28" w:type="dxa"/>
            </w:tcMar>
            <w:vAlign w:val="center"/>
          </w:tcPr>
          <w:p>
            <w:pPr>
              <w:pStyle w:val="TableContents"/>
              <w:spacing w:before="0" w:after="283"/>
              <w:jc w:val="right"/>
              <w:rPr/>
            </w:pPr>
            <w:r>
              <w:rPr/>
              <w:t>500,000</w:t>
            </w:r>
          </w:p>
        </w:tc>
        <w:tc>
          <w:tcPr>
            <w:tcW w:w="135" w:type="dxa"/>
            <w:tcBorders/>
            <w:shd w:fill="FFFFFF" w:val="clear"/>
            <w:vAlign w:val="center"/>
          </w:tcPr>
          <w:p>
            <w:pPr>
              <w:pStyle w:val="TableContents"/>
              <w:spacing w:before="0" w:after="0"/>
              <w:ind w:left="0" w:right="0" w:hanging="0"/>
              <w:rPr/>
            </w:pPr>
            <w:r>
              <w:rPr/>
              <w:t> </w:t>
            </w:r>
          </w:p>
        </w:tc>
      </w:tr>
    </w:tbl>
    <w:p>
      <w:pPr>
        <w:pStyle w:val="TextBody"/>
        <w:spacing w:before="0" w:after="0"/>
        <w:ind w:left="0" w:right="0" w:hanging="0"/>
        <w:rPr/>
      </w:pPr>
      <w:r>
        <w:rPr/>
        <w:t xml:space="preserve">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 xml:space="preserve">Intangible asset impairment testing and amortization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Company performs an analysis annually as of December 31, or sooner if there are indicators that the asset may be impaired, to identify potential impairment of intangible assets and measures the amount of any impairment loss that may need to be recognized. Intangible asset impairment testing requires an evaluation of the estimated fair value of each identified intangible asset to its carrying value. An impairment charge would be recorded if the estimated fair value is less than the carrying amount of the intangible asset. No impairments have been identified for the years ended December 31, 2022 and 2021.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Company recorded no amortization expense related to intangible assets for the years ended December 31, 2022 and 2021. </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Note 7 - Reinsurance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Effective December 31, 2021, the Company entered into a quota share reinsurance treaty for its personal lines business, which primarily consists of homeowners’ and dwelling fire policies, covering the period from December 31, 2021 through January 1, 2023 (“2021/2023 Treaty”). Upon the expiration of the 2021/2023 Treaty on January 1, 2023, the Company entered into a new quota share reinsurance treaty for its personal lines business, covering the period from January 1, 2023 through January 1, 2024 (“2023/2024 Treaty”).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F-28</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2022 AND 2021</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Company’s excess of loss and catastrophe reinsurance treaties expired on June 30, 2022 and the Company entered into new excess of loss and catastrophe reinsurance treaties effective July 1, 2022. Effective October 20, 2021, the Company entered into a stub catastrophe reinsurance treaty covering the period from October 20, 2021 through December 31, 2021. The treaty provided reinsurance coverage for catastrophe losses of $5,000,000 in excess of $5,000,000. Effective January 1, 2022, the Company entered into an underlying excess of loss reinsurance treaty (“Underlying XOL Treaty”) covering the period from January 1, 2022 through January 1, 2023. The treaty provides 50% reinsurance coverage for losses of $400,000 in excess of $600,000. Losses from named storms are excluded from the treaty. Effective January 1, 2023, the Underlying XOL Treaty was renewed covering the period from January 1, 2023 through January 1, 2024. Material terms for reinsurance treaties in effect for the treaty years shown below are as follows:</w:t>
      </w:r>
    </w:p>
    <w:p>
      <w:pPr>
        <w:pStyle w:val="TextBody"/>
        <w:spacing w:before="0" w:after="0"/>
        <w:ind w:left="0" w:right="0" w:hanging="0"/>
        <w:jc w:val="both"/>
        <w:rPr/>
      </w:pPr>
      <w:r>
        <w:rPr/>
        <w:t> </w:t>
      </w:r>
    </w:p>
    <w:tbl>
      <w:tblPr>
        <w:tblW w:w="11380" w:type="dxa"/>
        <w:jc w:val="left"/>
        <w:tblInd w:w="0" w:type="dxa"/>
        <w:tblCellMar>
          <w:top w:w="0" w:type="dxa"/>
          <w:left w:w="0" w:type="dxa"/>
          <w:bottom w:w="0" w:type="dxa"/>
          <w:right w:w="0" w:type="dxa"/>
        </w:tblCellMar>
      </w:tblPr>
      <w:tblGrid>
        <w:gridCol w:w="1235"/>
        <w:gridCol w:w="90"/>
        <w:gridCol w:w="170"/>
        <w:gridCol w:w="1130"/>
        <w:gridCol w:w="245"/>
        <w:gridCol w:w="90"/>
        <w:gridCol w:w="170"/>
        <w:gridCol w:w="1250"/>
        <w:gridCol w:w="245"/>
        <w:gridCol w:w="90"/>
        <w:gridCol w:w="170"/>
        <w:gridCol w:w="1250"/>
        <w:gridCol w:w="245"/>
        <w:gridCol w:w="90"/>
        <w:gridCol w:w="170"/>
        <w:gridCol w:w="1250"/>
        <w:gridCol w:w="245"/>
        <w:gridCol w:w="90"/>
        <w:gridCol w:w="170"/>
        <w:gridCol w:w="1250"/>
        <w:gridCol w:w="90"/>
        <w:gridCol w:w="90"/>
        <w:gridCol w:w="170"/>
        <w:gridCol w:w="1250"/>
        <w:gridCol w:w="135"/>
      </w:tblGrid>
      <w:tr>
        <w:trPr/>
        <w:tc>
          <w:tcPr>
            <w:tcW w:w="123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920" w:type="dxa"/>
            <w:gridSpan w:val="2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Treaty Period </w:t>
            </w:r>
          </w:p>
        </w:tc>
        <w:tc>
          <w:tcPr>
            <w:tcW w:w="135" w:type="dxa"/>
            <w:tcBorders/>
            <w:shd w:fill="auto" w:val="clear"/>
            <w:vAlign w:val="center"/>
          </w:tcPr>
          <w:p>
            <w:pPr>
              <w:pStyle w:val="TableContents"/>
              <w:spacing w:before="0" w:after="0"/>
              <w:ind w:left="0" w:right="0" w:hanging="0"/>
              <w:rPr/>
            </w:pPr>
            <w:r>
              <w:rPr/>
              <w:t> </w:t>
            </w:r>
          </w:p>
        </w:tc>
      </w:tr>
      <w:tr>
        <w:trPr/>
        <w:tc>
          <w:tcPr>
            <w:tcW w:w="123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055"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2023/2024 Treaty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175"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2021/2023 Treaty</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0"/>
              <w:ind w:left="0" w:right="0" w:hanging="0"/>
              <w:rPr/>
            </w:pPr>
            <w:r>
              <w:rPr/>
              <w:t> </w:t>
            </w:r>
          </w:p>
        </w:tc>
      </w:tr>
      <w:tr>
        <w:trPr/>
        <w:tc>
          <w:tcPr>
            <w:tcW w:w="123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July 1,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January 1,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July 1,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December 31,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July 1,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December 31, </w:t>
            </w:r>
          </w:p>
        </w:tc>
        <w:tc>
          <w:tcPr>
            <w:tcW w:w="135" w:type="dxa"/>
            <w:tcBorders/>
            <w:shd w:fill="auto" w:val="clear"/>
            <w:vAlign w:val="center"/>
          </w:tcPr>
          <w:p>
            <w:pPr>
              <w:pStyle w:val="TableContents"/>
              <w:spacing w:before="0" w:after="0"/>
              <w:ind w:left="0" w:right="0" w:hanging="0"/>
              <w:rPr/>
            </w:pPr>
            <w:r>
              <w:rPr/>
              <w:t> </w:t>
            </w:r>
          </w:p>
        </w:tc>
      </w:tr>
      <w:tr>
        <w:trPr/>
        <w:tc>
          <w:tcPr>
            <w:tcW w:w="123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2023</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2023</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2022</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2021</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2021</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2020</w:t>
            </w:r>
          </w:p>
        </w:tc>
        <w:tc>
          <w:tcPr>
            <w:tcW w:w="135" w:type="dxa"/>
            <w:tcBorders/>
            <w:shd w:fill="auto" w:val="clear"/>
            <w:vAlign w:val="center"/>
          </w:tcPr>
          <w:p>
            <w:pPr>
              <w:pStyle w:val="TableContents"/>
              <w:spacing w:before="0" w:after="0"/>
              <w:ind w:left="0" w:right="0" w:hanging="0"/>
              <w:rPr/>
            </w:pPr>
            <w:r>
              <w:rPr/>
              <w:t> </w:t>
            </w:r>
          </w:p>
        </w:tc>
      </w:tr>
      <w:tr>
        <w:trPr/>
        <w:tc>
          <w:tcPr>
            <w:tcW w:w="123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to</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to</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to</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to</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to</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to</w:t>
            </w:r>
          </w:p>
        </w:tc>
        <w:tc>
          <w:tcPr>
            <w:tcW w:w="135" w:type="dxa"/>
            <w:tcBorders/>
            <w:shd w:fill="auto" w:val="clear"/>
            <w:vAlign w:val="center"/>
          </w:tcPr>
          <w:p>
            <w:pPr>
              <w:pStyle w:val="TableContents"/>
              <w:spacing w:before="0" w:after="0"/>
              <w:ind w:left="0" w:right="0" w:hanging="0"/>
              <w:rPr/>
            </w:pPr>
            <w:r>
              <w:rPr/>
              <w:t> </w:t>
            </w:r>
          </w:p>
        </w:tc>
      </w:tr>
      <w:tr>
        <w:trPr/>
        <w:tc>
          <w:tcPr>
            <w:tcW w:w="123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January 1,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June 30,</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January 1,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June 30,</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December 30,</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June 30,</w:t>
            </w:r>
          </w:p>
        </w:tc>
        <w:tc>
          <w:tcPr>
            <w:tcW w:w="135" w:type="dxa"/>
            <w:tcBorders/>
            <w:shd w:fill="auto" w:val="clear"/>
            <w:vAlign w:val="center"/>
          </w:tcPr>
          <w:p>
            <w:pPr>
              <w:pStyle w:val="TableContents"/>
              <w:spacing w:before="0" w:after="0"/>
              <w:ind w:left="0" w:right="0" w:hanging="0"/>
              <w:rPr/>
            </w:pPr>
            <w:r>
              <w:rPr/>
              <w:t> </w:t>
            </w:r>
          </w:p>
        </w:tc>
      </w:tr>
      <w:tr>
        <w:trPr/>
        <w:tc>
          <w:tcPr>
            <w:tcW w:w="1235"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Fonts w:ascii="times new roman" w:hAnsi="times new roman"/>
                <w:sz w:val="20"/>
              </w:rPr>
              <w:t xml:space="preserve">Line of Business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2024</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2023</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2023</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2022</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2021</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2021</w:t>
            </w:r>
          </w:p>
        </w:tc>
        <w:tc>
          <w:tcPr>
            <w:tcW w:w="135" w:type="dxa"/>
            <w:tcBorders/>
            <w:shd w:fill="auto" w:val="clear"/>
            <w:vAlign w:val="center"/>
          </w:tcPr>
          <w:p>
            <w:pPr>
              <w:pStyle w:val="TableContents"/>
              <w:spacing w:before="0" w:after="0"/>
              <w:ind w:left="0" w:right="0" w:hanging="0"/>
              <w:rPr/>
            </w:pPr>
            <w:r>
              <w:rPr/>
              <w:t> </w:t>
            </w:r>
          </w:p>
        </w:tc>
      </w:tr>
      <w:tr>
        <w:trPr/>
        <w:tc>
          <w:tcPr>
            <w:tcW w:w="123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1235"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u w:val="single"/>
              </w:rPr>
              <w:t>Personal Lines</w:t>
            </w:r>
            <w:r>
              <w:rPr>
                <w:rFonts w:ascii="times new roman" w:hAnsi="times new roman"/>
                <w:sz w:val="20"/>
              </w:rPr>
              <w:t>:</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123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 xml:space="preserve">Homeowners, dwelling fire and and canine legal liability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225" w:right="0" w:hanging="0"/>
              <w:rPr/>
            </w:pPr>
            <w:r>
              <w:rPr/>
              <w:t> </w:t>
            </w:r>
          </w:p>
        </w:tc>
      </w:tr>
      <w:tr>
        <w:trPr/>
        <w:tc>
          <w:tcPr>
            <w:tcW w:w="1235" w:type="dxa"/>
            <w:tcBorders/>
            <w:shd w:fill="auto" w:val="clear"/>
            <w:vAlign w:val="center"/>
          </w:tcPr>
          <w:p>
            <w:pPr>
              <w:pStyle w:val="TableContents"/>
              <w:spacing w:before="0" w:after="0"/>
              <w:ind w:left="225" w:right="0" w:firstLine="225"/>
              <w:rPr>
                <w:rFonts w:ascii="times new roman" w:hAnsi="times new roman"/>
                <w:sz w:val="20"/>
              </w:rPr>
            </w:pPr>
            <w:r>
              <w:rPr>
                <w:rFonts w:ascii="times new roman" w:hAnsi="times new roman"/>
                <w:sz w:val="20"/>
              </w:rPr>
              <w:t>Quota share treaty:</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1235" w:type="dxa"/>
            <w:tcBorders/>
            <w:shd w:fill="CCEEFF" w:val="clear"/>
            <w:vAlign w:val="center"/>
          </w:tcPr>
          <w:p>
            <w:pPr>
              <w:pStyle w:val="TableContents"/>
              <w:spacing w:before="0" w:after="0"/>
              <w:ind w:left="225" w:right="0" w:firstLine="225"/>
              <w:rPr>
                <w:rFonts w:ascii="times new roman" w:hAnsi="times new roman"/>
                <w:sz w:val="20"/>
              </w:rPr>
            </w:pPr>
            <w:r>
              <w:rPr>
                <w:rFonts w:ascii="times new roman" w:hAnsi="times new roman"/>
                <w:sz w:val="20"/>
              </w:rPr>
              <w:t>Percent ceded (9)</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30</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30</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30</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30</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420" w:type="dxa"/>
            <w:gridSpan w:val="2"/>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None (5)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20" w:type="dxa"/>
            <w:gridSpan w:val="2"/>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None (5)</w:t>
            </w:r>
          </w:p>
        </w:tc>
        <w:tc>
          <w:tcPr>
            <w:tcW w:w="135" w:type="dxa"/>
            <w:tcBorders/>
            <w:shd w:fill="CCEEFF" w:val="clear"/>
            <w:vAlign w:val="center"/>
          </w:tcPr>
          <w:p>
            <w:pPr>
              <w:pStyle w:val="TableContents"/>
              <w:spacing w:before="0" w:after="0"/>
              <w:ind w:left="0" w:right="0" w:hanging="0"/>
              <w:rPr/>
            </w:pPr>
            <w:r>
              <w:rPr/>
              <w:t> </w:t>
            </w:r>
          </w:p>
        </w:tc>
      </w:tr>
      <w:tr>
        <w:trPr/>
        <w:tc>
          <w:tcPr>
            <w:tcW w:w="1235" w:type="dxa"/>
            <w:tcBorders/>
            <w:shd w:fill="FFFFFF" w:val="clear"/>
            <w:vAlign w:val="center"/>
          </w:tcPr>
          <w:p>
            <w:pPr>
              <w:pStyle w:val="TableContents"/>
              <w:spacing w:before="0" w:after="0"/>
              <w:ind w:left="225" w:right="0" w:hanging="0"/>
              <w:rPr>
                <w:rFonts w:ascii="times new roman" w:hAnsi="times new roman"/>
                <w:sz w:val="20"/>
              </w:rPr>
            </w:pPr>
            <w:r>
              <w:rPr>
                <w:rFonts w:ascii="times new roman" w:hAnsi="times new roman"/>
                <w:sz w:val="20"/>
              </w:rPr>
              <w:t>Risk retained on intial $1,000,000 of losses (5) (7) (8) (9)</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130" w:type="dxa"/>
            <w:tcBorders/>
            <w:shd w:fill="FFFFFF" w:val="clear"/>
            <w:vAlign w:val="center"/>
          </w:tcPr>
          <w:p>
            <w:pPr>
              <w:pStyle w:val="TableContents"/>
              <w:spacing w:before="0" w:after="283"/>
              <w:jc w:val="right"/>
              <w:rPr/>
            </w:pPr>
            <w:r>
              <w:rPr/>
              <w:t>700,000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700,000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700,000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700,000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1,000,000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1,000,000</w:t>
            </w:r>
          </w:p>
        </w:tc>
        <w:tc>
          <w:tcPr>
            <w:tcW w:w="135" w:type="dxa"/>
            <w:tcBorders/>
            <w:shd w:fill="FFFFFF" w:val="clear"/>
            <w:vAlign w:val="center"/>
          </w:tcPr>
          <w:p>
            <w:pPr>
              <w:pStyle w:val="TableContents"/>
              <w:spacing w:before="0" w:after="0"/>
              <w:ind w:left="0" w:right="0" w:hanging="0"/>
              <w:rPr/>
            </w:pPr>
            <w:r>
              <w:rPr/>
              <w:t> </w:t>
            </w:r>
          </w:p>
        </w:tc>
      </w:tr>
      <w:tr>
        <w:trPr/>
        <w:tc>
          <w:tcPr>
            <w:tcW w:w="1235" w:type="dxa"/>
            <w:tcBorders/>
            <w:shd w:fill="CCEEFF" w:val="clear"/>
            <w:vAlign w:val="center"/>
          </w:tcPr>
          <w:p>
            <w:pPr>
              <w:pStyle w:val="TableContents"/>
              <w:spacing w:before="0" w:after="0"/>
              <w:ind w:left="225" w:right="0" w:hanging="0"/>
              <w:rPr>
                <w:rFonts w:ascii="times new roman" w:hAnsi="times new roman"/>
                <w:sz w:val="20"/>
              </w:rPr>
            </w:pPr>
            <w:r>
              <w:rPr>
                <w:rFonts w:ascii="times new roman" w:hAnsi="times new roman"/>
                <w:sz w:val="20"/>
              </w:rPr>
              <w:t>Losses per occurrence subject to quota share reinsurance coverage</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1,000,000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1,000,000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1,000,000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1,000,000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20" w:type="dxa"/>
            <w:gridSpan w:val="2"/>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None (5)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20" w:type="dxa"/>
            <w:gridSpan w:val="2"/>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None (5)</w:t>
            </w:r>
          </w:p>
        </w:tc>
        <w:tc>
          <w:tcPr>
            <w:tcW w:w="135" w:type="dxa"/>
            <w:tcBorders/>
            <w:shd w:fill="CCEEFF" w:val="clear"/>
            <w:vAlign w:val="center"/>
          </w:tcPr>
          <w:p>
            <w:pPr>
              <w:pStyle w:val="TableContents"/>
              <w:spacing w:before="0" w:after="0"/>
              <w:ind w:left="0" w:right="0" w:hanging="0"/>
              <w:rPr/>
            </w:pPr>
            <w:r>
              <w:rPr/>
              <w:t> </w:t>
            </w:r>
          </w:p>
        </w:tc>
      </w:tr>
      <w:tr>
        <w:trPr/>
        <w:tc>
          <w:tcPr>
            <w:tcW w:w="1235" w:type="dxa"/>
            <w:tcBorders/>
            <w:shd w:fill="FFFFFF" w:val="clear"/>
            <w:vAlign w:val="center"/>
          </w:tcPr>
          <w:p>
            <w:pPr>
              <w:pStyle w:val="TableContents"/>
              <w:spacing w:before="0" w:after="0"/>
              <w:ind w:left="450" w:right="0" w:hanging="0"/>
              <w:rPr>
                <w:rFonts w:ascii="times new roman" w:hAnsi="times new roman"/>
                <w:sz w:val="20"/>
              </w:rPr>
            </w:pPr>
            <w:r>
              <w:rPr>
                <w:rFonts w:ascii="times new roman" w:hAnsi="times new roman"/>
                <w:sz w:val="20"/>
              </w:rPr>
              <w:t>Expiration date</w:t>
            </w:r>
          </w:p>
        </w:tc>
        <w:tc>
          <w:tcPr>
            <w:tcW w:w="90" w:type="dxa"/>
            <w:tcBorders/>
            <w:shd w:fill="FFFFFF" w:val="clear"/>
            <w:vAlign w:val="center"/>
          </w:tcPr>
          <w:p>
            <w:pPr>
              <w:pStyle w:val="TableContents"/>
              <w:spacing w:before="0" w:after="0"/>
              <w:ind w:left="0" w:right="0" w:hanging="0"/>
              <w:rPr/>
            </w:pPr>
            <w:r>
              <w:rPr/>
              <w:t> </w:t>
            </w:r>
          </w:p>
        </w:tc>
        <w:tc>
          <w:tcPr>
            <w:tcW w:w="1300" w:type="dxa"/>
            <w:gridSpan w:val="2"/>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January 1, 2024</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20" w:type="dxa"/>
            <w:gridSpan w:val="2"/>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January 1, 2024</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20" w:type="dxa"/>
            <w:gridSpan w:val="2"/>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January 1, 2023</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20" w:type="dxa"/>
            <w:gridSpan w:val="2"/>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January 1, 2023</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20" w:type="dxa"/>
            <w:gridSpan w:val="2"/>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NA (5)</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20" w:type="dxa"/>
            <w:gridSpan w:val="2"/>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NA (5)</w:t>
            </w:r>
          </w:p>
        </w:tc>
        <w:tc>
          <w:tcPr>
            <w:tcW w:w="135" w:type="dxa"/>
            <w:tcBorders/>
            <w:shd w:fill="FFFFFF" w:val="clear"/>
            <w:vAlign w:val="center"/>
          </w:tcPr>
          <w:p>
            <w:pPr>
              <w:pStyle w:val="TableContents"/>
              <w:spacing w:before="0" w:after="0"/>
              <w:ind w:left="0" w:right="0" w:hanging="0"/>
              <w:rPr/>
            </w:pPr>
            <w:r>
              <w:rPr/>
              <w:t> </w:t>
            </w:r>
          </w:p>
        </w:tc>
      </w:tr>
      <w:tr>
        <w:trPr/>
        <w:tc>
          <w:tcPr>
            <w:tcW w:w="123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35" w:type="dxa"/>
            <w:tcBorders/>
            <w:shd w:fill="CCEEFF" w:val="clear"/>
            <w:vAlign w:val="center"/>
          </w:tcPr>
          <w:p>
            <w:pPr>
              <w:pStyle w:val="TableContents"/>
              <w:spacing w:before="0" w:after="0"/>
              <w:ind w:left="0" w:right="0" w:hanging="0"/>
              <w:rPr/>
            </w:pPr>
            <w:r>
              <w:rPr/>
              <w:t> </w:t>
            </w:r>
          </w:p>
        </w:tc>
      </w:tr>
      <w:tr>
        <w:trPr/>
        <w:tc>
          <w:tcPr>
            <w:tcW w:w="123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35" w:type="dxa"/>
            <w:tcBorders/>
            <w:shd w:fill="FFFFFF" w:val="clear"/>
            <w:vAlign w:val="center"/>
          </w:tcPr>
          <w:p>
            <w:pPr>
              <w:pStyle w:val="TableContents"/>
              <w:spacing w:before="0" w:after="0"/>
              <w:ind w:left="0" w:right="0" w:hanging="0"/>
              <w:rPr/>
            </w:pPr>
            <w:r>
              <w:rPr/>
              <w:t> </w:t>
            </w:r>
          </w:p>
        </w:tc>
      </w:tr>
      <w:tr>
        <w:trPr/>
        <w:tc>
          <w:tcPr>
            <w:tcW w:w="1235" w:type="dxa"/>
            <w:tcBorders/>
            <w:shd w:fill="CCEEFF" w:val="clear"/>
            <w:vAlign w:val="center"/>
          </w:tcPr>
          <w:p>
            <w:pPr>
              <w:pStyle w:val="TableContents"/>
              <w:spacing w:before="0" w:after="0"/>
              <w:ind w:left="225" w:right="0" w:hanging="0"/>
              <w:rPr>
                <w:rFonts w:ascii="times new roman" w:hAnsi="times new roman"/>
                <w:sz w:val="20"/>
              </w:rPr>
            </w:pPr>
            <w:r>
              <w:rPr>
                <w:rFonts w:ascii="times new roman" w:hAnsi="times new roman"/>
                <w:sz w:val="20"/>
              </w:rPr>
              <w:t>Excess of loss coverage and facultative facility coverage (1) (7)</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(8</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8,400,000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8,400,000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8,400,000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8,000,000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8,000,000</w:t>
            </w:r>
          </w:p>
        </w:tc>
        <w:tc>
          <w:tcPr>
            <w:tcW w:w="135" w:type="dxa"/>
            <w:tcBorders/>
            <w:shd w:fill="CCEEFF" w:val="clear"/>
            <w:vAlign w:val="center"/>
          </w:tcPr>
          <w:p>
            <w:pPr>
              <w:pStyle w:val="TableContents"/>
              <w:spacing w:before="0" w:after="0"/>
              <w:ind w:left="0" w:right="0" w:hanging="0"/>
              <w:rPr/>
            </w:pPr>
            <w:r>
              <w:rPr/>
              <w:t> </w:t>
            </w:r>
          </w:p>
        </w:tc>
      </w:tr>
      <w:tr>
        <w:trPr/>
        <w:tc>
          <w:tcPr>
            <w:tcW w:w="123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sz w:val="4"/>
                <w:szCs w:val="4"/>
              </w:rPr>
            </w:pPr>
            <w:r>
              <w:rPr>
                <w:sz w:val="4"/>
                <w:szCs w:val="4"/>
              </w:rPr>
            </w:r>
          </w:p>
        </w:tc>
        <w:tc>
          <w:tcPr>
            <w:tcW w:w="1250" w:type="dxa"/>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in excess of</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sz w:val="4"/>
                <w:szCs w:val="4"/>
              </w:rPr>
            </w:pPr>
            <w:r>
              <w:rPr>
                <w:sz w:val="4"/>
                <w:szCs w:val="4"/>
              </w:rPr>
            </w:r>
          </w:p>
        </w:tc>
        <w:tc>
          <w:tcPr>
            <w:tcW w:w="1250" w:type="dxa"/>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in excess of</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sz w:val="4"/>
                <w:szCs w:val="4"/>
              </w:rPr>
            </w:pPr>
            <w:r>
              <w:rPr>
                <w:sz w:val="4"/>
                <w:szCs w:val="4"/>
              </w:rPr>
            </w:r>
          </w:p>
        </w:tc>
        <w:tc>
          <w:tcPr>
            <w:tcW w:w="1250" w:type="dxa"/>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in excess of</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sz w:val="4"/>
                <w:szCs w:val="4"/>
              </w:rPr>
            </w:pPr>
            <w:r>
              <w:rPr>
                <w:sz w:val="4"/>
                <w:szCs w:val="4"/>
              </w:rPr>
            </w:r>
          </w:p>
        </w:tc>
        <w:tc>
          <w:tcPr>
            <w:tcW w:w="1250" w:type="dxa"/>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in excess of</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sz w:val="4"/>
                <w:szCs w:val="4"/>
              </w:rPr>
            </w:pPr>
            <w:r>
              <w:rPr>
                <w:sz w:val="4"/>
                <w:szCs w:val="4"/>
              </w:rPr>
            </w:r>
          </w:p>
        </w:tc>
        <w:tc>
          <w:tcPr>
            <w:tcW w:w="1250" w:type="dxa"/>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in excess of</w:t>
            </w:r>
          </w:p>
        </w:tc>
        <w:tc>
          <w:tcPr>
            <w:tcW w:w="135" w:type="dxa"/>
            <w:tcBorders/>
            <w:shd w:fill="FFFFFF" w:val="clear"/>
            <w:vAlign w:val="center"/>
          </w:tcPr>
          <w:p>
            <w:pPr>
              <w:pStyle w:val="TableContents"/>
              <w:spacing w:before="0" w:after="0"/>
              <w:ind w:left="0" w:right="0" w:hanging="0"/>
              <w:rPr/>
            </w:pPr>
            <w:r>
              <w:rPr/>
              <w:t> </w:t>
            </w:r>
          </w:p>
        </w:tc>
      </w:tr>
      <w:tr>
        <w:trPr/>
        <w:tc>
          <w:tcPr>
            <w:tcW w:w="123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600,000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600,000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600,000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1,000,000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1,000,000</w:t>
            </w:r>
          </w:p>
        </w:tc>
        <w:tc>
          <w:tcPr>
            <w:tcW w:w="135" w:type="dxa"/>
            <w:tcBorders/>
            <w:shd w:fill="CCEEFF" w:val="clear"/>
            <w:vAlign w:val="center"/>
          </w:tcPr>
          <w:p>
            <w:pPr>
              <w:pStyle w:val="TableContents"/>
              <w:spacing w:before="0" w:after="0"/>
              <w:ind w:left="0" w:right="0" w:hanging="0"/>
              <w:rPr/>
            </w:pPr>
            <w:r>
              <w:rPr/>
              <w:t> </w:t>
            </w:r>
          </w:p>
        </w:tc>
      </w:tr>
      <w:tr>
        <w:trPr/>
        <w:tc>
          <w:tcPr>
            <w:tcW w:w="1235" w:type="dxa"/>
            <w:tcBorders/>
            <w:shd w:fill="FFFFFF" w:val="clear"/>
            <w:vAlign w:val="center"/>
          </w:tcPr>
          <w:p>
            <w:pPr>
              <w:pStyle w:val="TableContents"/>
              <w:spacing w:before="0" w:after="0"/>
              <w:ind w:left="225" w:right="0" w:hanging="0"/>
              <w:rPr>
                <w:rFonts w:ascii="times new roman" w:hAnsi="times new roman"/>
                <w:sz w:val="20"/>
              </w:rPr>
            </w:pPr>
            <w:r>
              <w:rPr>
                <w:rFonts w:ascii="times new roman" w:hAnsi="times new roman"/>
                <w:sz w:val="20"/>
              </w:rPr>
              <w:t>Total reinsurance coverage per occurrence (5) (7) (8)</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130" w:type="dxa"/>
            <w:tcBorders/>
            <w:shd w:fill="FFFFFF" w:val="clear"/>
            <w:vAlign w:val="center"/>
          </w:tcPr>
          <w:p>
            <w:pPr>
              <w:pStyle w:val="TableContents"/>
              <w:spacing w:before="0" w:after="283"/>
              <w:jc w:val="right"/>
              <w:rPr/>
            </w:pPr>
            <w:r>
              <w:rPr/>
              <w:t>500,000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8,500,000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8,500,000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8,500,000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8,000,000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8,000,000</w:t>
            </w:r>
          </w:p>
        </w:tc>
        <w:tc>
          <w:tcPr>
            <w:tcW w:w="135" w:type="dxa"/>
            <w:tcBorders/>
            <w:shd w:fill="FFFFFF" w:val="clear"/>
            <w:vAlign w:val="center"/>
          </w:tcPr>
          <w:p>
            <w:pPr>
              <w:pStyle w:val="TableContents"/>
              <w:spacing w:before="0" w:after="0"/>
              <w:ind w:left="0" w:right="0" w:hanging="0"/>
              <w:rPr/>
            </w:pPr>
            <w:r>
              <w:rPr/>
              <w:t> </w:t>
            </w:r>
          </w:p>
        </w:tc>
      </w:tr>
      <w:tr>
        <w:trPr/>
        <w:tc>
          <w:tcPr>
            <w:tcW w:w="1235" w:type="dxa"/>
            <w:tcBorders/>
            <w:shd w:fill="CCEEFF" w:val="clear"/>
            <w:vAlign w:val="center"/>
          </w:tcPr>
          <w:p>
            <w:pPr>
              <w:pStyle w:val="TableContents"/>
              <w:spacing w:before="0" w:after="0"/>
              <w:ind w:left="225" w:right="0" w:hanging="0"/>
              <w:rPr>
                <w:rFonts w:ascii="times new roman" w:hAnsi="times new roman"/>
                <w:sz w:val="20"/>
              </w:rPr>
            </w:pPr>
            <w:r>
              <w:rPr>
                <w:rFonts w:ascii="times new roman" w:hAnsi="times new roman"/>
                <w:sz w:val="20"/>
              </w:rPr>
              <w:t>Losses per occurrence subject to reinsurance coverage (5)</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(8</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8,000,000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9,000,000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9,000,000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9,000,000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9,000,000</w:t>
            </w:r>
          </w:p>
        </w:tc>
        <w:tc>
          <w:tcPr>
            <w:tcW w:w="135" w:type="dxa"/>
            <w:tcBorders/>
            <w:shd w:fill="CCEEFF" w:val="clear"/>
            <w:vAlign w:val="center"/>
          </w:tcPr>
          <w:p>
            <w:pPr>
              <w:pStyle w:val="TableContents"/>
              <w:spacing w:before="0" w:after="0"/>
              <w:ind w:left="0" w:right="0" w:hanging="0"/>
              <w:rPr/>
            </w:pPr>
            <w:r>
              <w:rPr/>
              <w:t> </w:t>
            </w:r>
          </w:p>
        </w:tc>
      </w:tr>
      <w:tr>
        <w:trPr/>
        <w:tc>
          <w:tcPr>
            <w:tcW w:w="1235" w:type="dxa"/>
            <w:tcBorders/>
            <w:shd w:fill="FFFFFF" w:val="clear"/>
            <w:vAlign w:val="center"/>
          </w:tcPr>
          <w:p>
            <w:pPr>
              <w:pStyle w:val="TableContents"/>
              <w:spacing w:before="0" w:after="0"/>
              <w:ind w:left="450" w:right="0" w:hanging="0"/>
              <w:rPr>
                <w:rFonts w:ascii="times new roman" w:hAnsi="times new roman"/>
                <w:sz w:val="20"/>
              </w:rPr>
            </w:pPr>
            <w:r>
              <w:rPr>
                <w:rFonts w:ascii="times new roman" w:hAnsi="times new roman"/>
                <w:sz w:val="20"/>
              </w:rPr>
              <w:t>Expiration date</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(8</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420" w:type="dxa"/>
            <w:gridSpan w:val="2"/>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June 30, 2023</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20" w:type="dxa"/>
            <w:gridSpan w:val="2"/>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June 30, 2023</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20" w:type="dxa"/>
            <w:gridSpan w:val="2"/>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June 30, 2022</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20" w:type="dxa"/>
            <w:gridSpan w:val="2"/>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June 30, 2022</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20" w:type="dxa"/>
            <w:gridSpan w:val="2"/>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June 30, 2021</w:t>
            </w:r>
          </w:p>
        </w:tc>
        <w:tc>
          <w:tcPr>
            <w:tcW w:w="135" w:type="dxa"/>
            <w:tcBorders/>
            <w:shd w:fill="FFFFFF" w:val="clear"/>
            <w:vAlign w:val="center"/>
          </w:tcPr>
          <w:p>
            <w:pPr>
              <w:pStyle w:val="TableContents"/>
              <w:spacing w:before="0" w:after="0"/>
              <w:ind w:left="0" w:right="0" w:hanging="0"/>
              <w:rPr/>
            </w:pPr>
            <w:r>
              <w:rPr/>
              <w:t> </w:t>
            </w:r>
          </w:p>
        </w:tc>
      </w:tr>
      <w:tr>
        <w:trPr/>
        <w:tc>
          <w:tcPr>
            <w:tcW w:w="123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35" w:type="dxa"/>
            <w:tcBorders/>
            <w:shd w:fill="CCEEFF" w:val="clear"/>
            <w:vAlign w:val="center"/>
          </w:tcPr>
          <w:p>
            <w:pPr>
              <w:pStyle w:val="TableContents"/>
              <w:spacing w:before="0" w:after="0"/>
              <w:ind w:left="0" w:right="0" w:hanging="0"/>
              <w:rPr/>
            </w:pPr>
            <w:r>
              <w:rPr/>
              <w:t> </w:t>
            </w:r>
          </w:p>
        </w:tc>
      </w:tr>
      <w:tr>
        <w:trPr/>
        <w:tc>
          <w:tcPr>
            <w:tcW w:w="1235" w:type="dxa"/>
            <w:tcBorders/>
            <w:shd w:fill="FFFFFF" w:val="clear"/>
            <w:vAlign w:val="cente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Catastrophe Reinsurance:</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35" w:type="dxa"/>
            <w:tcBorders/>
            <w:shd w:fill="FFFFFF" w:val="clear"/>
            <w:vAlign w:val="center"/>
          </w:tcPr>
          <w:p>
            <w:pPr>
              <w:pStyle w:val="TableContents"/>
              <w:spacing w:before="0" w:after="0"/>
              <w:ind w:left="0" w:right="0" w:hanging="0"/>
              <w:rPr/>
            </w:pPr>
            <w:r>
              <w:rPr/>
              <w:t> </w:t>
            </w:r>
          </w:p>
        </w:tc>
      </w:tr>
      <w:tr>
        <w:trPr/>
        <w:tc>
          <w:tcPr>
            <w:tcW w:w="123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35" w:type="dxa"/>
            <w:tcBorders/>
            <w:shd w:fill="CCEEFF" w:val="clear"/>
            <w:vAlign w:val="center"/>
          </w:tcPr>
          <w:p>
            <w:pPr>
              <w:pStyle w:val="TableContents"/>
              <w:spacing w:before="0" w:after="0"/>
              <w:ind w:left="0" w:right="0" w:hanging="0"/>
              <w:rPr/>
            </w:pPr>
            <w:r>
              <w:rPr/>
              <w:t> </w:t>
            </w:r>
          </w:p>
        </w:tc>
      </w:tr>
      <w:tr>
        <w:trPr/>
        <w:tc>
          <w:tcPr>
            <w:tcW w:w="1235" w:type="dxa"/>
            <w:tcBorders/>
            <w:shd w:fill="FFFFFF" w:val="clear"/>
            <w:vAlign w:val="center"/>
          </w:tcPr>
          <w:p>
            <w:pPr>
              <w:pStyle w:val="TableContents"/>
              <w:spacing w:before="0" w:after="0"/>
              <w:ind w:left="225" w:right="0" w:hanging="0"/>
              <w:rPr>
                <w:rFonts w:ascii="times new roman" w:hAnsi="times new roman"/>
                <w:sz w:val="20"/>
              </w:rPr>
            </w:pPr>
            <w:r>
              <w:rPr>
                <w:rFonts w:ascii="times new roman" w:hAnsi="times new roman"/>
                <w:sz w:val="20"/>
              </w:rPr>
              <w:t>Initial loss subject to personal lines quota share treaty (8)</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130" w:type="dxa"/>
            <w:tcBorders/>
            <w:shd w:fill="FFFFFF" w:val="clear"/>
            <w:vAlign w:val="center"/>
          </w:tcPr>
          <w:p>
            <w:pPr>
              <w:pStyle w:val="TableContents"/>
              <w:spacing w:before="0" w:after="283"/>
              <w:jc w:val="right"/>
              <w:rPr/>
            </w:pPr>
            <w:r>
              <w:rPr/>
              <w:t>10,000,000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10,000,000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10,000,000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10,000,000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20" w:type="dxa"/>
            <w:gridSpan w:val="2"/>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None (5)</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20" w:type="dxa"/>
            <w:gridSpan w:val="2"/>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None (5)</w:t>
            </w:r>
          </w:p>
        </w:tc>
        <w:tc>
          <w:tcPr>
            <w:tcW w:w="135" w:type="dxa"/>
            <w:tcBorders/>
            <w:shd w:fill="FFFFFF" w:val="clear"/>
            <w:vAlign w:val="center"/>
          </w:tcPr>
          <w:p>
            <w:pPr>
              <w:pStyle w:val="TableContents"/>
              <w:spacing w:before="0" w:after="0"/>
              <w:ind w:left="0" w:right="0" w:hanging="0"/>
              <w:rPr/>
            </w:pPr>
            <w:r>
              <w:rPr/>
              <w:t> </w:t>
            </w:r>
          </w:p>
        </w:tc>
      </w:tr>
      <w:tr>
        <w:trPr/>
        <w:tc>
          <w:tcPr>
            <w:tcW w:w="1235" w:type="dxa"/>
            <w:tcBorders/>
            <w:shd w:fill="CCEEFF" w:val="clear"/>
            <w:vAlign w:val="center"/>
          </w:tcPr>
          <w:p>
            <w:pPr>
              <w:pStyle w:val="TableContents"/>
              <w:spacing w:before="0" w:after="0"/>
              <w:ind w:left="225" w:right="0" w:hanging="0"/>
              <w:rPr>
                <w:rFonts w:ascii="times new roman" w:hAnsi="times new roman"/>
                <w:sz w:val="20"/>
              </w:rPr>
            </w:pPr>
            <w:r>
              <w:rPr>
                <w:rFonts w:ascii="times new roman" w:hAnsi="times new roman"/>
                <w:sz w:val="20"/>
              </w:rPr>
              <w:t>Risk retained per catastrophe occurrence (5) (9) (10)</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(8</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8,750,000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7,400,000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7,400,000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10,000,000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10,000,000</w:t>
            </w:r>
          </w:p>
        </w:tc>
        <w:tc>
          <w:tcPr>
            <w:tcW w:w="135" w:type="dxa"/>
            <w:tcBorders/>
            <w:shd w:fill="CCEEFF" w:val="clear"/>
            <w:vAlign w:val="center"/>
          </w:tcPr>
          <w:p>
            <w:pPr>
              <w:pStyle w:val="TableContents"/>
              <w:spacing w:before="0" w:after="0"/>
              <w:ind w:left="0" w:right="0" w:hanging="0"/>
              <w:rPr/>
            </w:pPr>
            <w:r>
              <w:rPr/>
              <w:t> </w:t>
            </w:r>
          </w:p>
        </w:tc>
      </w:tr>
      <w:tr>
        <w:trPr/>
        <w:tc>
          <w:tcPr>
            <w:tcW w:w="1235" w:type="dxa"/>
            <w:tcBorders/>
            <w:shd w:fill="FFFFFF" w:val="clear"/>
            <w:vAlign w:val="center"/>
          </w:tcPr>
          <w:p>
            <w:pPr>
              <w:pStyle w:val="TableContents"/>
              <w:spacing w:before="0" w:after="0"/>
              <w:ind w:left="225" w:right="0" w:hanging="0"/>
              <w:rPr>
                <w:rFonts w:ascii="times new roman" w:hAnsi="times new roman"/>
                <w:sz w:val="20"/>
              </w:rPr>
            </w:pPr>
            <w:r>
              <w:rPr>
                <w:rFonts w:ascii="times new roman" w:hAnsi="times new roman"/>
                <w:sz w:val="20"/>
              </w:rPr>
              <w:t>Catastrophe loss coverage in excess of quota share coverage (2) (5)</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(8</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335,000,000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335,000,000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490,000,000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490,000,000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475,000,000</w:t>
            </w:r>
          </w:p>
        </w:tc>
        <w:tc>
          <w:tcPr>
            <w:tcW w:w="135" w:type="dxa"/>
            <w:tcBorders/>
            <w:shd w:fill="FFFFFF" w:val="clear"/>
            <w:vAlign w:val="center"/>
          </w:tcPr>
          <w:p>
            <w:pPr>
              <w:pStyle w:val="TableContents"/>
              <w:spacing w:before="0" w:after="0"/>
              <w:ind w:left="0" w:right="0" w:hanging="0"/>
              <w:rPr/>
            </w:pPr>
            <w:r>
              <w:rPr/>
              <w:t> </w:t>
            </w:r>
          </w:p>
        </w:tc>
      </w:tr>
      <w:tr>
        <w:trPr/>
        <w:tc>
          <w:tcPr>
            <w:tcW w:w="1235" w:type="dxa"/>
            <w:tcBorders/>
            <w:shd w:fill="CCEEFF" w:val="clear"/>
            <w:vAlign w:val="center"/>
          </w:tcPr>
          <w:p>
            <w:pPr>
              <w:pStyle w:val="TableContents"/>
              <w:spacing w:before="0" w:after="0"/>
              <w:ind w:left="225" w:right="0" w:hanging="0"/>
              <w:rPr>
                <w:rFonts w:ascii="times new roman" w:hAnsi="times new roman"/>
                <w:sz w:val="20"/>
              </w:rPr>
            </w:pPr>
            <w:r>
              <w:rPr>
                <w:rFonts w:ascii="times new roman" w:hAnsi="times new roman"/>
                <w:sz w:val="20"/>
              </w:rPr>
              <w:t>Catastrophe stub coverage for the period from October 18, 2021 through December 31, 2021 (6)</w:t>
            </w:r>
          </w:p>
        </w:tc>
        <w:tc>
          <w:tcPr>
            <w:tcW w:w="90" w:type="dxa"/>
            <w:tcBorders/>
            <w:shd w:fill="CCEEFF" w:val="clear"/>
            <w:vAlign w:val="center"/>
          </w:tcPr>
          <w:p>
            <w:pPr>
              <w:pStyle w:val="TableContents"/>
              <w:spacing w:before="0" w:after="0"/>
              <w:ind w:left="0" w:right="0" w:hanging="0"/>
              <w:rPr/>
            </w:pPr>
            <w:r>
              <w:rPr/>
              <w:t> </w:t>
            </w:r>
          </w:p>
        </w:tc>
        <w:tc>
          <w:tcPr>
            <w:tcW w:w="1300" w:type="dxa"/>
            <w:gridSpan w:val="2"/>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NA</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20" w:type="dxa"/>
            <w:gridSpan w:val="2"/>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NA</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20" w:type="dxa"/>
            <w:gridSpan w:val="2"/>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NA</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20" w:type="dxa"/>
            <w:gridSpan w:val="2"/>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NA</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5,000,000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420" w:type="dxa"/>
            <w:gridSpan w:val="2"/>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NA</w:t>
            </w:r>
          </w:p>
        </w:tc>
        <w:tc>
          <w:tcPr>
            <w:tcW w:w="135" w:type="dxa"/>
            <w:tcBorders/>
            <w:shd w:fill="CCEEFF" w:val="clear"/>
            <w:vAlign w:val="center"/>
          </w:tcPr>
          <w:p>
            <w:pPr>
              <w:pStyle w:val="TableContents"/>
              <w:spacing w:before="0" w:after="0"/>
              <w:ind w:left="0" w:right="0" w:hanging="0"/>
              <w:rPr/>
            </w:pPr>
            <w:r>
              <w:rPr/>
              <w:t> </w:t>
            </w:r>
          </w:p>
        </w:tc>
      </w:tr>
      <w:tr>
        <w:trPr/>
        <w:tc>
          <w:tcPr>
            <w:tcW w:w="123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sz w:val="4"/>
                <w:szCs w:val="4"/>
              </w:rPr>
            </w:pPr>
            <w:r>
              <w:rPr>
                <w:sz w:val="4"/>
                <w:szCs w:val="4"/>
              </w:rPr>
            </w:r>
          </w:p>
        </w:tc>
        <w:tc>
          <w:tcPr>
            <w:tcW w:w="1250" w:type="dxa"/>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in excess of</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35" w:type="dxa"/>
            <w:tcBorders/>
            <w:shd w:fill="FFFFFF" w:val="clear"/>
            <w:vAlign w:val="center"/>
          </w:tcPr>
          <w:p>
            <w:pPr>
              <w:pStyle w:val="TableContents"/>
              <w:spacing w:before="0" w:after="0"/>
              <w:ind w:left="0" w:right="0" w:hanging="0"/>
              <w:rPr/>
            </w:pPr>
            <w:r>
              <w:rPr/>
              <w:t> </w:t>
            </w:r>
          </w:p>
        </w:tc>
      </w:tr>
      <w:tr>
        <w:trPr/>
        <w:tc>
          <w:tcPr>
            <w:tcW w:w="123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5,000,000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35" w:type="dxa"/>
            <w:tcBorders/>
            <w:shd w:fill="CCEEFF" w:val="clear"/>
            <w:vAlign w:val="center"/>
          </w:tcPr>
          <w:p>
            <w:pPr>
              <w:pStyle w:val="TableContents"/>
              <w:spacing w:before="0" w:after="0"/>
              <w:ind w:left="0" w:right="0" w:hanging="0"/>
              <w:rPr/>
            </w:pPr>
            <w:r>
              <w:rPr/>
              <w:t> </w:t>
            </w:r>
          </w:p>
        </w:tc>
      </w:tr>
      <w:tr>
        <w:trPr/>
        <w:tc>
          <w:tcPr>
            <w:tcW w:w="1235" w:type="dxa"/>
            <w:tcBorders/>
            <w:shd w:fill="FFFFFF" w:val="clear"/>
            <w:vAlign w:val="center"/>
          </w:tcPr>
          <w:p>
            <w:pPr>
              <w:pStyle w:val="TableContents"/>
              <w:spacing w:before="0" w:after="0"/>
              <w:ind w:left="225" w:right="0" w:hanging="0"/>
              <w:rPr>
                <w:rFonts w:ascii="times new roman" w:hAnsi="times new roman"/>
                <w:sz w:val="20"/>
              </w:rPr>
            </w:pPr>
            <w:r>
              <w:rPr>
                <w:rFonts w:ascii="times new roman" w:hAnsi="times new roman"/>
                <w:sz w:val="20"/>
              </w:rPr>
              <w:t>Reinstatement premium protection (3) (4)</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(8</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420" w:type="dxa"/>
            <w:gridSpan w:val="2"/>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Yes</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20" w:type="dxa"/>
            <w:gridSpan w:val="2"/>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Yes</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20" w:type="dxa"/>
            <w:gridSpan w:val="2"/>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Yes</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20" w:type="dxa"/>
            <w:gridSpan w:val="2"/>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Yes</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420" w:type="dxa"/>
            <w:gridSpan w:val="2"/>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Yes</w:t>
            </w:r>
          </w:p>
        </w:tc>
        <w:tc>
          <w:tcPr>
            <w:tcW w:w="135" w:type="dxa"/>
            <w:tcBorders/>
            <w:shd w:fill="FFFFFF" w:val="clear"/>
            <w:vAlign w:val="center"/>
          </w:tcPr>
          <w:p>
            <w:pPr>
              <w:pStyle w:val="TableContents"/>
              <w:spacing w:before="0" w:after="0"/>
              <w:ind w:left="0" w:right="0" w:hanging="0"/>
              <w:rPr/>
            </w:pPr>
            <w:r>
              <w:rPr/>
              <w:t> </w:t>
            </w:r>
          </w:p>
        </w:tc>
      </w:tr>
    </w:tbl>
    <w:p>
      <w:pPr>
        <w:pStyle w:val="TextBody"/>
        <w:spacing w:before="0" w:after="0"/>
        <w:ind w:left="0" w:right="0" w:hanging="0"/>
        <w:jc w:val="center"/>
        <w:rPr/>
      </w:pPr>
      <w:r>
        <w:rPr/>
        <w:t> </w:t>
      </w:r>
    </w:p>
    <w:tbl>
      <w:tblPr>
        <w:tblW w:w="10205" w:type="dxa"/>
        <w:jc w:val="left"/>
        <w:tblInd w:w="0" w:type="dxa"/>
        <w:tblCellMar>
          <w:top w:w="0" w:type="dxa"/>
          <w:left w:w="0" w:type="dxa"/>
          <w:bottom w:w="0" w:type="dxa"/>
          <w:right w:w="0" w:type="dxa"/>
        </w:tblCellMar>
      </w:tblPr>
      <w:tblGrid>
        <w:gridCol w:w="105"/>
        <w:gridCol w:w="237"/>
        <w:gridCol w:w="9863"/>
      </w:tblGrid>
      <w:tr>
        <w:trPr/>
        <w:tc>
          <w:tcPr>
            <w:tcW w:w="105" w:type="dxa"/>
            <w:tcBorders/>
            <w:shd w:fill="auto" w:val="clear"/>
            <w:vAlign w:val="center"/>
          </w:tcPr>
          <w:p>
            <w:pPr>
              <w:pStyle w:val="TableContents"/>
              <w:spacing w:before="0" w:after="0"/>
              <w:ind w:left="0" w:right="0" w:hanging="0"/>
              <w:rPr/>
            </w:pPr>
            <w:r>
              <w:rPr/>
              <w:t> </w:t>
            </w:r>
          </w:p>
        </w:tc>
        <w:tc>
          <w:tcPr>
            <w:tcW w:w="237"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86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For personal lines, includes the addition of an automatic facultative facility allowing KICO to obtain homeowners single risk coverage up to $9,000,000 in total insured value, which covers direct losses from $3,500,000 to $9,000,000 through June 30, 2023.</w:t>
            </w:r>
          </w:p>
        </w:tc>
      </w:tr>
      <w:tr>
        <w:trPr/>
        <w:tc>
          <w:tcPr>
            <w:tcW w:w="105" w:type="dxa"/>
            <w:tcBorders/>
            <w:shd w:fill="auto" w:val="clear"/>
            <w:vAlign w:val="center"/>
          </w:tcPr>
          <w:p>
            <w:pPr>
              <w:pStyle w:val="TableContents"/>
              <w:spacing w:before="0" w:after="0"/>
              <w:ind w:left="0" w:right="0" w:hanging="0"/>
              <w:rPr/>
            </w:pPr>
            <w:r>
              <w:rPr/>
              <w:t> </w:t>
            </w:r>
          </w:p>
        </w:tc>
        <w:tc>
          <w:tcPr>
            <w:tcW w:w="237"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86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Catastrophe coverage is limited on an annual basis to two times the per occurrence amounts. Duration of 168 consecutive hours for a catastrophe occurrence from windstorm, hail, tornado, hurricane and cyclone.</w:t>
            </w:r>
          </w:p>
        </w:tc>
      </w:tr>
      <w:tr>
        <w:trPr/>
        <w:tc>
          <w:tcPr>
            <w:tcW w:w="105" w:type="dxa"/>
            <w:tcBorders/>
            <w:shd w:fill="auto" w:val="clear"/>
            <w:vAlign w:val="center"/>
          </w:tcPr>
          <w:p>
            <w:pPr>
              <w:pStyle w:val="TableContents"/>
              <w:spacing w:before="0" w:after="0"/>
              <w:ind w:left="0" w:right="0" w:hanging="0"/>
              <w:rPr/>
            </w:pPr>
            <w:r>
              <w:rPr/>
              <w:t> </w:t>
            </w:r>
          </w:p>
        </w:tc>
        <w:tc>
          <w:tcPr>
            <w:tcW w:w="237"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986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For the period July 1, 2020 through June 30, 2021, reinstatement premium protection for $70,000,000 of catastrophe coverage in excess of $10,000,000. For the period July 1, 2021 through June 30, 2022, reinstatement premium protection for $70,000,000 of catastrophe coverage in excess of $10,000,000.</w:t>
            </w:r>
          </w:p>
        </w:tc>
      </w:tr>
    </w:tbl>
    <w:p>
      <w:pPr>
        <w:pStyle w:val="TextBody"/>
        <w:spacing w:before="0" w:after="0"/>
        <w:ind w:left="0" w:right="0" w:hanging="0"/>
        <w:rPr/>
      </w:pPr>
      <w:r>
        <w:rPr/>
        <w:t xml:space="preserve">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F-29</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2022 AND 2021</w:t>
      </w:r>
    </w:p>
    <w:p>
      <w:pPr>
        <w:pStyle w:val="TextBody"/>
        <w:spacing w:before="0" w:after="0"/>
        <w:ind w:left="0" w:right="0" w:hanging="0"/>
        <w:jc w:val="center"/>
        <w:rPr/>
      </w:pPr>
      <w:r>
        <w:rPr/>
        <w:t> </w:t>
      </w:r>
    </w:p>
    <w:tbl>
      <w:tblPr>
        <w:tblW w:w="10205" w:type="dxa"/>
        <w:jc w:val="left"/>
        <w:tblInd w:w="0" w:type="dxa"/>
        <w:tblCellMar>
          <w:top w:w="0" w:type="dxa"/>
          <w:left w:w="0" w:type="dxa"/>
          <w:bottom w:w="0" w:type="dxa"/>
          <w:right w:w="0" w:type="dxa"/>
        </w:tblCellMar>
      </w:tblPr>
      <w:tblGrid>
        <w:gridCol w:w="105"/>
        <w:gridCol w:w="341"/>
        <w:gridCol w:w="9759"/>
      </w:tblGrid>
      <w:tr>
        <w:trPr/>
        <w:tc>
          <w:tcPr>
            <w:tcW w:w="105" w:type="dxa"/>
            <w:tcBorders/>
            <w:shd w:fill="auto" w:val="clear"/>
            <w:vAlign w:val="center"/>
          </w:tcPr>
          <w:p>
            <w:pPr>
              <w:pStyle w:val="TableContents"/>
              <w:spacing w:before="0" w:after="0"/>
              <w:ind w:left="0" w:right="0" w:hanging="0"/>
              <w:rPr/>
            </w:pPr>
            <w:r>
              <w:rPr/>
              <w:t> </w:t>
            </w:r>
          </w:p>
        </w:tc>
        <w:tc>
          <w:tcPr>
            <w:tcW w:w="341"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9759"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For the period July 1, 2022 through June 30, 2023, reinstatement premium protection for $9,800,000 of catastrophe coverage in excess of $10,000,000.</w:t>
            </w:r>
          </w:p>
        </w:tc>
      </w:tr>
      <w:tr>
        <w:trPr/>
        <w:tc>
          <w:tcPr>
            <w:tcW w:w="105" w:type="dxa"/>
            <w:tcBorders/>
            <w:shd w:fill="auto" w:val="clear"/>
            <w:vAlign w:val="center"/>
          </w:tcPr>
          <w:p>
            <w:pPr>
              <w:pStyle w:val="TableContents"/>
              <w:spacing w:before="0" w:after="0"/>
              <w:ind w:left="0" w:right="0" w:hanging="0"/>
              <w:rPr/>
            </w:pPr>
            <w:r>
              <w:rPr/>
              <w:t> </w:t>
            </w:r>
          </w:p>
        </w:tc>
        <w:tc>
          <w:tcPr>
            <w:tcW w:w="341"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(5)</w:t>
            </w:r>
          </w:p>
        </w:tc>
        <w:tc>
          <w:tcPr>
            <w:tcW w:w="9759"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The personal lines quota share (homeowners, dwelling fire and canine legal liability) expired on December 30, 2020; reinsurance coverage from December 31, 2020 through December 30, 2021 is only for excess of loss and catastrophe reinsurance.</w:t>
            </w:r>
          </w:p>
        </w:tc>
      </w:tr>
      <w:tr>
        <w:trPr/>
        <w:tc>
          <w:tcPr>
            <w:tcW w:w="105" w:type="dxa"/>
            <w:tcBorders/>
            <w:shd w:fill="auto" w:val="clear"/>
            <w:vAlign w:val="center"/>
          </w:tcPr>
          <w:p>
            <w:pPr>
              <w:pStyle w:val="TableContents"/>
              <w:spacing w:before="0" w:after="0"/>
              <w:ind w:left="0" w:right="0" w:hanging="0"/>
              <w:rPr/>
            </w:pPr>
            <w:r>
              <w:rPr/>
              <w:t> </w:t>
            </w:r>
          </w:p>
        </w:tc>
        <w:tc>
          <w:tcPr>
            <w:tcW w:w="341"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(6)</w:t>
            </w:r>
          </w:p>
        </w:tc>
        <w:tc>
          <w:tcPr>
            <w:tcW w:w="9759"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Excludes freeze and freeze related claims.</w:t>
            </w:r>
          </w:p>
        </w:tc>
      </w:tr>
      <w:tr>
        <w:trPr/>
        <w:tc>
          <w:tcPr>
            <w:tcW w:w="105" w:type="dxa"/>
            <w:tcBorders/>
            <w:shd w:fill="auto" w:val="clear"/>
            <w:vAlign w:val="center"/>
          </w:tcPr>
          <w:p>
            <w:pPr>
              <w:pStyle w:val="TableContents"/>
              <w:spacing w:before="0" w:after="0"/>
              <w:ind w:left="0" w:right="0" w:hanging="0"/>
              <w:rPr/>
            </w:pPr>
            <w:r>
              <w:rPr/>
              <w:t> </w:t>
            </w:r>
          </w:p>
        </w:tc>
        <w:tc>
          <w:tcPr>
            <w:tcW w:w="341"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(7)</w:t>
            </w:r>
          </w:p>
        </w:tc>
        <w:tc>
          <w:tcPr>
            <w:tcW w:w="9759"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For the period January 1, 2022 through January 1, 2024, underlying excess of loss treaty provides 50% reinsurance coverage for losses of $400,000 in excess of $600,000. Reduces retention to $500,000 from $700,000 under the 2021/2023 Treaty and 2022/2023 Treaty. Excludes losses from named storms.</w:t>
            </w:r>
          </w:p>
        </w:tc>
      </w:tr>
      <w:tr>
        <w:trPr/>
        <w:tc>
          <w:tcPr>
            <w:tcW w:w="105" w:type="dxa"/>
            <w:tcBorders/>
            <w:shd w:fill="auto" w:val="clear"/>
            <w:vAlign w:val="center"/>
          </w:tcPr>
          <w:p>
            <w:pPr>
              <w:pStyle w:val="TableContents"/>
              <w:spacing w:before="0" w:after="0"/>
              <w:ind w:left="0" w:right="0" w:hanging="0"/>
              <w:rPr/>
            </w:pPr>
            <w:r>
              <w:rPr/>
              <w:t> </w:t>
            </w:r>
          </w:p>
        </w:tc>
        <w:tc>
          <w:tcPr>
            <w:tcW w:w="341"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(8)</w:t>
            </w:r>
          </w:p>
        </w:tc>
        <w:tc>
          <w:tcPr>
            <w:tcW w:w="9759"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Excess of loss and facultative facility, and catastrophe treaties will expire on June 30, 2023; reinsurance coverage in effect from July 1, 2023 through January 1, 2024 is only for Personal lines quota share (homeowners, dwelling fire and canine liability) and underlying excess of loss reinsurance.</w:t>
            </w:r>
          </w:p>
        </w:tc>
      </w:tr>
      <w:tr>
        <w:trPr/>
        <w:tc>
          <w:tcPr>
            <w:tcW w:w="105" w:type="dxa"/>
            <w:tcBorders/>
            <w:shd w:fill="auto" w:val="clear"/>
            <w:vAlign w:val="center"/>
          </w:tcPr>
          <w:p>
            <w:pPr>
              <w:pStyle w:val="TableContents"/>
              <w:spacing w:before="0" w:after="0"/>
              <w:ind w:left="0" w:right="0" w:hanging="0"/>
              <w:rPr/>
            </w:pPr>
            <w:r>
              <w:rPr/>
              <w:t> </w:t>
            </w:r>
          </w:p>
        </w:tc>
        <w:tc>
          <w:tcPr>
            <w:tcW w:w="341"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(9)</w:t>
            </w:r>
          </w:p>
        </w:tc>
        <w:tc>
          <w:tcPr>
            <w:tcW w:w="9759"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For the 2021/2023 Treaty, 4% of the 30% total of losses ceded under this treaty are excluded from a named catastrophe event. For the 2023/2024 Treaty, 17.5% of the 30% total of losses ceded under this treaty are excluded from a named catastrophe event.</w:t>
            </w:r>
          </w:p>
        </w:tc>
      </w:tr>
      <w:tr>
        <w:trPr/>
        <w:tc>
          <w:tcPr>
            <w:tcW w:w="105" w:type="dxa"/>
            <w:tcBorders/>
            <w:shd w:fill="auto" w:val="clear"/>
            <w:vAlign w:val="center"/>
          </w:tcPr>
          <w:p>
            <w:pPr>
              <w:pStyle w:val="TableContents"/>
              <w:spacing w:before="0" w:after="0"/>
              <w:ind w:left="0" w:right="0" w:hanging="0"/>
              <w:rPr/>
            </w:pPr>
            <w:r>
              <w:rPr/>
              <w:t> </w:t>
            </w:r>
          </w:p>
        </w:tc>
        <w:tc>
          <w:tcPr>
            <w:tcW w:w="341"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(10)</w:t>
            </w:r>
          </w:p>
        </w:tc>
        <w:tc>
          <w:tcPr>
            <w:tcW w:w="9759"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Plus losses in excess of catastrophe coverage</w:t>
            </w:r>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5511"/>
        <w:gridCol w:w="90"/>
        <w:gridCol w:w="174"/>
        <w:gridCol w:w="1039"/>
        <w:gridCol w:w="245"/>
        <w:gridCol w:w="90"/>
        <w:gridCol w:w="174"/>
        <w:gridCol w:w="1039"/>
        <w:gridCol w:w="245"/>
        <w:gridCol w:w="90"/>
        <w:gridCol w:w="174"/>
        <w:gridCol w:w="1039"/>
        <w:gridCol w:w="295"/>
      </w:tblGrid>
      <w:tr>
        <w:trPr/>
        <w:tc>
          <w:tcPr>
            <w:tcW w:w="5511"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4309" w:type="dxa"/>
            <w:gridSpan w:val="10"/>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Treaty Year </w:t>
            </w:r>
          </w:p>
        </w:tc>
        <w:tc>
          <w:tcPr>
            <w:tcW w:w="295" w:type="dxa"/>
            <w:tcBorders/>
            <w:shd w:fill="auto" w:val="clear"/>
            <w:vAlign w:val="center"/>
          </w:tcPr>
          <w:p>
            <w:pPr>
              <w:pStyle w:val="TableContents"/>
              <w:spacing w:before="0" w:after="0"/>
              <w:ind w:left="0" w:right="0" w:hanging="0"/>
              <w:rPr/>
            </w:pPr>
            <w:r>
              <w:rPr/>
              <w:t> </w:t>
            </w:r>
          </w:p>
        </w:tc>
      </w:tr>
      <w:tr>
        <w:trPr/>
        <w:tc>
          <w:tcPr>
            <w:tcW w:w="5511"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13"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July 1, 2022</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13"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July 1, 2021</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13"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July 1, 2020</w:t>
            </w:r>
          </w:p>
        </w:tc>
        <w:tc>
          <w:tcPr>
            <w:tcW w:w="295" w:type="dxa"/>
            <w:tcBorders/>
            <w:shd w:fill="auto" w:val="clear"/>
            <w:vAlign w:val="center"/>
          </w:tcPr>
          <w:p>
            <w:pPr>
              <w:pStyle w:val="TableContents"/>
              <w:spacing w:before="0" w:after="0"/>
              <w:ind w:left="0" w:right="0" w:hanging="0"/>
              <w:rPr/>
            </w:pPr>
            <w:r>
              <w:rPr/>
              <w:t> </w:t>
            </w:r>
          </w:p>
        </w:tc>
      </w:tr>
      <w:tr>
        <w:trPr/>
        <w:tc>
          <w:tcPr>
            <w:tcW w:w="5511"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13"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to</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13"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to</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13"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to</w:t>
            </w:r>
          </w:p>
        </w:tc>
        <w:tc>
          <w:tcPr>
            <w:tcW w:w="295" w:type="dxa"/>
            <w:tcBorders/>
            <w:shd w:fill="auto" w:val="clear"/>
            <w:vAlign w:val="center"/>
          </w:tcPr>
          <w:p>
            <w:pPr>
              <w:pStyle w:val="TableContents"/>
              <w:spacing w:before="0" w:after="0"/>
              <w:ind w:left="0" w:right="0" w:hanging="0"/>
              <w:rPr/>
            </w:pPr>
            <w:r>
              <w:rPr/>
              <w:t> </w:t>
            </w:r>
          </w:p>
        </w:tc>
      </w:tr>
      <w:tr>
        <w:trPr/>
        <w:tc>
          <w:tcPr>
            <w:tcW w:w="5511" w:type="dxa"/>
            <w:tcBorders>
              <w:bottom w:val="single" w:sz="2" w:space="0" w:color="000000"/>
            </w:tcBorders>
            <w:shd w:fill="auto" w:val="clear"/>
            <w:tcMar>
              <w:bottom w:w="28" w:type="dxa"/>
            </w:tcMar>
            <w:vAlign w:val="center"/>
          </w:tcPr>
          <w:p>
            <w:pPr>
              <w:pStyle w:val="TableContents"/>
              <w:spacing w:before="0" w:after="0"/>
              <w:ind w:left="0" w:right="0" w:hanging="0"/>
              <w:rPr/>
            </w:pPr>
            <w:r>
              <w:rPr>
                <w:rStyle w:val="StrongEmphasis"/>
              </w:rPr>
              <w:t> </w:t>
            </w:r>
            <w:r>
              <w:rPr>
                <w:rStyle w:val="StrongEmphasis"/>
                <w:rFonts w:ascii="times new roman" w:hAnsi="times new roman"/>
                <w:sz w:val="20"/>
              </w:rPr>
              <w:t xml:space="preserve">Line of Business </w:t>
            </w:r>
          </w:p>
        </w:tc>
        <w:tc>
          <w:tcPr>
            <w:tcW w:w="90" w:type="dxa"/>
            <w:tcBorders/>
            <w:shd w:fill="auto" w:val="clear"/>
            <w:vAlign w:val="center"/>
          </w:tcPr>
          <w:p>
            <w:pPr>
              <w:pStyle w:val="TableContents"/>
              <w:spacing w:before="0" w:after="0"/>
              <w:ind w:left="0" w:right="0" w:hanging="0"/>
              <w:rPr/>
            </w:pPr>
            <w:r>
              <w:rPr/>
              <w:t> </w:t>
            </w:r>
          </w:p>
        </w:tc>
        <w:tc>
          <w:tcPr>
            <w:tcW w:w="121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June 30, 2023</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1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June 30, 2022</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1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June 30, 2021</w:t>
            </w:r>
          </w:p>
        </w:tc>
        <w:tc>
          <w:tcPr>
            <w:tcW w:w="295" w:type="dxa"/>
            <w:tcBorders/>
            <w:shd w:fill="auto" w:val="clear"/>
            <w:vAlign w:val="center"/>
          </w:tcPr>
          <w:p>
            <w:pPr>
              <w:pStyle w:val="TableContents"/>
              <w:spacing w:before="0" w:after="0"/>
              <w:ind w:left="0" w:right="0" w:hanging="0"/>
              <w:rPr/>
            </w:pPr>
            <w:r>
              <w:rPr/>
              <w:t> </w:t>
            </w:r>
          </w:p>
        </w:tc>
      </w:tr>
      <w:tr>
        <w:trPr/>
        <w:tc>
          <w:tcPr>
            <w:tcW w:w="5511"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13"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13"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13" w:type="dxa"/>
            <w:gridSpan w:val="2"/>
            <w:tcBorders/>
            <w:shd w:fill="auto" w:val="clear"/>
            <w:vAlign w:val="center"/>
          </w:tcPr>
          <w:p>
            <w:pPr>
              <w:pStyle w:val="TableContents"/>
              <w:spacing w:before="0" w:after="0"/>
              <w:ind w:left="0" w:right="0" w:hanging="0"/>
              <w:rPr/>
            </w:pPr>
            <w:r>
              <w:rPr/>
              <w:t> </w:t>
            </w:r>
          </w:p>
        </w:tc>
        <w:tc>
          <w:tcPr>
            <w:tcW w:w="295" w:type="dxa"/>
            <w:tcBorders/>
            <w:shd w:fill="auto" w:val="clear"/>
            <w:vAlign w:val="center"/>
          </w:tcPr>
          <w:p>
            <w:pPr>
              <w:pStyle w:val="TableContents"/>
              <w:spacing w:before="0" w:after="0"/>
              <w:ind w:left="0" w:right="0" w:hanging="0"/>
              <w:rPr/>
            </w:pPr>
            <w:r>
              <w:rPr/>
              <w:t> </w:t>
            </w:r>
          </w:p>
        </w:tc>
      </w:tr>
      <w:tr>
        <w:trPr/>
        <w:tc>
          <w:tcPr>
            <w:tcW w:w="5511" w:type="dxa"/>
            <w:tcBorders/>
            <w:shd w:fill="auto" w:val="clear"/>
            <w:vAlign w:val="cente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Personal Lines:</w:t>
            </w:r>
          </w:p>
        </w:tc>
        <w:tc>
          <w:tcPr>
            <w:tcW w:w="90" w:type="dxa"/>
            <w:tcBorders/>
            <w:shd w:fill="auto" w:val="clear"/>
            <w:vAlign w:val="center"/>
          </w:tcPr>
          <w:p>
            <w:pPr>
              <w:pStyle w:val="TableContents"/>
              <w:spacing w:before="0" w:after="0"/>
              <w:ind w:left="0" w:right="0" w:hanging="0"/>
              <w:rPr/>
            </w:pPr>
            <w:r>
              <w:rPr/>
              <w:t> </w:t>
            </w:r>
          </w:p>
        </w:tc>
        <w:tc>
          <w:tcPr>
            <w:tcW w:w="1213"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13"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13" w:type="dxa"/>
            <w:gridSpan w:val="2"/>
            <w:tcBorders/>
            <w:shd w:fill="auto" w:val="clear"/>
            <w:vAlign w:val="center"/>
          </w:tcPr>
          <w:p>
            <w:pPr>
              <w:pStyle w:val="TableContents"/>
              <w:spacing w:before="0" w:after="0"/>
              <w:ind w:left="0" w:right="0" w:hanging="0"/>
              <w:rPr/>
            </w:pPr>
            <w:r>
              <w:rPr/>
              <w:t> </w:t>
            </w:r>
          </w:p>
        </w:tc>
        <w:tc>
          <w:tcPr>
            <w:tcW w:w="295" w:type="dxa"/>
            <w:tcBorders/>
            <w:shd w:fill="auto" w:val="clear"/>
            <w:vAlign w:val="center"/>
          </w:tcPr>
          <w:p>
            <w:pPr>
              <w:pStyle w:val="TableContents"/>
              <w:spacing w:before="0" w:after="0"/>
              <w:ind w:left="0" w:right="0" w:hanging="0"/>
              <w:rPr/>
            </w:pPr>
            <w:r>
              <w:rPr/>
              <w:t> </w:t>
            </w:r>
          </w:p>
        </w:tc>
      </w:tr>
      <w:tr>
        <w:trPr/>
        <w:tc>
          <w:tcPr>
            <w:tcW w:w="5511" w:type="dxa"/>
            <w:tcBorders/>
            <w:shd w:fill="auto" w:val="clear"/>
            <w:vAlign w:val="center"/>
          </w:tcPr>
          <w:p>
            <w:pPr>
              <w:pStyle w:val="TableContents"/>
              <w:spacing w:before="0" w:after="0"/>
              <w:ind w:left="0" w:right="0" w:hanging="0"/>
              <w:rPr/>
            </w:pPr>
            <w:r>
              <w:rPr/>
              <w:t> </w:t>
            </w:r>
            <w:r>
              <w:rPr>
                <w:rFonts w:ascii="times new roman" w:hAnsi="times new roman"/>
                <w:sz w:val="20"/>
              </w:rPr>
              <w:t xml:space="preserve">Personal Umbrella </w:t>
            </w:r>
          </w:p>
        </w:tc>
        <w:tc>
          <w:tcPr>
            <w:tcW w:w="90" w:type="dxa"/>
            <w:tcBorders/>
            <w:shd w:fill="auto" w:val="clear"/>
            <w:vAlign w:val="center"/>
          </w:tcPr>
          <w:p>
            <w:pPr>
              <w:pStyle w:val="TableContents"/>
              <w:spacing w:before="0" w:after="0"/>
              <w:ind w:left="0" w:right="0" w:hanging="0"/>
              <w:rPr/>
            </w:pPr>
            <w:r>
              <w:rPr/>
              <w:t> </w:t>
            </w:r>
          </w:p>
        </w:tc>
        <w:tc>
          <w:tcPr>
            <w:tcW w:w="1213"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13"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13" w:type="dxa"/>
            <w:gridSpan w:val="2"/>
            <w:tcBorders/>
            <w:shd w:fill="auto" w:val="clear"/>
            <w:vAlign w:val="center"/>
          </w:tcPr>
          <w:p>
            <w:pPr>
              <w:pStyle w:val="TableContents"/>
              <w:spacing w:before="0" w:after="0"/>
              <w:ind w:left="0" w:right="0" w:hanging="0"/>
              <w:rPr/>
            </w:pPr>
            <w:r>
              <w:rPr/>
              <w:t> </w:t>
            </w:r>
          </w:p>
        </w:tc>
        <w:tc>
          <w:tcPr>
            <w:tcW w:w="295" w:type="dxa"/>
            <w:tcBorders/>
            <w:shd w:fill="auto" w:val="clear"/>
            <w:vAlign w:val="center"/>
          </w:tcPr>
          <w:p>
            <w:pPr>
              <w:pStyle w:val="TableContents"/>
              <w:spacing w:before="0" w:after="0"/>
              <w:ind w:left="0" w:right="0" w:hanging="0"/>
              <w:rPr/>
            </w:pPr>
            <w:r>
              <w:rPr/>
              <w:t> </w:t>
            </w:r>
          </w:p>
        </w:tc>
      </w:tr>
      <w:tr>
        <w:trPr/>
        <w:tc>
          <w:tcPr>
            <w:tcW w:w="5511" w:type="dxa"/>
            <w:tcBorders/>
            <w:shd w:fill="auto" w:val="clear"/>
            <w:vAlign w:val="center"/>
          </w:tcPr>
          <w:p>
            <w:pPr>
              <w:pStyle w:val="TableContents"/>
              <w:spacing w:before="0" w:after="0"/>
              <w:ind w:left="0" w:right="0" w:firstLine="180"/>
              <w:rPr/>
            </w:pPr>
            <w:r>
              <w:rPr/>
              <w:t> </w:t>
            </w:r>
            <w:r>
              <w:rPr>
                <w:rFonts w:ascii="times new roman" w:hAnsi="times new roman"/>
                <w:sz w:val="20"/>
              </w:rPr>
              <w:t xml:space="preserve">Quota share treaty: </w:t>
            </w:r>
          </w:p>
        </w:tc>
        <w:tc>
          <w:tcPr>
            <w:tcW w:w="90" w:type="dxa"/>
            <w:tcBorders/>
            <w:shd w:fill="auto" w:val="clear"/>
            <w:vAlign w:val="center"/>
          </w:tcPr>
          <w:p>
            <w:pPr>
              <w:pStyle w:val="TableContents"/>
              <w:spacing w:before="0" w:after="0"/>
              <w:ind w:left="0" w:right="0" w:hanging="0"/>
              <w:rPr/>
            </w:pPr>
            <w:r>
              <w:rPr/>
              <w:t> </w:t>
            </w:r>
          </w:p>
        </w:tc>
        <w:tc>
          <w:tcPr>
            <w:tcW w:w="1213"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13"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13" w:type="dxa"/>
            <w:gridSpan w:val="2"/>
            <w:tcBorders/>
            <w:shd w:fill="auto" w:val="clear"/>
            <w:vAlign w:val="center"/>
          </w:tcPr>
          <w:p>
            <w:pPr>
              <w:pStyle w:val="TableContents"/>
              <w:spacing w:before="0" w:after="0"/>
              <w:ind w:left="0" w:right="0" w:hanging="0"/>
              <w:rPr/>
            </w:pPr>
            <w:r>
              <w:rPr/>
              <w:t> </w:t>
            </w:r>
          </w:p>
        </w:tc>
        <w:tc>
          <w:tcPr>
            <w:tcW w:w="295" w:type="dxa"/>
            <w:tcBorders/>
            <w:shd w:fill="auto" w:val="clear"/>
            <w:vAlign w:val="center"/>
          </w:tcPr>
          <w:p>
            <w:pPr>
              <w:pStyle w:val="TableContents"/>
              <w:spacing w:before="0" w:after="0"/>
              <w:ind w:left="0" w:right="0" w:hanging="0"/>
              <w:rPr/>
            </w:pPr>
            <w:r>
              <w:rPr/>
              <w:t> </w:t>
            </w:r>
          </w:p>
        </w:tc>
      </w:tr>
      <w:tr>
        <w:trPr/>
        <w:tc>
          <w:tcPr>
            <w:tcW w:w="5511" w:type="dxa"/>
            <w:tcBorders/>
            <w:shd w:fill="CCEEFF" w:val="clear"/>
            <w:vAlign w:val="center"/>
          </w:tcPr>
          <w:p>
            <w:pPr>
              <w:pStyle w:val="TableContents"/>
              <w:spacing w:before="0" w:after="0"/>
              <w:ind w:left="0" w:right="0" w:firstLine="540"/>
              <w:rPr/>
            </w:pPr>
            <w:r>
              <w:rPr/>
              <w:t> </w:t>
            </w:r>
            <w:r>
              <w:rPr>
                <w:rFonts w:ascii="times new roman" w:hAnsi="times new roman"/>
                <w:sz w:val="20"/>
              </w:rPr>
              <w:t xml:space="preserve">Percent ceded - first $1,000,000 of coverage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0"/>
              <w:ind w:left="0" w:right="0" w:hanging="0"/>
              <w:rPr/>
            </w:pPr>
            <w:r>
              <w:rPr/>
              <w:t> </w:t>
            </w:r>
          </w:p>
        </w:tc>
        <w:tc>
          <w:tcPr>
            <w:tcW w:w="1039" w:type="dxa"/>
            <w:tcBorders/>
            <w:shd w:fill="CCEEFF" w:val="clear"/>
            <w:vAlign w:val="center"/>
          </w:tcPr>
          <w:p>
            <w:pPr>
              <w:pStyle w:val="TableContents"/>
              <w:spacing w:before="0" w:after="283"/>
              <w:jc w:val="right"/>
              <w:rPr/>
            </w:pPr>
            <w:r>
              <w:rPr/>
              <w:t>90</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0"/>
              <w:ind w:left="0" w:right="0" w:hanging="0"/>
              <w:rPr/>
            </w:pPr>
            <w:r>
              <w:rPr/>
              <w:t> </w:t>
            </w:r>
          </w:p>
        </w:tc>
        <w:tc>
          <w:tcPr>
            <w:tcW w:w="1039" w:type="dxa"/>
            <w:tcBorders/>
            <w:shd w:fill="CCEEFF" w:val="clear"/>
            <w:vAlign w:val="center"/>
          </w:tcPr>
          <w:p>
            <w:pPr>
              <w:pStyle w:val="TableContents"/>
              <w:spacing w:before="0" w:after="283"/>
              <w:jc w:val="right"/>
              <w:rPr/>
            </w:pPr>
            <w:r>
              <w:rPr/>
              <w:t>90</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0"/>
              <w:ind w:left="0" w:right="0" w:hanging="0"/>
              <w:rPr/>
            </w:pPr>
            <w:r>
              <w:rPr/>
              <w:t> </w:t>
            </w:r>
          </w:p>
        </w:tc>
        <w:tc>
          <w:tcPr>
            <w:tcW w:w="1039" w:type="dxa"/>
            <w:tcBorders/>
            <w:shd w:fill="CCEEFF" w:val="clear"/>
            <w:vAlign w:val="center"/>
          </w:tcPr>
          <w:p>
            <w:pPr>
              <w:pStyle w:val="TableContents"/>
              <w:spacing w:before="0" w:after="283"/>
              <w:jc w:val="right"/>
              <w:rPr/>
            </w:pPr>
            <w:r>
              <w:rPr/>
              <w:t>90</w:t>
            </w:r>
          </w:p>
        </w:tc>
        <w:tc>
          <w:tcPr>
            <w:tcW w:w="295" w:type="dxa"/>
            <w:tcBorders/>
            <w:shd w:fill="CCEEFF" w:val="clear"/>
            <w:vAlign w:val="center"/>
          </w:tcPr>
          <w:p>
            <w:pPr>
              <w:pStyle w:val="TableContents"/>
              <w:spacing w:before="0" w:after="283"/>
              <w:rPr/>
            </w:pPr>
            <w:r>
              <w:rPr/>
              <w:t>%</w:t>
            </w:r>
          </w:p>
        </w:tc>
      </w:tr>
      <w:tr>
        <w:trPr/>
        <w:tc>
          <w:tcPr>
            <w:tcW w:w="5511" w:type="dxa"/>
            <w:tcBorders/>
            <w:shd w:fill="FFFFFF" w:val="clear"/>
            <w:vAlign w:val="center"/>
          </w:tcPr>
          <w:p>
            <w:pPr>
              <w:pStyle w:val="TableContents"/>
              <w:spacing w:before="0" w:after="0"/>
              <w:ind w:left="0" w:right="0" w:firstLine="540"/>
              <w:rPr/>
            </w:pPr>
            <w:r>
              <w:rPr/>
              <w:t> </w:t>
            </w:r>
            <w:r>
              <w:rPr>
                <w:rFonts w:ascii="times new roman" w:hAnsi="times new roman"/>
                <w:sz w:val="20"/>
              </w:rPr>
              <w:t xml:space="preserve">Percent ceded - excess of $1,000,000 dollars of coverage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0"/>
              <w:ind w:left="0" w:right="0" w:hanging="0"/>
              <w:rPr/>
            </w:pPr>
            <w:r>
              <w:rPr/>
              <w:t> </w:t>
            </w:r>
          </w:p>
        </w:tc>
        <w:tc>
          <w:tcPr>
            <w:tcW w:w="1039" w:type="dxa"/>
            <w:tcBorders/>
            <w:shd w:fill="FFFFFF" w:val="clear"/>
            <w:vAlign w:val="center"/>
          </w:tcPr>
          <w:p>
            <w:pPr>
              <w:pStyle w:val="TableContents"/>
              <w:spacing w:before="0" w:after="283"/>
              <w:jc w:val="right"/>
              <w:rPr/>
            </w:pPr>
            <w:r>
              <w:rPr/>
              <w:t>95</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0"/>
              <w:ind w:left="0" w:right="0" w:hanging="0"/>
              <w:rPr/>
            </w:pPr>
            <w:r>
              <w:rPr/>
              <w:t> </w:t>
            </w:r>
          </w:p>
        </w:tc>
        <w:tc>
          <w:tcPr>
            <w:tcW w:w="1039" w:type="dxa"/>
            <w:tcBorders/>
            <w:shd w:fill="FFFFFF" w:val="clear"/>
            <w:vAlign w:val="center"/>
          </w:tcPr>
          <w:p>
            <w:pPr>
              <w:pStyle w:val="TableContents"/>
              <w:spacing w:before="0" w:after="283"/>
              <w:jc w:val="right"/>
              <w:rPr/>
            </w:pPr>
            <w:r>
              <w:rPr/>
              <w:t>95</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0"/>
              <w:ind w:left="0" w:right="0" w:hanging="0"/>
              <w:rPr/>
            </w:pPr>
            <w:r>
              <w:rPr/>
              <w:t> </w:t>
            </w:r>
          </w:p>
        </w:tc>
        <w:tc>
          <w:tcPr>
            <w:tcW w:w="1039" w:type="dxa"/>
            <w:tcBorders/>
            <w:shd w:fill="FFFFFF" w:val="clear"/>
            <w:vAlign w:val="center"/>
          </w:tcPr>
          <w:p>
            <w:pPr>
              <w:pStyle w:val="TableContents"/>
              <w:spacing w:before="0" w:after="283"/>
              <w:jc w:val="right"/>
              <w:rPr/>
            </w:pPr>
            <w:r>
              <w:rPr/>
              <w:t>95</w:t>
            </w:r>
          </w:p>
        </w:tc>
        <w:tc>
          <w:tcPr>
            <w:tcW w:w="295" w:type="dxa"/>
            <w:tcBorders/>
            <w:shd w:fill="FFFFFF" w:val="clear"/>
            <w:vAlign w:val="center"/>
          </w:tcPr>
          <w:p>
            <w:pPr>
              <w:pStyle w:val="TableContents"/>
              <w:spacing w:before="0" w:after="283"/>
              <w:rPr/>
            </w:pPr>
            <w:r>
              <w:rPr/>
              <w:t>%</w:t>
            </w:r>
          </w:p>
        </w:tc>
      </w:tr>
      <w:tr>
        <w:trPr/>
        <w:tc>
          <w:tcPr>
            <w:tcW w:w="5511" w:type="dxa"/>
            <w:tcBorders/>
            <w:shd w:fill="CCEEFF" w:val="clear"/>
            <w:vAlign w:val="center"/>
          </w:tcPr>
          <w:p>
            <w:pPr>
              <w:pStyle w:val="TableContents"/>
              <w:spacing w:before="0" w:after="0"/>
              <w:ind w:left="0" w:right="0" w:firstLine="540"/>
              <w:rPr/>
            </w:pPr>
            <w:r>
              <w:rPr/>
              <w:t> </w:t>
            </w:r>
            <w:r>
              <w:rPr>
                <w:rFonts w:ascii="times new roman" w:hAnsi="times new roman"/>
                <w:sz w:val="20"/>
              </w:rPr>
              <w:t xml:space="preserve">Risk retained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283"/>
              <w:rPr/>
            </w:pPr>
            <w:r>
              <w:rPr/>
              <w:t>$</w:t>
            </w:r>
          </w:p>
        </w:tc>
        <w:tc>
          <w:tcPr>
            <w:tcW w:w="1039" w:type="dxa"/>
            <w:tcBorders/>
            <w:shd w:fill="CCEEFF" w:val="clear"/>
            <w:vAlign w:val="center"/>
          </w:tcPr>
          <w:p>
            <w:pPr>
              <w:pStyle w:val="TableContents"/>
              <w:spacing w:before="0" w:after="283"/>
              <w:jc w:val="right"/>
              <w:rPr/>
            </w:pPr>
            <w:r>
              <w:rPr/>
              <w:t>300,000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283"/>
              <w:rPr/>
            </w:pPr>
            <w:r>
              <w:rPr/>
              <w:t>$</w:t>
            </w:r>
          </w:p>
        </w:tc>
        <w:tc>
          <w:tcPr>
            <w:tcW w:w="1039" w:type="dxa"/>
            <w:tcBorders/>
            <w:shd w:fill="CCEEFF" w:val="clear"/>
            <w:vAlign w:val="center"/>
          </w:tcPr>
          <w:p>
            <w:pPr>
              <w:pStyle w:val="TableContents"/>
              <w:spacing w:before="0" w:after="283"/>
              <w:jc w:val="right"/>
              <w:rPr/>
            </w:pPr>
            <w:r>
              <w:rPr/>
              <w:t>300,000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283"/>
              <w:rPr/>
            </w:pPr>
            <w:r>
              <w:rPr/>
              <w:t>$</w:t>
            </w:r>
          </w:p>
        </w:tc>
        <w:tc>
          <w:tcPr>
            <w:tcW w:w="1039" w:type="dxa"/>
            <w:tcBorders/>
            <w:shd w:fill="CCEEFF" w:val="clear"/>
            <w:vAlign w:val="center"/>
          </w:tcPr>
          <w:p>
            <w:pPr>
              <w:pStyle w:val="TableContents"/>
              <w:spacing w:before="0" w:after="283"/>
              <w:jc w:val="right"/>
              <w:rPr/>
            </w:pPr>
            <w:r>
              <w:rPr/>
              <w:t>300,000</w:t>
            </w:r>
          </w:p>
        </w:tc>
        <w:tc>
          <w:tcPr>
            <w:tcW w:w="295" w:type="dxa"/>
            <w:tcBorders/>
            <w:shd w:fill="CCEEFF" w:val="clear"/>
            <w:vAlign w:val="center"/>
          </w:tcPr>
          <w:p>
            <w:pPr>
              <w:pStyle w:val="TableContents"/>
              <w:spacing w:before="0" w:after="0"/>
              <w:ind w:left="0" w:right="0" w:hanging="0"/>
              <w:rPr/>
            </w:pPr>
            <w:r>
              <w:rPr/>
              <w:t> </w:t>
            </w:r>
          </w:p>
        </w:tc>
      </w:tr>
      <w:tr>
        <w:trPr/>
        <w:tc>
          <w:tcPr>
            <w:tcW w:w="5511" w:type="dxa"/>
            <w:tcBorders/>
            <w:shd w:fill="FFFFFF" w:val="clear"/>
            <w:vAlign w:val="center"/>
          </w:tcPr>
          <w:p>
            <w:pPr>
              <w:pStyle w:val="TableContents"/>
              <w:spacing w:before="0" w:after="0"/>
              <w:ind w:left="0" w:right="0" w:firstLine="540"/>
              <w:rPr/>
            </w:pPr>
            <w:r>
              <w:rPr/>
              <w:t> </w:t>
            </w:r>
            <w:r>
              <w:rPr>
                <w:rFonts w:ascii="times new roman" w:hAnsi="times new roman"/>
                <w:sz w:val="20"/>
              </w:rPr>
              <w:t xml:space="preserve">Total reinsurance coverage per occurrence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283"/>
              <w:rPr/>
            </w:pPr>
            <w:r>
              <w:rPr/>
              <w:t>$</w:t>
            </w:r>
          </w:p>
        </w:tc>
        <w:tc>
          <w:tcPr>
            <w:tcW w:w="1039" w:type="dxa"/>
            <w:tcBorders/>
            <w:shd w:fill="FFFFFF" w:val="clear"/>
            <w:vAlign w:val="center"/>
          </w:tcPr>
          <w:p>
            <w:pPr>
              <w:pStyle w:val="TableContents"/>
              <w:spacing w:before="0" w:after="283"/>
              <w:jc w:val="right"/>
              <w:rPr/>
            </w:pPr>
            <w:r>
              <w:rPr/>
              <w:t>4,700,000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283"/>
              <w:rPr/>
            </w:pPr>
            <w:r>
              <w:rPr/>
              <w:t>$</w:t>
            </w:r>
          </w:p>
        </w:tc>
        <w:tc>
          <w:tcPr>
            <w:tcW w:w="1039" w:type="dxa"/>
            <w:tcBorders/>
            <w:shd w:fill="FFFFFF" w:val="clear"/>
            <w:vAlign w:val="center"/>
          </w:tcPr>
          <w:p>
            <w:pPr>
              <w:pStyle w:val="TableContents"/>
              <w:spacing w:before="0" w:after="283"/>
              <w:jc w:val="right"/>
              <w:rPr/>
            </w:pPr>
            <w:r>
              <w:rPr/>
              <w:t>4,700,000</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283"/>
              <w:rPr/>
            </w:pPr>
            <w:r>
              <w:rPr/>
              <w:t>$</w:t>
            </w:r>
          </w:p>
        </w:tc>
        <w:tc>
          <w:tcPr>
            <w:tcW w:w="1039" w:type="dxa"/>
            <w:tcBorders/>
            <w:shd w:fill="FFFFFF" w:val="clear"/>
            <w:vAlign w:val="center"/>
          </w:tcPr>
          <w:p>
            <w:pPr>
              <w:pStyle w:val="TableContents"/>
              <w:spacing w:before="0" w:after="283"/>
              <w:jc w:val="right"/>
              <w:rPr/>
            </w:pPr>
            <w:r>
              <w:rPr/>
              <w:t>4,700,000</w:t>
            </w:r>
          </w:p>
        </w:tc>
        <w:tc>
          <w:tcPr>
            <w:tcW w:w="295" w:type="dxa"/>
            <w:tcBorders/>
            <w:shd w:fill="FFFFFF" w:val="clear"/>
            <w:vAlign w:val="center"/>
          </w:tcPr>
          <w:p>
            <w:pPr>
              <w:pStyle w:val="TableContents"/>
              <w:spacing w:before="0" w:after="0"/>
              <w:ind w:left="0" w:right="0" w:hanging="0"/>
              <w:rPr/>
            </w:pPr>
            <w:r>
              <w:rPr/>
              <w:t> </w:t>
            </w:r>
          </w:p>
        </w:tc>
      </w:tr>
      <w:tr>
        <w:trPr/>
        <w:tc>
          <w:tcPr>
            <w:tcW w:w="5511" w:type="dxa"/>
            <w:tcBorders/>
            <w:shd w:fill="CCEEFF" w:val="clear"/>
            <w:vAlign w:val="center"/>
          </w:tcPr>
          <w:p>
            <w:pPr>
              <w:pStyle w:val="TableContents"/>
              <w:spacing w:before="0" w:after="0"/>
              <w:ind w:left="0" w:right="0" w:firstLine="540"/>
              <w:rPr/>
            </w:pPr>
            <w:r>
              <w:rPr/>
              <w:t> </w:t>
            </w:r>
            <w:r>
              <w:rPr>
                <w:rFonts w:ascii="times new roman" w:hAnsi="times new roman"/>
                <w:sz w:val="20"/>
              </w:rPr>
              <w:t xml:space="preserve">Losses per occurrence subject to quota share reinsurance coverage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283"/>
              <w:rPr/>
            </w:pPr>
            <w:r>
              <w:rPr/>
              <w:t>$</w:t>
            </w:r>
          </w:p>
        </w:tc>
        <w:tc>
          <w:tcPr>
            <w:tcW w:w="1039" w:type="dxa"/>
            <w:tcBorders/>
            <w:shd w:fill="CCEEFF" w:val="clear"/>
            <w:vAlign w:val="center"/>
          </w:tcPr>
          <w:p>
            <w:pPr>
              <w:pStyle w:val="TableContents"/>
              <w:spacing w:before="0" w:after="283"/>
              <w:jc w:val="right"/>
              <w:rPr/>
            </w:pPr>
            <w:r>
              <w:rPr/>
              <w:t>5,000,000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283"/>
              <w:rPr/>
            </w:pPr>
            <w:r>
              <w:rPr/>
              <w:t>$</w:t>
            </w:r>
          </w:p>
        </w:tc>
        <w:tc>
          <w:tcPr>
            <w:tcW w:w="1039" w:type="dxa"/>
            <w:tcBorders/>
            <w:shd w:fill="CCEEFF" w:val="clear"/>
            <w:vAlign w:val="center"/>
          </w:tcPr>
          <w:p>
            <w:pPr>
              <w:pStyle w:val="TableContents"/>
              <w:spacing w:before="0" w:after="283"/>
              <w:jc w:val="right"/>
              <w:rPr/>
            </w:pPr>
            <w:r>
              <w:rPr/>
              <w:t>5,000,000</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283"/>
              <w:rPr/>
            </w:pPr>
            <w:r>
              <w:rPr/>
              <w:t>$</w:t>
            </w:r>
          </w:p>
        </w:tc>
        <w:tc>
          <w:tcPr>
            <w:tcW w:w="1039" w:type="dxa"/>
            <w:tcBorders/>
            <w:shd w:fill="CCEEFF" w:val="clear"/>
            <w:vAlign w:val="center"/>
          </w:tcPr>
          <w:p>
            <w:pPr>
              <w:pStyle w:val="TableContents"/>
              <w:spacing w:before="0" w:after="283"/>
              <w:jc w:val="right"/>
              <w:rPr/>
            </w:pPr>
            <w:r>
              <w:rPr/>
              <w:t>5,000,000</w:t>
            </w:r>
          </w:p>
        </w:tc>
        <w:tc>
          <w:tcPr>
            <w:tcW w:w="295" w:type="dxa"/>
            <w:tcBorders/>
            <w:shd w:fill="CCEEFF" w:val="clear"/>
            <w:vAlign w:val="center"/>
          </w:tcPr>
          <w:p>
            <w:pPr>
              <w:pStyle w:val="TableContents"/>
              <w:spacing w:before="0" w:after="0"/>
              <w:ind w:left="0" w:right="0" w:hanging="0"/>
              <w:rPr/>
            </w:pPr>
            <w:r>
              <w:rPr/>
              <w:t> </w:t>
            </w:r>
          </w:p>
        </w:tc>
      </w:tr>
      <w:tr>
        <w:trPr/>
        <w:tc>
          <w:tcPr>
            <w:tcW w:w="5511" w:type="dxa"/>
            <w:tcBorders/>
            <w:shd w:fill="FFFFFF" w:val="clear"/>
            <w:vAlign w:val="center"/>
          </w:tcPr>
          <w:p>
            <w:pPr>
              <w:pStyle w:val="TableContents"/>
              <w:spacing w:before="0" w:after="0"/>
              <w:ind w:left="0" w:right="0" w:firstLine="180"/>
              <w:rPr/>
            </w:pPr>
            <w:r>
              <w:rPr/>
              <w:t> </w:t>
            </w:r>
            <w:r>
              <w:rPr>
                <w:rFonts w:ascii="times new roman" w:hAnsi="times new roman"/>
                <w:sz w:val="20"/>
              </w:rPr>
              <w:t xml:space="preserve">Expiration date </w:t>
            </w:r>
          </w:p>
        </w:tc>
        <w:tc>
          <w:tcPr>
            <w:tcW w:w="90" w:type="dxa"/>
            <w:tcBorders/>
            <w:shd w:fill="FFFFFF" w:val="clear"/>
            <w:vAlign w:val="center"/>
          </w:tcPr>
          <w:p>
            <w:pPr>
              <w:pStyle w:val="TableContents"/>
              <w:spacing w:before="0" w:after="0"/>
              <w:ind w:left="0" w:right="0" w:hanging="0"/>
              <w:rPr/>
            </w:pPr>
            <w:r>
              <w:rPr/>
              <w:t> </w:t>
            </w:r>
          </w:p>
        </w:tc>
        <w:tc>
          <w:tcPr>
            <w:tcW w:w="1213" w:type="dxa"/>
            <w:gridSpan w:val="2"/>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June 30, 2023</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213" w:type="dxa"/>
            <w:gridSpan w:val="2"/>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June 30, 2022</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213" w:type="dxa"/>
            <w:gridSpan w:val="2"/>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June 30, 2021</w:t>
            </w:r>
          </w:p>
        </w:tc>
        <w:tc>
          <w:tcPr>
            <w:tcW w:w="295" w:type="dxa"/>
            <w:tcBorders/>
            <w:shd w:fill="FFFFFF" w:val="clear"/>
            <w:vAlign w:val="center"/>
          </w:tcPr>
          <w:p>
            <w:pPr>
              <w:pStyle w:val="TableContents"/>
              <w:spacing w:before="0" w:after="0"/>
              <w:ind w:left="0" w:right="0" w:hanging="0"/>
              <w:rPr/>
            </w:pPr>
            <w:r>
              <w:rPr/>
              <w:t> </w:t>
            </w:r>
          </w:p>
        </w:tc>
      </w:tr>
      <w:tr>
        <w:trPr/>
        <w:tc>
          <w:tcPr>
            <w:tcW w:w="5511"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0"/>
              <w:ind w:left="0" w:right="0" w:hanging="0"/>
              <w:rPr/>
            </w:pPr>
            <w:r>
              <w:rPr/>
              <w:t> </w:t>
            </w:r>
          </w:p>
        </w:tc>
        <w:tc>
          <w:tcPr>
            <w:tcW w:w="1039"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0"/>
              <w:ind w:left="0" w:right="0" w:hanging="0"/>
              <w:rPr/>
            </w:pPr>
            <w:r>
              <w:rPr/>
              <w:t> </w:t>
            </w:r>
          </w:p>
        </w:tc>
        <w:tc>
          <w:tcPr>
            <w:tcW w:w="1039"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0"/>
              <w:ind w:left="0" w:right="0" w:hanging="0"/>
              <w:rPr/>
            </w:pPr>
            <w:r>
              <w:rPr/>
              <w:t> </w:t>
            </w:r>
          </w:p>
        </w:tc>
        <w:tc>
          <w:tcPr>
            <w:tcW w:w="1039" w:type="dxa"/>
            <w:tcBorders/>
            <w:shd w:fill="CCEEFF" w:val="clear"/>
            <w:vAlign w:val="center"/>
          </w:tcPr>
          <w:p>
            <w:pPr>
              <w:pStyle w:val="TableContents"/>
              <w:spacing w:before="0" w:after="0"/>
              <w:ind w:left="0" w:right="0" w:hanging="0"/>
              <w:rPr/>
            </w:pPr>
            <w:r>
              <w:rPr/>
              <w:t> </w:t>
            </w:r>
          </w:p>
        </w:tc>
        <w:tc>
          <w:tcPr>
            <w:tcW w:w="295" w:type="dxa"/>
            <w:tcBorders/>
            <w:shd w:fill="CCEEFF" w:val="clear"/>
            <w:vAlign w:val="center"/>
          </w:tcPr>
          <w:p>
            <w:pPr>
              <w:pStyle w:val="TableContents"/>
              <w:spacing w:before="0" w:after="0"/>
              <w:ind w:left="0" w:right="0" w:hanging="0"/>
              <w:rPr/>
            </w:pPr>
            <w:r>
              <w:rPr/>
              <w:t> </w:t>
            </w:r>
          </w:p>
        </w:tc>
      </w:tr>
      <w:tr>
        <w:trPr/>
        <w:tc>
          <w:tcPr>
            <w:tcW w:w="5511" w:type="dxa"/>
            <w:tcBorders/>
            <w:shd w:fill="FFFFFF" w:val="clear"/>
            <w:vAlign w:val="cente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Commercial Lines (1):</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0"/>
              <w:ind w:left="0" w:right="0" w:hanging="0"/>
              <w:rPr/>
            </w:pPr>
            <w:r>
              <w:rPr/>
              <w:t> </w:t>
            </w:r>
          </w:p>
        </w:tc>
        <w:tc>
          <w:tcPr>
            <w:tcW w:w="1039"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0"/>
              <w:ind w:left="0" w:right="0" w:hanging="0"/>
              <w:rPr/>
            </w:pPr>
            <w:r>
              <w:rPr/>
              <w:t> </w:t>
            </w:r>
          </w:p>
        </w:tc>
        <w:tc>
          <w:tcPr>
            <w:tcW w:w="1039"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0"/>
              <w:ind w:left="0" w:right="0" w:hanging="0"/>
              <w:rPr/>
            </w:pPr>
            <w:r>
              <w:rPr/>
              <w:t> </w:t>
            </w:r>
          </w:p>
        </w:tc>
        <w:tc>
          <w:tcPr>
            <w:tcW w:w="1039" w:type="dxa"/>
            <w:tcBorders/>
            <w:shd w:fill="FFFFFF" w:val="clear"/>
            <w:vAlign w:val="center"/>
          </w:tcPr>
          <w:p>
            <w:pPr>
              <w:pStyle w:val="TableContents"/>
              <w:spacing w:before="0" w:after="0"/>
              <w:ind w:left="0" w:right="0" w:hanging="0"/>
              <w:rPr/>
            </w:pPr>
            <w:r>
              <w:rPr/>
              <w:t> </w:t>
            </w:r>
          </w:p>
        </w:tc>
        <w:tc>
          <w:tcPr>
            <w:tcW w:w="295" w:type="dxa"/>
            <w:tcBorders/>
            <w:shd w:fill="FFFFFF" w:val="clear"/>
            <w:vAlign w:val="center"/>
          </w:tcPr>
          <w:p>
            <w:pPr>
              <w:pStyle w:val="TableContents"/>
              <w:spacing w:before="0" w:after="0"/>
              <w:ind w:left="0" w:right="0" w:hanging="0"/>
              <w:rPr/>
            </w:pPr>
            <w:r>
              <w:rPr/>
              <w:t> </w:t>
            </w:r>
          </w:p>
        </w:tc>
      </w:tr>
      <w:tr>
        <w:trPr/>
        <w:tc>
          <w:tcPr>
            <w:tcW w:w="5511" w:type="dxa"/>
            <w:tcBorders/>
            <w:shd w:fill="CCEEFF" w:val="clear"/>
            <w:vAlign w:val="center"/>
          </w:tcPr>
          <w:p>
            <w:pPr>
              <w:pStyle w:val="TableContents"/>
              <w:spacing w:before="0" w:after="0"/>
              <w:ind w:left="0" w:right="0" w:hanging="0"/>
              <w:rPr/>
            </w:pPr>
            <w:r>
              <w:rPr/>
              <w:t> </w:t>
            </w:r>
            <w:r>
              <w:rPr>
                <w:rFonts w:ascii="times new roman" w:hAnsi="times new roman"/>
                <w:sz w:val="20"/>
              </w:rPr>
              <w:t xml:space="preserve">General liability commercial policies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0"/>
              <w:ind w:left="0" w:right="0" w:hanging="0"/>
              <w:rPr/>
            </w:pPr>
            <w:r>
              <w:rPr/>
              <w:t> </w:t>
            </w:r>
          </w:p>
        </w:tc>
        <w:tc>
          <w:tcPr>
            <w:tcW w:w="1039"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0"/>
              <w:ind w:left="0" w:right="0" w:hanging="0"/>
              <w:rPr/>
            </w:pPr>
            <w:r>
              <w:rPr/>
              <w:t> </w:t>
            </w:r>
          </w:p>
        </w:tc>
        <w:tc>
          <w:tcPr>
            <w:tcW w:w="1039"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0"/>
              <w:ind w:left="0" w:right="0" w:hanging="0"/>
              <w:rPr/>
            </w:pPr>
            <w:r>
              <w:rPr/>
              <w:t> </w:t>
            </w:r>
          </w:p>
        </w:tc>
        <w:tc>
          <w:tcPr>
            <w:tcW w:w="1039" w:type="dxa"/>
            <w:tcBorders/>
            <w:shd w:fill="CCEEFF" w:val="clear"/>
            <w:vAlign w:val="center"/>
          </w:tcPr>
          <w:p>
            <w:pPr>
              <w:pStyle w:val="TableContents"/>
              <w:spacing w:before="0" w:after="0"/>
              <w:ind w:left="0" w:right="0" w:hanging="0"/>
              <w:rPr/>
            </w:pPr>
            <w:r>
              <w:rPr/>
              <w:t> </w:t>
            </w:r>
          </w:p>
        </w:tc>
        <w:tc>
          <w:tcPr>
            <w:tcW w:w="295" w:type="dxa"/>
            <w:tcBorders/>
            <w:shd w:fill="CCEEFF" w:val="clear"/>
            <w:vAlign w:val="center"/>
          </w:tcPr>
          <w:p>
            <w:pPr>
              <w:pStyle w:val="TableContents"/>
              <w:spacing w:before="0" w:after="0"/>
              <w:ind w:left="0" w:right="0" w:hanging="0"/>
              <w:rPr/>
            </w:pPr>
            <w:r>
              <w:rPr/>
              <w:t> </w:t>
            </w:r>
          </w:p>
        </w:tc>
      </w:tr>
      <w:tr>
        <w:trPr/>
        <w:tc>
          <w:tcPr>
            <w:tcW w:w="5511" w:type="dxa"/>
            <w:tcBorders/>
            <w:shd w:fill="FFFFFF" w:val="clear"/>
            <w:vAlign w:val="center"/>
          </w:tcPr>
          <w:p>
            <w:pPr>
              <w:pStyle w:val="TableContents"/>
              <w:spacing w:before="0" w:after="0"/>
              <w:ind w:left="0" w:right="0" w:firstLine="180"/>
              <w:rPr/>
            </w:pPr>
            <w:r>
              <w:rPr/>
              <w:t> </w:t>
            </w:r>
            <w:r>
              <w:rPr>
                <w:rFonts w:ascii="times new roman" w:hAnsi="times new roman"/>
                <w:sz w:val="20"/>
              </w:rPr>
              <w:t xml:space="preserve">Quota share treaty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0"/>
              <w:ind w:left="0" w:right="0" w:hanging="0"/>
              <w:rPr/>
            </w:pPr>
            <w:r>
              <w:rPr/>
              <w:t> </w:t>
            </w:r>
          </w:p>
        </w:tc>
        <w:tc>
          <w:tcPr>
            <w:tcW w:w="1039"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0"/>
              <w:ind w:left="0" w:right="0" w:hanging="0"/>
              <w:rPr/>
            </w:pPr>
            <w:r>
              <w:rPr/>
              <w:t> </w:t>
            </w:r>
          </w:p>
        </w:tc>
        <w:tc>
          <w:tcPr>
            <w:tcW w:w="1039"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213" w:type="dxa"/>
            <w:gridSpan w:val="2"/>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None</w:t>
            </w:r>
          </w:p>
        </w:tc>
        <w:tc>
          <w:tcPr>
            <w:tcW w:w="295" w:type="dxa"/>
            <w:tcBorders/>
            <w:shd w:fill="FFFFFF" w:val="clear"/>
            <w:vAlign w:val="center"/>
          </w:tcPr>
          <w:p>
            <w:pPr>
              <w:pStyle w:val="TableContents"/>
              <w:spacing w:before="0" w:after="0"/>
              <w:ind w:left="0" w:right="0" w:hanging="0"/>
              <w:rPr/>
            </w:pPr>
            <w:r>
              <w:rPr/>
              <w:t> </w:t>
            </w:r>
          </w:p>
        </w:tc>
      </w:tr>
      <w:tr>
        <w:trPr/>
        <w:tc>
          <w:tcPr>
            <w:tcW w:w="5511" w:type="dxa"/>
            <w:tcBorders/>
            <w:shd w:fill="CCEEFF" w:val="clear"/>
            <w:vAlign w:val="center"/>
          </w:tcPr>
          <w:p>
            <w:pPr>
              <w:pStyle w:val="TableContents"/>
              <w:spacing w:before="0" w:after="0"/>
              <w:ind w:left="0" w:right="0" w:firstLine="180"/>
              <w:rPr/>
            </w:pPr>
            <w:r>
              <w:rPr/>
              <w:t> </w:t>
            </w:r>
            <w:r>
              <w:rPr>
                <w:rFonts w:ascii="times new roman" w:hAnsi="times new roman"/>
                <w:sz w:val="20"/>
              </w:rPr>
              <w:t xml:space="preserve">Risk retained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0"/>
              <w:ind w:left="0" w:right="0" w:hanging="0"/>
              <w:rPr/>
            </w:pPr>
            <w:r>
              <w:rPr/>
              <w:t> </w:t>
            </w:r>
          </w:p>
        </w:tc>
        <w:tc>
          <w:tcPr>
            <w:tcW w:w="1039"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0"/>
              <w:ind w:left="0" w:right="0" w:hanging="0"/>
              <w:rPr/>
            </w:pPr>
            <w:r>
              <w:rPr/>
              <w:t> </w:t>
            </w:r>
          </w:p>
        </w:tc>
        <w:tc>
          <w:tcPr>
            <w:tcW w:w="1039"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283"/>
              <w:rPr/>
            </w:pPr>
            <w:r>
              <w:rPr/>
              <w:t>$</w:t>
            </w:r>
          </w:p>
        </w:tc>
        <w:tc>
          <w:tcPr>
            <w:tcW w:w="1039" w:type="dxa"/>
            <w:tcBorders/>
            <w:shd w:fill="CCEEFF" w:val="clear"/>
            <w:vAlign w:val="center"/>
          </w:tcPr>
          <w:p>
            <w:pPr>
              <w:pStyle w:val="TableContents"/>
              <w:spacing w:before="0" w:after="283"/>
              <w:jc w:val="right"/>
              <w:rPr/>
            </w:pPr>
            <w:r>
              <w:rPr/>
              <w:t>750,000</w:t>
            </w:r>
          </w:p>
        </w:tc>
        <w:tc>
          <w:tcPr>
            <w:tcW w:w="295" w:type="dxa"/>
            <w:tcBorders/>
            <w:shd w:fill="CCEEFF" w:val="clear"/>
            <w:vAlign w:val="center"/>
          </w:tcPr>
          <w:p>
            <w:pPr>
              <w:pStyle w:val="TableContents"/>
              <w:spacing w:before="0" w:after="0"/>
              <w:ind w:left="0" w:right="0" w:hanging="0"/>
              <w:rPr/>
            </w:pPr>
            <w:r>
              <w:rPr/>
              <w:t> </w:t>
            </w:r>
          </w:p>
        </w:tc>
      </w:tr>
      <w:tr>
        <w:trPr/>
        <w:tc>
          <w:tcPr>
            <w:tcW w:w="5511" w:type="dxa"/>
            <w:tcBorders/>
            <w:shd w:fill="FFFFFF" w:val="clear"/>
            <w:vAlign w:val="center"/>
          </w:tcPr>
          <w:p>
            <w:pPr>
              <w:pStyle w:val="TableContents"/>
              <w:spacing w:before="0" w:after="0"/>
              <w:ind w:left="0" w:right="0" w:firstLine="180"/>
              <w:rPr/>
            </w:pPr>
            <w:r>
              <w:rPr/>
              <w:t> </w:t>
            </w:r>
            <w:r>
              <w:rPr>
                <w:rFonts w:ascii="times new roman" w:hAnsi="times new roman"/>
                <w:sz w:val="20"/>
              </w:rPr>
              <w:t xml:space="preserve">Excess of loss coverage above risk retained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0"/>
              <w:ind w:left="0" w:right="0" w:hanging="0"/>
              <w:rPr/>
            </w:pPr>
            <w:r>
              <w:rPr/>
              <w:t> </w:t>
            </w:r>
          </w:p>
        </w:tc>
        <w:tc>
          <w:tcPr>
            <w:tcW w:w="1039"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0"/>
              <w:ind w:left="0" w:right="0" w:hanging="0"/>
              <w:rPr/>
            </w:pPr>
            <w:r>
              <w:rPr/>
              <w:t> </w:t>
            </w:r>
          </w:p>
        </w:tc>
        <w:tc>
          <w:tcPr>
            <w:tcW w:w="1039"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283"/>
              <w:rPr/>
            </w:pPr>
            <w:r>
              <w:rPr/>
              <w:t>$</w:t>
            </w:r>
          </w:p>
        </w:tc>
        <w:tc>
          <w:tcPr>
            <w:tcW w:w="1039" w:type="dxa"/>
            <w:tcBorders/>
            <w:shd w:fill="FFFFFF" w:val="clear"/>
            <w:vAlign w:val="center"/>
          </w:tcPr>
          <w:p>
            <w:pPr>
              <w:pStyle w:val="TableContents"/>
              <w:spacing w:before="0" w:after="283"/>
              <w:jc w:val="right"/>
              <w:rPr/>
            </w:pPr>
            <w:r>
              <w:rPr/>
              <w:t>3,750,000</w:t>
            </w:r>
          </w:p>
        </w:tc>
        <w:tc>
          <w:tcPr>
            <w:tcW w:w="295" w:type="dxa"/>
            <w:tcBorders/>
            <w:shd w:fill="FFFFFF" w:val="clear"/>
            <w:vAlign w:val="center"/>
          </w:tcPr>
          <w:p>
            <w:pPr>
              <w:pStyle w:val="TableContents"/>
              <w:spacing w:before="0" w:after="0"/>
              <w:ind w:left="0" w:right="0" w:hanging="0"/>
              <w:rPr/>
            </w:pPr>
            <w:r>
              <w:rPr/>
              <w:t> </w:t>
            </w:r>
          </w:p>
        </w:tc>
      </w:tr>
      <w:tr>
        <w:trPr/>
        <w:tc>
          <w:tcPr>
            <w:tcW w:w="5511"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0"/>
              <w:ind w:left="0" w:right="0" w:hanging="0"/>
              <w:rPr/>
            </w:pPr>
            <w:r>
              <w:rPr/>
              <w:t> </w:t>
            </w:r>
          </w:p>
        </w:tc>
        <w:tc>
          <w:tcPr>
            <w:tcW w:w="1039"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0"/>
              <w:ind w:left="0" w:right="0" w:hanging="0"/>
              <w:rPr/>
            </w:pPr>
            <w:r>
              <w:rPr/>
              <w:t> </w:t>
            </w:r>
          </w:p>
        </w:tc>
        <w:tc>
          <w:tcPr>
            <w:tcW w:w="1039"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213" w:type="dxa"/>
            <w:gridSpan w:val="2"/>
            <w:tcBorders/>
            <w:shd w:fill="CCEEFF" w:val="clear"/>
            <w:vAlign w:val="center"/>
          </w:tcPr>
          <w:p>
            <w:pPr>
              <w:pStyle w:val="TableContents"/>
              <w:spacing w:before="0" w:after="0"/>
              <w:ind w:left="0" w:right="0" w:hanging="0"/>
              <w:jc w:val="right"/>
              <w:rPr/>
            </w:pPr>
            <w:r>
              <w:rPr/>
              <w:t> </w:t>
            </w:r>
            <w:r>
              <w:rPr>
                <w:rFonts w:ascii="times new roman" w:hAnsi="times new roman"/>
                <w:sz w:val="20"/>
              </w:rPr>
              <w:t xml:space="preserve">in excess of </w:t>
            </w:r>
          </w:p>
        </w:tc>
        <w:tc>
          <w:tcPr>
            <w:tcW w:w="295" w:type="dxa"/>
            <w:tcBorders/>
            <w:shd w:fill="CCEEFF" w:val="clear"/>
            <w:vAlign w:val="center"/>
          </w:tcPr>
          <w:p>
            <w:pPr>
              <w:pStyle w:val="TableContents"/>
              <w:spacing w:before="0" w:after="0"/>
              <w:ind w:left="0" w:right="0" w:hanging="0"/>
              <w:rPr/>
            </w:pPr>
            <w:r>
              <w:rPr/>
              <w:t> </w:t>
            </w:r>
          </w:p>
        </w:tc>
      </w:tr>
      <w:tr>
        <w:trPr/>
        <w:tc>
          <w:tcPr>
            <w:tcW w:w="5511"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0"/>
              <w:ind w:left="0" w:right="0" w:hanging="0"/>
              <w:rPr/>
            </w:pPr>
            <w:r>
              <w:rPr/>
              <w:t> </w:t>
            </w:r>
          </w:p>
        </w:tc>
        <w:tc>
          <w:tcPr>
            <w:tcW w:w="1039"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0"/>
              <w:ind w:left="0" w:right="0" w:hanging="0"/>
              <w:rPr/>
            </w:pPr>
            <w:r>
              <w:rPr/>
              <w:t> </w:t>
            </w:r>
          </w:p>
        </w:tc>
        <w:tc>
          <w:tcPr>
            <w:tcW w:w="1039"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283"/>
              <w:rPr/>
            </w:pPr>
            <w:r>
              <w:rPr/>
              <w:t>$</w:t>
            </w:r>
          </w:p>
        </w:tc>
        <w:tc>
          <w:tcPr>
            <w:tcW w:w="1039" w:type="dxa"/>
            <w:tcBorders/>
            <w:shd w:fill="FFFFFF" w:val="clear"/>
            <w:vAlign w:val="center"/>
          </w:tcPr>
          <w:p>
            <w:pPr>
              <w:pStyle w:val="TableContents"/>
              <w:spacing w:before="0" w:after="283"/>
              <w:jc w:val="right"/>
              <w:rPr/>
            </w:pPr>
            <w:r>
              <w:rPr/>
              <w:t>750,000</w:t>
            </w:r>
          </w:p>
        </w:tc>
        <w:tc>
          <w:tcPr>
            <w:tcW w:w="295" w:type="dxa"/>
            <w:tcBorders/>
            <w:shd w:fill="FFFFFF" w:val="clear"/>
            <w:vAlign w:val="center"/>
          </w:tcPr>
          <w:p>
            <w:pPr>
              <w:pStyle w:val="TableContents"/>
              <w:spacing w:before="0" w:after="0"/>
              <w:ind w:left="0" w:right="0" w:hanging="0"/>
              <w:rPr/>
            </w:pPr>
            <w:r>
              <w:rPr/>
              <w:t> </w:t>
            </w:r>
          </w:p>
        </w:tc>
      </w:tr>
      <w:tr>
        <w:trPr/>
        <w:tc>
          <w:tcPr>
            <w:tcW w:w="5511" w:type="dxa"/>
            <w:tcBorders/>
            <w:shd w:fill="CCEEFF" w:val="clear"/>
            <w:vAlign w:val="center"/>
          </w:tcPr>
          <w:p>
            <w:pPr>
              <w:pStyle w:val="TableContents"/>
              <w:spacing w:before="0" w:after="0"/>
              <w:ind w:left="0" w:right="0" w:firstLine="180"/>
              <w:rPr/>
            </w:pPr>
            <w:r>
              <w:rPr/>
              <w:t> </w:t>
            </w:r>
            <w:r>
              <w:rPr>
                <w:rFonts w:ascii="times new roman" w:hAnsi="times new roman"/>
                <w:sz w:val="20"/>
              </w:rPr>
              <w:t xml:space="preserve">Total reinsurance coverage per occurrence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0"/>
              <w:ind w:left="0" w:right="0" w:hanging="0"/>
              <w:rPr/>
            </w:pPr>
            <w:r>
              <w:rPr/>
              <w:t> </w:t>
            </w:r>
          </w:p>
        </w:tc>
        <w:tc>
          <w:tcPr>
            <w:tcW w:w="1039"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0"/>
              <w:ind w:left="0" w:right="0" w:hanging="0"/>
              <w:rPr/>
            </w:pPr>
            <w:r>
              <w:rPr/>
              <w:t> </w:t>
            </w:r>
          </w:p>
        </w:tc>
        <w:tc>
          <w:tcPr>
            <w:tcW w:w="1039"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283"/>
              <w:rPr/>
            </w:pPr>
            <w:r>
              <w:rPr/>
              <w:t>$</w:t>
            </w:r>
          </w:p>
        </w:tc>
        <w:tc>
          <w:tcPr>
            <w:tcW w:w="1039" w:type="dxa"/>
            <w:tcBorders/>
            <w:shd w:fill="CCEEFF" w:val="clear"/>
            <w:vAlign w:val="center"/>
          </w:tcPr>
          <w:p>
            <w:pPr>
              <w:pStyle w:val="TableContents"/>
              <w:spacing w:before="0" w:after="283"/>
              <w:jc w:val="right"/>
              <w:rPr/>
            </w:pPr>
            <w:r>
              <w:rPr/>
              <w:t>3,750,000</w:t>
            </w:r>
          </w:p>
        </w:tc>
        <w:tc>
          <w:tcPr>
            <w:tcW w:w="295" w:type="dxa"/>
            <w:tcBorders/>
            <w:shd w:fill="CCEEFF" w:val="clear"/>
            <w:vAlign w:val="center"/>
          </w:tcPr>
          <w:p>
            <w:pPr>
              <w:pStyle w:val="TableContents"/>
              <w:spacing w:before="0" w:after="0"/>
              <w:ind w:left="0" w:right="0" w:hanging="0"/>
              <w:rPr/>
            </w:pPr>
            <w:r>
              <w:rPr/>
              <w:t> </w:t>
            </w:r>
          </w:p>
        </w:tc>
      </w:tr>
      <w:tr>
        <w:trPr/>
        <w:tc>
          <w:tcPr>
            <w:tcW w:w="5511" w:type="dxa"/>
            <w:tcBorders/>
            <w:shd w:fill="FFFFFF" w:val="clear"/>
            <w:vAlign w:val="center"/>
          </w:tcPr>
          <w:p>
            <w:pPr>
              <w:pStyle w:val="TableContents"/>
              <w:spacing w:before="0" w:after="0"/>
              <w:ind w:left="0" w:right="0" w:firstLine="180"/>
              <w:rPr/>
            </w:pPr>
            <w:r>
              <w:rPr/>
              <w:t> </w:t>
            </w:r>
            <w:r>
              <w:rPr>
                <w:rFonts w:ascii="times new roman" w:hAnsi="times new roman"/>
                <w:sz w:val="20"/>
              </w:rPr>
              <w:t xml:space="preserve">Losses per occurrence subject to reinsurance coverage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0"/>
              <w:ind w:left="0" w:right="0" w:hanging="0"/>
              <w:rPr/>
            </w:pPr>
            <w:r>
              <w:rPr/>
              <w:t> </w:t>
            </w:r>
          </w:p>
        </w:tc>
        <w:tc>
          <w:tcPr>
            <w:tcW w:w="1039"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0"/>
              <w:ind w:left="0" w:right="0" w:hanging="0"/>
              <w:rPr/>
            </w:pPr>
            <w:r>
              <w:rPr/>
              <w:t> </w:t>
            </w:r>
          </w:p>
        </w:tc>
        <w:tc>
          <w:tcPr>
            <w:tcW w:w="1039"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283"/>
              <w:rPr/>
            </w:pPr>
            <w:r>
              <w:rPr/>
              <w:t>$</w:t>
            </w:r>
          </w:p>
        </w:tc>
        <w:tc>
          <w:tcPr>
            <w:tcW w:w="1039" w:type="dxa"/>
            <w:tcBorders/>
            <w:shd w:fill="FFFFFF" w:val="clear"/>
            <w:vAlign w:val="center"/>
          </w:tcPr>
          <w:p>
            <w:pPr>
              <w:pStyle w:val="TableContents"/>
              <w:spacing w:before="0" w:after="283"/>
              <w:jc w:val="right"/>
              <w:rPr/>
            </w:pPr>
            <w:r>
              <w:rPr/>
              <w:t>4,500,000</w:t>
            </w:r>
          </w:p>
        </w:tc>
        <w:tc>
          <w:tcPr>
            <w:tcW w:w="295" w:type="dxa"/>
            <w:tcBorders/>
            <w:shd w:fill="FFFFFF" w:val="clear"/>
            <w:vAlign w:val="center"/>
          </w:tcPr>
          <w:p>
            <w:pPr>
              <w:pStyle w:val="TableContents"/>
              <w:spacing w:before="0" w:after="0"/>
              <w:ind w:left="0" w:right="0" w:hanging="0"/>
              <w:rPr/>
            </w:pPr>
            <w:r>
              <w:rPr/>
              <w:t> </w:t>
            </w:r>
          </w:p>
        </w:tc>
      </w:tr>
      <w:tr>
        <w:trPr/>
        <w:tc>
          <w:tcPr>
            <w:tcW w:w="5511"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0"/>
              <w:ind w:left="0" w:right="0" w:hanging="0"/>
              <w:rPr/>
            </w:pPr>
            <w:r>
              <w:rPr/>
              <w:t> </w:t>
            </w:r>
          </w:p>
        </w:tc>
        <w:tc>
          <w:tcPr>
            <w:tcW w:w="1039"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0"/>
              <w:ind w:left="0" w:right="0" w:hanging="0"/>
              <w:rPr/>
            </w:pPr>
            <w:r>
              <w:rPr/>
              <w:t> </w:t>
            </w:r>
          </w:p>
        </w:tc>
        <w:tc>
          <w:tcPr>
            <w:tcW w:w="1039"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0"/>
              <w:ind w:left="0" w:right="0" w:hanging="0"/>
              <w:rPr/>
            </w:pPr>
            <w:r>
              <w:rPr/>
              <w:t> </w:t>
            </w:r>
          </w:p>
        </w:tc>
        <w:tc>
          <w:tcPr>
            <w:tcW w:w="1039" w:type="dxa"/>
            <w:tcBorders/>
            <w:shd w:fill="CCEEFF" w:val="clear"/>
            <w:vAlign w:val="center"/>
          </w:tcPr>
          <w:p>
            <w:pPr>
              <w:pStyle w:val="TableContents"/>
              <w:spacing w:before="0" w:after="0"/>
              <w:ind w:left="0" w:right="0" w:hanging="0"/>
              <w:rPr/>
            </w:pPr>
            <w:r>
              <w:rPr/>
              <w:t> </w:t>
            </w:r>
          </w:p>
        </w:tc>
        <w:tc>
          <w:tcPr>
            <w:tcW w:w="295" w:type="dxa"/>
            <w:tcBorders/>
            <w:shd w:fill="CCEEFF" w:val="clear"/>
            <w:vAlign w:val="center"/>
          </w:tcPr>
          <w:p>
            <w:pPr>
              <w:pStyle w:val="TableContents"/>
              <w:spacing w:before="0" w:after="0"/>
              <w:ind w:left="0" w:right="0" w:hanging="0"/>
              <w:rPr/>
            </w:pPr>
            <w:r>
              <w:rPr/>
              <w:t> </w:t>
            </w:r>
          </w:p>
        </w:tc>
      </w:tr>
      <w:tr>
        <w:trPr/>
        <w:tc>
          <w:tcPr>
            <w:tcW w:w="5511" w:type="dxa"/>
            <w:tcBorders/>
            <w:shd w:fill="FFFFFF" w:val="clear"/>
            <w:vAlign w:val="center"/>
          </w:tcPr>
          <w:p>
            <w:pPr>
              <w:pStyle w:val="TableContents"/>
              <w:spacing w:before="0" w:after="0"/>
              <w:ind w:left="0" w:right="0" w:hanging="0"/>
              <w:rPr/>
            </w:pPr>
            <w:r>
              <w:rPr/>
              <w:t> </w:t>
            </w:r>
            <w:r>
              <w:rPr>
                <w:rFonts w:ascii="times new roman" w:hAnsi="times new roman"/>
                <w:sz w:val="20"/>
              </w:rPr>
              <w:t xml:space="preserve">Commercial Umbrella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0"/>
              <w:ind w:left="0" w:right="0" w:hanging="0"/>
              <w:rPr/>
            </w:pPr>
            <w:r>
              <w:rPr/>
              <w:t> </w:t>
            </w:r>
          </w:p>
        </w:tc>
        <w:tc>
          <w:tcPr>
            <w:tcW w:w="1039"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0"/>
              <w:ind w:left="0" w:right="0" w:hanging="0"/>
              <w:rPr/>
            </w:pPr>
            <w:r>
              <w:rPr/>
              <w:t> </w:t>
            </w:r>
          </w:p>
        </w:tc>
        <w:tc>
          <w:tcPr>
            <w:tcW w:w="1039"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4" w:type="dxa"/>
            <w:tcBorders/>
            <w:shd w:fill="FFFFFF" w:val="clear"/>
            <w:vAlign w:val="center"/>
          </w:tcPr>
          <w:p>
            <w:pPr>
              <w:pStyle w:val="TableContents"/>
              <w:spacing w:before="0" w:after="0"/>
              <w:ind w:left="0" w:right="0" w:hanging="0"/>
              <w:rPr/>
            </w:pPr>
            <w:r>
              <w:rPr/>
              <w:t> </w:t>
            </w:r>
          </w:p>
        </w:tc>
        <w:tc>
          <w:tcPr>
            <w:tcW w:w="1039" w:type="dxa"/>
            <w:tcBorders/>
            <w:shd w:fill="FFFFFF" w:val="clear"/>
            <w:vAlign w:val="center"/>
          </w:tcPr>
          <w:p>
            <w:pPr>
              <w:pStyle w:val="TableContents"/>
              <w:spacing w:before="0" w:after="0"/>
              <w:ind w:left="0" w:right="0" w:hanging="0"/>
              <w:rPr/>
            </w:pPr>
            <w:r>
              <w:rPr/>
              <w:t> </w:t>
            </w:r>
          </w:p>
        </w:tc>
        <w:tc>
          <w:tcPr>
            <w:tcW w:w="295" w:type="dxa"/>
            <w:tcBorders/>
            <w:shd w:fill="FFFFFF" w:val="clear"/>
            <w:vAlign w:val="center"/>
          </w:tcPr>
          <w:p>
            <w:pPr>
              <w:pStyle w:val="TableContents"/>
              <w:spacing w:before="0" w:after="0"/>
              <w:ind w:left="0" w:right="0" w:hanging="0"/>
              <w:rPr/>
            </w:pPr>
            <w:r>
              <w:rPr/>
              <w:t> </w:t>
            </w:r>
          </w:p>
        </w:tc>
      </w:tr>
      <w:tr>
        <w:trPr/>
        <w:tc>
          <w:tcPr>
            <w:tcW w:w="5511" w:type="dxa"/>
            <w:tcBorders/>
            <w:shd w:fill="CCEEFF" w:val="clear"/>
            <w:vAlign w:val="center"/>
          </w:tcPr>
          <w:p>
            <w:pPr>
              <w:pStyle w:val="TableContents"/>
              <w:spacing w:before="0" w:after="0"/>
              <w:ind w:left="0" w:right="0" w:firstLine="180"/>
              <w:rPr/>
            </w:pPr>
            <w:r>
              <w:rPr/>
              <w:t> </w:t>
            </w:r>
            <w:r>
              <w:rPr>
                <w:rFonts w:ascii="times new roman" w:hAnsi="times new roman"/>
                <w:sz w:val="20"/>
              </w:rPr>
              <w:t xml:space="preserve">Quota share treaty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0"/>
              <w:ind w:left="0" w:right="0" w:hanging="0"/>
              <w:rPr/>
            </w:pPr>
            <w:r>
              <w:rPr/>
              <w:t> </w:t>
            </w:r>
          </w:p>
        </w:tc>
        <w:tc>
          <w:tcPr>
            <w:tcW w:w="1039"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4" w:type="dxa"/>
            <w:tcBorders/>
            <w:shd w:fill="CCEEFF" w:val="clear"/>
            <w:vAlign w:val="center"/>
          </w:tcPr>
          <w:p>
            <w:pPr>
              <w:pStyle w:val="TableContents"/>
              <w:spacing w:before="0" w:after="0"/>
              <w:ind w:left="0" w:right="0" w:hanging="0"/>
              <w:rPr/>
            </w:pPr>
            <w:r>
              <w:rPr/>
              <w:t> </w:t>
            </w:r>
          </w:p>
        </w:tc>
        <w:tc>
          <w:tcPr>
            <w:tcW w:w="1039"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213" w:type="dxa"/>
            <w:gridSpan w:val="2"/>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None</w:t>
            </w:r>
          </w:p>
        </w:tc>
        <w:tc>
          <w:tcPr>
            <w:tcW w:w="295"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105"/>
        <w:gridCol w:w="265"/>
        <w:gridCol w:w="9835"/>
      </w:tblGrid>
      <w:tr>
        <w:trPr/>
        <w:tc>
          <w:tcPr>
            <w:tcW w:w="105" w:type="dxa"/>
            <w:tcBorders/>
            <w:shd w:fill="auto" w:val="clear"/>
            <w:vAlign w:val="center"/>
          </w:tcPr>
          <w:p>
            <w:pPr>
              <w:pStyle w:val="TableContents"/>
              <w:spacing w:before="0" w:after="0"/>
              <w:ind w:left="0" w:right="0" w:hanging="0"/>
              <w:rPr/>
            </w:pPr>
            <w:r>
              <w:rPr/>
              <w:t> </w:t>
            </w:r>
          </w:p>
        </w:tc>
        <w:tc>
          <w:tcPr>
            <w:tcW w:w="26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83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Coverage on all commercial lines policies expired in September 2020; reinsurance coverage is based on treaties in effect on the date of loss.</w:t>
            </w:r>
          </w:p>
        </w:tc>
      </w:tr>
    </w:tbl>
    <w:p>
      <w:pPr>
        <w:pStyle w:val="TextBody"/>
        <w:spacing w:before="0" w:after="0"/>
        <w:ind w:left="0" w:right="0" w:hanging="0"/>
        <w:rPr/>
      </w:pPr>
      <w:r>
        <w:rPr/>
        <w:t xml:space="preserve">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Company’s reinsurance program has been structured to enable the Company to grow its premium volume while maintaining regulatory capital and other financial ratios generally within or below the expected ranges used for regulatory oversight purposes. The reinsurance program also provides income as a result of ceding commissions earned pursuant to the quota share reinsurance contracts. The Company’s participation in reinsurance arrangements does not relieve the Company of its obligations to policyholders.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F-30</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2022 AND 2021</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Approximate reinsurance recoverables on unpaid and paid losses by reinsurer at December 31, 2022 and 2021 are as follows:</w:t>
      </w:r>
    </w:p>
    <w:p>
      <w:pPr>
        <w:pStyle w:val="TextBody"/>
        <w:spacing w:before="0" w:after="0"/>
        <w:ind w:left="0" w:right="0" w:hanging="0"/>
        <w:jc w:val="both"/>
        <w:rPr/>
      </w:pPr>
      <w:r>
        <w:rPr/>
        <w:t> </w:t>
      </w:r>
    </w:p>
    <w:tbl>
      <w:tblPr>
        <w:tblW w:w="8735" w:type="dxa"/>
        <w:jc w:val="left"/>
        <w:tblInd w:w="0" w:type="dxa"/>
        <w:tblCellMar>
          <w:top w:w="0" w:type="dxa"/>
          <w:left w:w="0" w:type="dxa"/>
          <w:bottom w:w="0" w:type="dxa"/>
          <w:right w:w="0" w:type="dxa"/>
        </w:tblCellMar>
      </w:tblPr>
      <w:tblGrid>
        <w:gridCol w:w="4220"/>
        <w:gridCol w:w="90"/>
        <w:gridCol w:w="170"/>
        <w:gridCol w:w="710"/>
        <w:gridCol w:w="90"/>
        <w:gridCol w:w="90"/>
        <w:gridCol w:w="170"/>
        <w:gridCol w:w="710"/>
        <w:gridCol w:w="90"/>
        <w:gridCol w:w="90"/>
        <w:gridCol w:w="170"/>
        <w:gridCol w:w="710"/>
        <w:gridCol w:w="90"/>
        <w:gridCol w:w="90"/>
        <w:gridCol w:w="170"/>
        <w:gridCol w:w="755"/>
        <w:gridCol w:w="320"/>
      </w:tblGrid>
      <w:tr>
        <w:trPr/>
        <w:tc>
          <w:tcPr>
            <w:tcW w:w="422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Unpaid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88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Paid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rStyle w:val="StrongEmphasis"/>
              </w:rPr>
              <w:t> </w:t>
            </w:r>
          </w:p>
        </w:tc>
        <w:tc>
          <w:tcPr>
            <w:tcW w:w="755" w:type="dxa"/>
            <w:tcBorders/>
            <w:shd w:fill="auto" w:val="clear"/>
            <w:vAlign w:val="center"/>
          </w:tcPr>
          <w:p>
            <w:pPr>
              <w:pStyle w:val="TableContents"/>
              <w:spacing w:before="0" w:after="0"/>
              <w:ind w:left="0" w:right="0" w:hanging="0"/>
              <w:rPr/>
            </w:pPr>
            <w:r>
              <w:rPr>
                <w:rStyle w:val="StrongEmphasis"/>
              </w:rPr>
              <w:t> </w:t>
            </w:r>
          </w:p>
        </w:tc>
        <w:tc>
          <w:tcPr>
            <w:tcW w:w="320" w:type="dxa"/>
            <w:tcBorders/>
            <w:shd w:fill="auto" w:val="clear"/>
            <w:vAlign w:val="center"/>
          </w:tcPr>
          <w:p>
            <w:pPr>
              <w:pStyle w:val="TableContents"/>
              <w:spacing w:before="0" w:after="283"/>
              <w:rPr>
                <w:sz w:val="4"/>
                <w:szCs w:val="4"/>
              </w:rPr>
            </w:pPr>
            <w:r>
              <w:rPr>
                <w:sz w:val="4"/>
                <w:szCs w:val="4"/>
              </w:rPr>
            </w:r>
          </w:p>
        </w:tc>
      </w:tr>
      <w:tr>
        <w:trPr/>
        <w:tc>
          <w:tcPr>
            <w:tcW w:w="4220" w:type="dxa"/>
            <w:tcBorders>
              <w:bottom w:val="single" w:sz="8" w:space="0" w:color="000000"/>
            </w:tcBorders>
            <w:shd w:fill="auto" w:val="clear"/>
            <w:tcMar>
              <w:bottom w:w="28" w:type="dxa"/>
            </w:tcMar>
            <w:vAlign w:val="center"/>
          </w:tcPr>
          <w:p>
            <w:pPr>
              <w:pStyle w:val="TableContents"/>
              <w:spacing w:before="0" w:after="283"/>
              <w:rPr/>
            </w:pPr>
            <w:r>
              <w:rPr>
                <w:rStyle w:val="StrongEmphasis"/>
              </w:rPr>
              <w:t>($ in thousands)</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Losses</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Losses</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Total</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283"/>
              <w:rPr>
                <w:sz w:val="4"/>
                <w:szCs w:val="4"/>
              </w:rPr>
            </w:pPr>
            <w:r>
              <w:rPr>
                <w:sz w:val="4"/>
                <w:szCs w:val="4"/>
              </w:rPr>
            </w:r>
          </w:p>
        </w:tc>
        <w:tc>
          <w:tcPr>
            <w:tcW w:w="170" w:type="dxa"/>
            <w:tcBorders>
              <w:bottom w:val="single" w:sz="8" w:space="0" w:color="000000"/>
            </w:tcBorders>
            <w:shd w:fill="auto" w:val="clear"/>
            <w:tcMar>
              <w:bottom w:w="28" w:type="dxa"/>
            </w:tcMar>
            <w:vAlign w:val="center"/>
          </w:tcPr>
          <w:p>
            <w:pPr>
              <w:pStyle w:val="TableContents"/>
              <w:spacing w:before="0" w:after="0"/>
              <w:ind w:left="0" w:right="0" w:hanging="0"/>
              <w:jc w:val="center"/>
              <w:rPr/>
            </w:pPr>
            <w:r>
              <w:rPr/>
              <w:t> </w:t>
            </w:r>
          </w:p>
        </w:tc>
        <w:tc>
          <w:tcPr>
            <w:tcW w:w="755"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Security</w:t>
            </w:r>
          </w:p>
        </w:tc>
        <w:tc>
          <w:tcPr>
            <w:tcW w:w="320" w:type="dxa"/>
            <w:tcBorders/>
            <w:shd w:fill="auto" w:val="clear"/>
            <w:vAlign w:val="center"/>
          </w:tcPr>
          <w:p>
            <w:pPr>
              <w:pStyle w:val="TableContents"/>
              <w:spacing w:before="0" w:after="283"/>
              <w:rPr>
                <w:sz w:val="4"/>
                <w:szCs w:val="4"/>
              </w:rPr>
            </w:pPr>
            <w:r>
              <w:rPr>
                <w:sz w:val="4"/>
                <w:szCs w:val="4"/>
              </w:rPr>
            </w:r>
          </w:p>
        </w:tc>
      </w:tr>
      <w:tr>
        <w:trPr/>
        <w:tc>
          <w:tcPr>
            <w:tcW w:w="4220" w:type="dxa"/>
            <w:tcBorders/>
            <w:shd w:fill="auto" w:val="clear"/>
            <w:vAlign w:val="center"/>
          </w:tcPr>
          <w:p>
            <w:pPr>
              <w:pStyle w:val="TableContents"/>
              <w:spacing w:before="0" w:after="0"/>
              <w:ind w:left="0" w:right="0" w:hanging="0"/>
              <w:jc w:val="left"/>
              <w:rPr/>
            </w:pPr>
            <w:r>
              <w:rPr>
                <w:rStyle w:val="StrongEmphasis"/>
                <w:rFonts w:ascii="times new roman" w:hAnsi="times new roman"/>
                <w:sz w:val="20"/>
              </w:rPr>
              <w:t>December 31, 2022</w:t>
            </w:r>
          </w:p>
        </w:tc>
        <w:tc>
          <w:tcPr>
            <w:tcW w:w="90" w:type="dxa"/>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0"/>
              <w:ind w:left="0" w:right="0" w:hanging="0"/>
              <w:rPr/>
            </w:pPr>
            <w:r>
              <w:rPr/>
              <w:t> </w:t>
            </w:r>
          </w:p>
        </w:tc>
        <w:tc>
          <w:tcPr>
            <w:tcW w:w="755" w:type="dxa"/>
            <w:tcBorders/>
            <w:shd w:fill="auto" w:val="clear"/>
            <w:vAlign w:val="center"/>
          </w:tcPr>
          <w:p>
            <w:pPr>
              <w:pStyle w:val="TableContents"/>
              <w:spacing w:before="0" w:after="0"/>
              <w:ind w:left="0" w:right="0" w:hanging="0"/>
              <w:rPr/>
            </w:pPr>
            <w:r>
              <w:rPr/>
              <w:t> </w:t>
            </w:r>
          </w:p>
        </w:tc>
        <w:tc>
          <w:tcPr>
            <w:tcW w:w="320" w:type="dxa"/>
            <w:tcBorders/>
            <w:shd w:fill="auto" w:val="clear"/>
            <w:vAlign w:val="center"/>
          </w:tcPr>
          <w:p>
            <w:pPr>
              <w:pStyle w:val="TableContents"/>
              <w:spacing w:before="0" w:after="283"/>
              <w:ind w:left="2025" w:right="0" w:hanging="0"/>
              <w:rPr>
                <w:sz w:val="4"/>
                <w:szCs w:val="4"/>
              </w:rPr>
            </w:pPr>
            <w:r>
              <w:rPr>
                <w:sz w:val="4"/>
                <w:szCs w:val="4"/>
              </w:rPr>
            </w:r>
          </w:p>
        </w:tc>
      </w:tr>
      <w:tr>
        <w:trPr/>
        <w:tc>
          <w:tcPr>
            <w:tcW w:w="4220" w:type="dxa"/>
            <w:tcBorders/>
            <w:shd w:fill="CCEEFF" w:val="clear"/>
            <w:vAlign w:val="center"/>
          </w:tcPr>
          <w:p>
            <w:pPr>
              <w:pStyle w:val="TableContents"/>
              <w:spacing w:before="0" w:after="0"/>
              <w:rPr/>
            </w:pPr>
            <w:r>
              <w:rPr/>
              <w:t xml:space="preserve">    </w:t>
            </w:r>
            <w:r>
              <w:rPr/>
              <w:t xml:space="preserve">Swiss Reinsurance America Corporation </w:t>
            </w:r>
          </w:p>
        </w:tc>
        <w:tc>
          <w:tcPr>
            <w:tcW w:w="90" w:type="dxa"/>
            <w:tcBorders/>
            <w:shd w:fill="CCEEFF" w:val="clear"/>
            <w:vAlign w:val="center"/>
          </w:tcPr>
          <w:p>
            <w:pPr>
              <w:pStyle w:val="TableContents"/>
              <w:spacing w:before="0" w:after="0"/>
              <w:ind w:left="225" w:right="0" w:hanging="0"/>
              <w:rPr/>
            </w:pPr>
            <w:r>
              <w:rPr/>
              <w:t> </w:t>
            </w:r>
          </w:p>
        </w:tc>
        <w:tc>
          <w:tcPr>
            <w:tcW w:w="170" w:type="dxa"/>
            <w:tcBorders/>
            <w:shd w:fill="CCEEFF" w:val="clear"/>
            <w:vAlign w:val="center"/>
          </w:tcPr>
          <w:p>
            <w:pPr>
              <w:pStyle w:val="TableContents"/>
              <w:spacing w:before="0" w:after="0"/>
              <w:ind w:left="225" w:right="0" w:hanging="0"/>
              <w:rPr/>
            </w:pPr>
            <w:r>
              <w:rPr/>
              <w:t> </w:t>
            </w:r>
          </w:p>
        </w:tc>
        <w:tc>
          <w:tcPr>
            <w:tcW w:w="710" w:type="dxa"/>
            <w:tcBorders/>
            <w:shd w:fill="CCEEFF" w:val="clear"/>
            <w:vAlign w:val="center"/>
          </w:tcPr>
          <w:p>
            <w:pPr>
              <w:pStyle w:val="TableContents"/>
              <w:spacing w:before="0" w:after="283"/>
              <w:jc w:val="right"/>
              <w:rPr/>
            </w:pPr>
            <w:r>
              <w:rPr/>
              <w:t>9,469</w:t>
            </w:r>
          </w:p>
        </w:tc>
        <w:tc>
          <w:tcPr>
            <w:tcW w:w="90" w:type="dxa"/>
            <w:tcBorders/>
            <w:shd w:fill="CCEEFF" w:val="clear"/>
            <w:vAlign w:val="center"/>
          </w:tcPr>
          <w:p>
            <w:pPr>
              <w:pStyle w:val="TableContents"/>
              <w:spacing w:before="0" w:after="0"/>
              <w:ind w:left="225" w:right="0" w:hanging="0"/>
              <w:rPr/>
            </w:pPr>
            <w:r>
              <w:rPr/>
              <w:t> </w:t>
            </w:r>
          </w:p>
        </w:tc>
        <w:tc>
          <w:tcPr>
            <w:tcW w:w="90" w:type="dxa"/>
            <w:tcBorders/>
            <w:shd w:fill="CCEEFF" w:val="clear"/>
            <w:vAlign w:val="center"/>
          </w:tcPr>
          <w:p>
            <w:pPr>
              <w:pStyle w:val="TableContents"/>
              <w:spacing w:before="0" w:after="0"/>
              <w:ind w:left="225" w:right="0" w:hanging="0"/>
              <w:rPr/>
            </w:pPr>
            <w:r>
              <w:rPr/>
              <w:t> </w:t>
            </w:r>
          </w:p>
        </w:tc>
        <w:tc>
          <w:tcPr>
            <w:tcW w:w="170" w:type="dxa"/>
            <w:tcBorders/>
            <w:shd w:fill="CCEEFF" w:val="clear"/>
            <w:vAlign w:val="center"/>
          </w:tcPr>
          <w:p>
            <w:pPr>
              <w:pStyle w:val="TableContents"/>
              <w:spacing w:before="0" w:after="0"/>
              <w:ind w:left="225" w:right="0" w:hanging="0"/>
              <w:rPr/>
            </w:pPr>
            <w:r>
              <w:rPr/>
              <w:t> </w:t>
            </w:r>
          </w:p>
        </w:tc>
        <w:tc>
          <w:tcPr>
            <w:tcW w:w="710" w:type="dxa"/>
            <w:tcBorders/>
            <w:shd w:fill="CCEEFF" w:val="clear"/>
            <w:vAlign w:val="center"/>
          </w:tcPr>
          <w:p>
            <w:pPr>
              <w:pStyle w:val="TableContents"/>
              <w:spacing w:before="0" w:after="283"/>
              <w:jc w:val="right"/>
              <w:rPr/>
            </w:pPr>
            <w:r>
              <w:rPr/>
              <w:t>4,823</w:t>
            </w:r>
          </w:p>
        </w:tc>
        <w:tc>
          <w:tcPr>
            <w:tcW w:w="90" w:type="dxa"/>
            <w:tcBorders/>
            <w:shd w:fill="CCEEFF" w:val="clear"/>
            <w:vAlign w:val="center"/>
          </w:tcPr>
          <w:p>
            <w:pPr>
              <w:pStyle w:val="TableContents"/>
              <w:spacing w:before="0" w:after="0"/>
              <w:ind w:left="225" w:right="0" w:hanging="0"/>
              <w:rPr/>
            </w:pPr>
            <w:r>
              <w:rPr/>
              <w:t> </w:t>
            </w:r>
          </w:p>
        </w:tc>
        <w:tc>
          <w:tcPr>
            <w:tcW w:w="90" w:type="dxa"/>
            <w:tcBorders/>
            <w:shd w:fill="CCEEFF" w:val="clear"/>
            <w:vAlign w:val="center"/>
          </w:tcPr>
          <w:p>
            <w:pPr>
              <w:pStyle w:val="TableContents"/>
              <w:spacing w:before="0" w:after="0"/>
              <w:ind w:left="225" w:right="0" w:hanging="0"/>
              <w:rPr/>
            </w:pPr>
            <w:r>
              <w:rPr/>
              <w:t> </w:t>
            </w:r>
          </w:p>
        </w:tc>
        <w:tc>
          <w:tcPr>
            <w:tcW w:w="170" w:type="dxa"/>
            <w:tcBorders/>
            <w:shd w:fill="CCEEFF" w:val="clear"/>
            <w:vAlign w:val="center"/>
          </w:tcPr>
          <w:p>
            <w:pPr>
              <w:pStyle w:val="TableContents"/>
              <w:spacing w:before="0" w:after="0"/>
              <w:ind w:left="225" w:right="0" w:hanging="0"/>
              <w:rPr/>
            </w:pPr>
            <w:r>
              <w:rPr/>
              <w:t> </w:t>
            </w:r>
          </w:p>
        </w:tc>
        <w:tc>
          <w:tcPr>
            <w:tcW w:w="710" w:type="dxa"/>
            <w:tcBorders/>
            <w:shd w:fill="CCEEFF" w:val="clear"/>
            <w:vAlign w:val="center"/>
          </w:tcPr>
          <w:p>
            <w:pPr>
              <w:pStyle w:val="TableContents"/>
              <w:spacing w:before="0" w:after="283"/>
              <w:jc w:val="right"/>
              <w:rPr/>
            </w:pPr>
            <w:r>
              <w:rPr/>
              <w:t>14,292</w:t>
            </w:r>
          </w:p>
        </w:tc>
        <w:tc>
          <w:tcPr>
            <w:tcW w:w="90" w:type="dxa"/>
            <w:tcBorders/>
            <w:shd w:fill="CCEEFF" w:val="clear"/>
            <w:vAlign w:val="center"/>
          </w:tcPr>
          <w:p>
            <w:pPr>
              <w:pStyle w:val="TableContents"/>
              <w:spacing w:before="0" w:after="0"/>
              <w:ind w:left="225" w:right="0" w:hanging="0"/>
              <w:rPr/>
            </w:pPr>
            <w:r>
              <w:rPr/>
              <w:t> </w:t>
            </w:r>
          </w:p>
        </w:tc>
        <w:tc>
          <w:tcPr>
            <w:tcW w:w="90" w:type="dxa"/>
            <w:tcBorders/>
            <w:shd w:fill="CCEEFF" w:val="clear"/>
            <w:vAlign w:val="center"/>
          </w:tcPr>
          <w:p>
            <w:pPr>
              <w:pStyle w:val="TableContents"/>
              <w:spacing w:before="0" w:after="0"/>
              <w:ind w:left="225" w:right="0" w:hanging="0"/>
              <w:rPr/>
            </w:pPr>
            <w:r>
              <w:rPr/>
              <w:t> </w:t>
            </w:r>
          </w:p>
        </w:tc>
        <w:tc>
          <w:tcPr>
            <w:tcW w:w="170" w:type="dxa"/>
            <w:tcBorders/>
            <w:shd w:fill="CCEEFF" w:val="clear"/>
            <w:vAlign w:val="center"/>
          </w:tcPr>
          <w:p>
            <w:pPr>
              <w:pStyle w:val="TableContents"/>
              <w:spacing w:before="0" w:after="0"/>
              <w:ind w:left="225" w:right="0" w:hanging="0"/>
              <w:rPr/>
            </w:pPr>
            <w:r>
              <w:rPr/>
              <w:t> </w:t>
            </w:r>
          </w:p>
        </w:tc>
        <w:tc>
          <w:tcPr>
            <w:tcW w:w="755" w:type="dxa"/>
            <w:tcBorders/>
            <w:shd w:fill="CCEEFF" w:val="clear"/>
            <w:vAlign w:val="center"/>
          </w:tcPr>
          <w:p>
            <w:pPr>
              <w:pStyle w:val="TableContents"/>
              <w:spacing w:before="0" w:after="283"/>
              <w:jc w:val="right"/>
              <w:rPr/>
            </w:pPr>
            <w:r>
              <w:rPr/>
              <w:t>-</w:t>
            </w:r>
          </w:p>
        </w:tc>
        <w:tc>
          <w:tcPr>
            <w:tcW w:w="320" w:type="dxa"/>
            <w:tcBorders/>
            <w:shd w:fill="CCEEFF" w:val="clear"/>
            <w:vAlign w:val="center"/>
          </w:tcPr>
          <w:p>
            <w:pPr>
              <w:pStyle w:val="TableContents"/>
              <w:spacing w:before="0" w:after="0"/>
              <w:ind w:left="450" w:right="0" w:hanging="0"/>
              <w:rPr/>
            </w:pPr>
            <w:r>
              <w:rPr/>
              <w:t> </w:t>
            </w:r>
          </w:p>
        </w:tc>
      </w:tr>
      <w:tr>
        <w:trPr/>
        <w:tc>
          <w:tcPr>
            <w:tcW w:w="4220" w:type="dxa"/>
            <w:tcBorders/>
            <w:shd w:fill="FFFFFF" w:val="clear"/>
            <w:vAlign w:val="center"/>
          </w:tcPr>
          <w:p>
            <w:pPr>
              <w:pStyle w:val="TableContents"/>
              <w:spacing w:before="0" w:after="0"/>
              <w:rPr/>
            </w:pPr>
            <w:r>
              <w:rPr/>
              <w:t xml:space="preserve">    </w:t>
            </w:r>
            <w:r>
              <w:rPr/>
              <w:t xml:space="preserve">Hanover Rueck SE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8,681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2,698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11,379</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55" w:type="dxa"/>
            <w:tcBorders/>
            <w:shd w:fill="FFFFFF" w:val="clear"/>
            <w:vAlign w:val="center"/>
          </w:tcPr>
          <w:p>
            <w:pPr>
              <w:pStyle w:val="TableContents"/>
              <w:spacing w:before="0" w:after="283"/>
              <w:jc w:val="right"/>
              <w:rPr/>
            </w:pPr>
            <w:r>
              <w:rPr/>
              <w:t>-</w:t>
            </w:r>
          </w:p>
        </w:tc>
        <w:tc>
          <w:tcPr>
            <w:tcW w:w="320" w:type="dxa"/>
            <w:tcBorders/>
            <w:shd w:fill="FFFFFF" w:val="clear"/>
            <w:vAlign w:val="center"/>
          </w:tcPr>
          <w:p>
            <w:pPr>
              <w:pStyle w:val="TableContents"/>
              <w:spacing w:before="0" w:after="0"/>
              <w:ind w:left="450" w:right="0" w:hanging="0"/>
              <w:rPr/>
            </w:pPr>
            <w:r>
              <w:rPr/>
              <w:t> </w:t>
            </w:r>
          </w:p>
        </w:tc>
      </w:tr>
      <w:tr>
        <w:trPr/>
        <w:tc>
          <w:tcPr>
            <w:tcW w:w="4220" w:type="dxa"/>
            <w:tcBorders/>
            <w:shd w:fill="CCEEFF" w:val="clear"/>
            <w:vAlign w:val="center"/>
          </w:tcPr>
          <w:p>
            <w:pPr>
              <w:pStyle w:val="TableContents"/>
              <w:spacing w:before="0" w:after="0"/>
              <w:rPr/>
            </w:pPr>
            <w:r>
              <w:rPr/>
              <w:t xml:space="preserve">    </w:t>
            </w:r>
            <w:r>
              <w:rPr/>
              <w:t xml:space="preserve">Others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10" w:type="dxa"/>
            <w:tcBorders>
              <w:bottom w:val="single" w:sz="2" w:space="0" w:color="000000"/>
            </w:tcBorders>
            <w:shd w:fill="CCEEFF" w:val="clear"/>
            <w:tcMar>
              <w:bottom w:w="28" w:type="dxa"/>
            </w:tcMar>
            <w:vAlign w:val="center"/>
          </w:tcPr>
          <w:p>
            <w:pPr>
              <w:pStyle w:val="TableContents"/>
              <w:spacing w:before="0" w:after="283"/>
              <w:jc w:val="right"/>
              <w:rPr/>
            </w:pPr>
            <w:r>
              <w:rPr/>
              <w:t>9,510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10" w:type="dxa"/>
            <w:tcBorders>
              <w:bottom w:val="single" w:sz="2" w:space="0" w:color="000000"/>
            </w:tcBorders>
            <w:shd w:fill="CCEEFF" w:val="clear"/>
            <w:tcMar>
              <w:bottom w:w="28" w:type="dxa"/>
            </w:tcMar>
            <w:vAlign w:val="center"/>
          </w:tcPr>
          <w:p>
            <w:pPr>
              <w:pStyle w:val="TableContents"/>
              <w:spacing w:before="0" w:after="283"/>
              <w:jc w:val="right"/>
              <w:rPr/>
            </w:pPr>
            <w:r>
              <w:rPr/>
              <w:t>6,067</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10" w:type="dxa"/>
            <w:tcBorders>
              <w:bottom w:val="single" w:sz="2" w:space="0" w:color="000000"/>
            </w:tcBorders>
            <w:shd w:fill="CCEEFF" w:val="clear"/>
            <w:tcMar>
              <w:bottom w:w="28" w:type="dxa"/>
            </w:tcMar>
            <w:vAlign w:val="center"/>
          </w:tcPr>
          <w:p>
            <w:pPr>
              <w:pStyle w:val="TableContents"/>
              <w:spacing w:before="0" w:after="283"/>
              <w:jc w:val="right"/>
              <w:rPr/>
            </w:pPr>
            <w:r>
              <w:rPr/>
              <w:t>15,577</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55" w:type="dxa"/>
            <w:tcBorders>
              <w:bottom w:val="single" w:sz="2" w:space="0" w:color="000000"/>
            </w:tcBorders>
            <w:shd w:fill="CCEEFF" w:val="clear"/>
            <w:tcMar>
              <w:bottom w:w="28" w:type="dxa"/>
            </w:tcMar>
            <w:vAlign w:val="center"/>
          </w:tcPr>
          <w:p>
            <w:pPr>
              <w:pStyle w:val="TableContents"/>
              <w:spacing w:before="0" w:after="283"/>
              <w:jc w:val="right"/>
              <w:rPr/>
            </w:pPr>
            <w:r>
              <w:rPr/>
              <w:t>2,399</w:t>
            </w:r>
          </w:p>
        </w:tc>
        <w:tc>
          <w:tcPr>
            <w:tcW w:w="320" w:type="dxa"/>
            <w:tcBorders/>
            <w:shd w:fill="CCEEFF" w:val="clear"/>
            <w:vAlign w:val="center"/>
          </w:tcPr>
          <w:p>
            <w:pPr>
              <w:pStyle w:val="TableContents"/>
              <w:spacing w:before="0" w:after="0"/>
              <w:ind w:left="225" w:right="0" w:hanging="0"/>
              <w:rPr>
                <w:rFonts w:ascii="times new roman" w:hAnsi="times new roman"/>
                <w:sz w:val="20"/>
              </w:rPr>
            </w:pPr>
            <w:r>
              <w:rPr>
                <w:rFonts w:ascii="times new roman" w:hAnsi="times new roman"/>
                <w:sz w:val="20"/>
              </w:rPr>
              <w:t>(2)</w:t>
            </w:r>
          </w:p>
        </w:tc>
      </w:tr>
      <w:tr>
        <w:trPr/>
        <w:tc>
          <w:tcPr>
            <w:tcW w:w="4220" w:type="dxa"/>
            <w:tcBorders/>
            <w:shd w:fill="FFFFFF" w:val="clear"/>
            <w:vAlign w:val="center"/>
          </w:tcPr>
          <w:p>
            <w:pPr>
              <w:pStyle w:val="TableContents"/>
              <w:spacing w:before="0" w:after="0"/>
              <w:rPr/>
            </w:pPr>
            <w:r>
              <w:rPr/>
              <w:t xml:space="preserve">    </w:t>
            </w:r>
            <w:r>
              <w:rPr/>
              <w:t xml:space="preserve">Total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5" w:space="0" w:color="000000"/>
            </w:tcBorders>
            <w:shd w:fill="FFFFFF" w:val="clear"/>
            <w:tcMar>
              <w:bottom w:w="28" w:type="dxa"/>
            </w:tcMar>
            <w:vAlign w:val="center"/>
          </w:tcPr>
          <w:p>
            <w:pPr>
              <w:pStyle w:val="TableContents"/>
              <w:spacing w:before="0" w:after="283"/>
              <w:rPr/>
            </w:pPr>
            <w:r>
              <w:rPr/>
              <w:t>$</w:t>
            </w:r>
          </w:p>
        </w:tc>
        <w:tc>
          <w:tcPr>
            <w:tcW w:w="710" w:type="dxa"/>
            <w:tcBorders>
              <w:bottom w:val="double" w:sz="5" w:space="0" w:color="000000"/>
            </w:tcBorders>
            <w:shd w:fill="FFFFFF" w:val="clear"/>
            <w:tcMar>
              <w:bottom w:w="28" w:type="dxa"/>
            </w:tcMar>
            <w:vAlign w:val="center"/>
          </w:tcPr>
          <w:p>
            <w:pPr>
              <w:pStyle w:val="TableContents"/>
              <w:spacing w:before="0" w:after="283"/>
              <w:jc w:val="right"/>
              <w:rPr/>
            </w:pPr>
            <w:r>
              <w:rPr/>
              <w:t>27,660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5" w:space="0" w:color="000000"/>
            </w:tcBorders>
            <w:shd w:fill="FFFFFF" w:val="clear"/>
            <w:tcMar>
              <w:bottom w:w="28" w:type="dxa"/>
            </w:tcMar>
            <w:vAlign w:val="center"/>
          </w:tcPr>
          <w:p>
            <w:pPr>
              <w:pStyle w:val="TableContents"/>
              <w:spacing w:before="0" w:after="283"/>
              <w:rPr/>
            </w:pPr>
            <w:r>
              <w:rPr/>
              <w:t>$</w:t>
            </w:r>
          </w:p>
        </w:tc>
        <w:tc>
          <w:tcPr>
            <w:tcW w:w="710" w:type="dxa"/>
            <w:tcBorders>
              <w:bottom w:val="double" w:sz="5" w:space="0" w:color="000000"/>
            </w:tcBorders>
            <w:shd w:fill="FFFFFF" w:val="clear"/>
            <w:tcMar>
              <w:bottom w:w="28" w:type="dxa"/>
            </w:tcMar>
            <w:vAlign w:val="center"/>
          </w:tcPr>
          <w:p>
            <w:pPr>
              <w:pStyle w:val="TableContents"/>
              <w:spacing w:before="0" w:after="283"/>
              <w:jc w:val="right"/>
              <w:rPr/>
            </w:pPr>
            <w:r>
              <w:rPr/>
              <w:t>13,588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5" w:space="0" w:color="000000"/>
            </w:tcBorders>
            <w:shd w:fill="FFFFFF" w:val="clear"/>
            <w:tcMar>
              <w:bottom w:w="28" w:type="dxa"/>
            </w:tcMar>
            <w:vAlign w:val="center"/>
          </w:tcPr>
          <w:p>
            <w:pPr>
              <w:pStyle w:val="TableContents"/>
              <w:spacing w:before="0" w:after="283"/>
              <w:rPr/>
            </w:pPr>
            <w:r>
              <w:rPr/>
              <w:t>$</w:t>
            </w:r>
          </w:p>
        </w:tc>
        <w:tc>
          <w:tcPr>
            <w:tcW w:w="710" w:type="dxa"/>
            <w:tcBorders>
              <w:bottom w:val="double" w:sz="5" w:space="0" w:color="000000"/>
            </w:tcBorders>
            <w:shd w:fill="FFFFFF" w:val="clear"/>
            <w:tcMar>
              <w:bottom w:w="28" w:type="dxa"/>
            </w:tcMar>
            <w:vAlign w:val="center"/>
          </w:tcPr>
          <w:p>
            <w:pPr>
              <w:pStyle w:val="TableContents"/>
              <w:spacing w:before="0" w:after="283"/>
              <w:jc w:val="right"/>
              <w:rPr/>
            </w:pPr>
            <w:r>
              <w:rPr/>
              <w:t>41,248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5" w:space="0" w:color="000000"/>
            </w:tcBorders>
            <w:shd w:fill="FFFFFF" w:val="clear"/>
            <w:tcMar>
              <w:bottom w:w="28" w:type="dxa"/>
            </w:tcMar>
            <w:vAlign w:val="center"/>
          </w:tcPr>
          <w:p>
            <w:pPr>
              <w:pStyle w:val="TableContents"/>
              <w:spacing w:before="0" w:after="283"/>
              <w:rPr/>
            </w:pPr>
            <w:r>
              <w:rPr/>
              <w:t>$</w:t>
            </w:r>
          </w:p>
        </w:tc>
        <w:tc>
          <w:tcPr>
            <w:tcW w:w="755" w:type="dxa"/>
            <w:tcBorders>
              <w:bottom w:val="double" w:sz="5" w:space="0" w:color="000000"/>
            </w:tcBorders>
            <w:shd w:fill="FFFFFF" w:val="clear"/>
            <w:tcMar>
              <w:bottom w:w="28" w:type="dxa"/>
            </w:tcMar>
            <w:vAlign w:val="center"/>
          </w:tcPr>
          <w:p>
            <w:pPr>
              <w:pStyle w:val="TableContents"/>
              <w:spacing w:before="0" w:after="283"/>
              <w:jc w:val="right"/>
              <w:rPr/>
            </w:pPr>
            <w:r>
              <w:rPr/>
              <w:t>2,399</w:t>
            </w:r>
          </w:p>
        </w:tc>
        <w:tc>
          <w:tcPr>
            <w:tcW w:w="320" w:type="dxa"/>
            <w:tcBorders/>
            <w:shd w:fill="FFFFFF" w:val="clear"/>
            <w:vAlign w:val="center"/>
          </w:tcPr>
          <w:p>
            <w:pPr>
              <w:pStyle w:val="TableContents"/>
              <w:spacing w:before="0" w:after="0"/>
              <w:ind w:left="0" w:right="0" w:hanging="0"/>
              <w:rPr/>
            </w:pPr>
            <w:r>
              <w:rPr/>
              <w:t> </w:t>
            </w:r>
          </w:p>
        </w:tc>
      </w:tr>
      <w:tr>
        <w:trPr/>
        <w:tc>
          <w:tcPr>
            <w:tcW w:w="422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55" w:type="dxa"/>
            <w:tcBorders/>
            <w:shd w:fill="CCEEFF" w:val="clear"/>
            <w:vAlign w:val="center"/>
          </w:tcPr>
          <w:p>
            <w:pPr>
              <w:pStyle w:val="TableContents"/>
              <w:spacing w:before="0" w:after="0"/>
              <w:ind w:left="0" w:right="0" w:hanging="0"/>
              <w:rPr/>
            </w:pPr>
            <w:r>
              <w:rPr/>
              <w:t> </w:t>
            </w:r>
          </w:p>
        </w:tc>
        <w:tc>
          <w:tcPr>
            <w:tcW w:w="320" w:type="dxa"/>
            <w:tcBorders/>
            <w:shd w:fill="CCEEFF" w:val="clear"/>
            <w:vAlign w:val="center"/>
          </w:tcPr>
          <w:p>
            <w:pPr>
              <w:pStyle w:val="TableContents"/>
              <w:spacing w:before="0" w:after="0"/>
              <w:ind w:left="0" w:right="0" w:hanging="0"/>
              <w:rPr/>
            </w:pPr>
            <w:r>
              <w:rPr/>
              <w:t> </w:t>
            </w:r>
          </w:p>
        </w:tc>
      </w:tr>
      <w:tr>
        <w:trPr/>
        <w:tc>
          <w:tcPr>
            <w:tcW w:w="4220" w:type="dxa"/>
            <w:tcBorders/>
            <w:shd w:fill="FFFFFF" w:val="clear"/>
            <w:vAlign w:val="center"/>
          </w:tcPr>
          <w:p>
            <w:pPr>
              <w:pStyle w:val="TableContents"/>
              <w:spacing w:before="0" w:after="0"/>
              <w:ind w:left="0" w:right="0" w:hanging="0"/>
              <w:jc w:val="left"/>
              <w:rPr/>
            </w:pPr>
            <w:r>
              <w:rPr>
                <w:rStyle w:val="StrongEmphasis"/>
                <w:rFonts w:ascii="times new roman" w:hAnsi="times new roman"/>
                <w:sz w:val="20"/>
              </w:rPr>
              <w:t>December 31, 2021</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55" w:type="dxa"/>
            <w:tcBorders/>
            <w:shd w:fill="FFFFFF" w:val="clear"/>
            <w:vAlign w:val="center"/>
          </w:tcPr>
          <w:p>
            <w:pPr>
              <w:pStyle w:val="TableContents"/>
              <w:spacing w:before="0" w:after="0"/>
              <w:ind w:left="0" w:right="0" w:hanging="0"/>
              <w:rPr/>
            </w:pPr>
            <w:r>
              <w:rPr/>
              <w:t> </w:t>
            </w:r>
          </w:p>
        </w:tc>
        <w:tc>
          <w:tcPr>
            <w:tcW w:w="320" w:type="dxa"/>
            <w:tcBorders/>
            <w:shd w:fill="FFFFFF" w:val="clear"/>
            <w:vAlign w:val="center"/>
          </w:tcPr>
          <w:p>
            <w:pPr>
              <w:pStyle w:val="TableContents"/>
              <w:spacing w:before="0" w:after="0"/>
              <w:ind w:left="0" w:right="0" w:hanging="0"/>
              <w:rPr/>
            </w:pPr>
            <w:r>
              <w:rPr/>
              <w:t> </w:t>
            </w:r>
          </w:p>
        </w:tc>
      </w:tr>
      <w:tr>
        <w:trPr/>
        <w:tc>
          <w:tcPr>
            <w:tcW w:w="4220" w:type="dxa"/>
            <w:tcBorders/>
            <w:shd w:fill="CCEEFF" w:val="clear"/>
            <w:vAlign w:val="center"/>
          </w:tcPr>
          <w:p>
            <w:pPr>
              <w:pStyle w:val="TableContents"/>
              <w:spacing w:before="0" w:after="283"/>
              <w:rPr/>
            </w:pPr>
            <w:r>
              <w:rPr/>
              <w:t xml:space="preserve">    </w:t>
            </w:r>
            <w:r>
              <w:rPr/>
              <w:t xml:space="preserve">Cavello Bay Reinsurance Limited (1)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jc w:val="right"/>
              <w:rPr/>
            </w:pPr>
            <w:r>
              <w:rPr/>
              <w:t>2,134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jc w:val="right"/>
              <w:rPr/>
            </w:pPr>
            <w:r>
              <w:rPr/>
              <w:t>3,245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jc w:val="right"/>
              <w:rPr/>
            </w:pPr>
            <w:r>
              <w:rPr/>
              <w:t>5,379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755" w:type="dxa"/>
            <w:tcBorders/>
            <w:shd w:fill="CCEEFF" w:val="clear"/>
            <w:vAlign w:val="center"/>
          </w:tcPr>
          <w:p>
            <w:pPr>
              <w:pStyle w:val="TableContents"/>
              <w:spacing w:before="0" w:after="283"/>
              <w:jc w:val="right"/>
              <w:rPr/>
            </w:pPr>
            <w:r>
              <w:rPr/>
              <w:t>3,006</w:t>
            </w:r>
          </w:p>
        </w:tc>
        <w:tc>
          <w:tcPr>
            <w:tcW w:w="32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(3)</w:t>
            </w:r>
          </w:p>
        </w:tc>
      </w:tr>
      <w:tr>
        <w:trPr/>
        <w:tc>
          <w:tcPr>
            <w:tcW w:w="4220" w:type="dxa"/>
            <w:tcBorders/>
            <w:shd w:fill="FFFFFF" w:val="clear"/>
            <w:vAlign w:val="center"/>
          </w:tcPr>
          <w:p>
            <w:pPr>
              <w:pStyle w:val="TableContents"/>
              <w:spacing w:before="0" w:after="283"/>
              <w:rPr/>
            </w:pPr>
            <w:r>
              <w:rPr/>
              <w:t xml:space="preserve">    </w:t>
            </w:r>
            <w:r>
              <w:rPr/>
              <w:t xml:space="preserve">Swiss Reinsurance America Corporation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4,069</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631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4,700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55" w:type="dxa"/>
            <w:tcBorders/>
            <w:shd w:fill="FFFFFF" w:val="clear"/>
            <w:vAlign w:val="center"/>
          </w:tcPr>
          <w:p>
            <w:pPr>
              <w:pStyle w:val="TableContents"/>
              <w:spacing w:before="0" w:after="283"/>
              <w:jc w:val="right"/>
              <w:rPr/>
            </w:pPr>
            <w:r>
              <w:rPr/>
              <w:t>-</w:t>
            </w:r>
          </w:p>
        </w:tc>
        <w:tc>
          <w:tcPr>
            <w:tcW w:w="320" w:type="dxa"/>
            <w:tcBorders/>
            <w:shd w:fill="FFFFFF" w:val="clear"/>
            <w:vAlign w:val="center"/>
          </w:tcPr>
          <w:p>
            <w:pPr>
              <w:pStyle w:val="TableContents"/>
              <w:spacing w:before="0" w:after="0"/>
              <w:ind w:left="0" w:right="0" w:hanging="0"/>
              <w:rPr/>
            </w:pPr>
            <w:r>
              <w:rPr/>
              <w:t> </w:t>
            </w:r>
          </w:p>
        </w:tc>
      </w:tr>
      <w:tr>
        <w:trPr/>
        <w:tc>
          <w:tcPr>
            <w:tcW w:w="4220" w:type="dxa"/>
            <w:tcBorders/>
            <w:shd w:fill="CCEEFF" w:val="clear"/>
            <w:vAlign w:val="center"/>
          </w:tcPr>
          <w:p>
            <w:pPr>
              <w:pStyle w:val="TableContents"/>
              <w:spacing w:before="0" w:after="283"/>
              <w:rPr/>
            </w:pPr>
            <w:r>
              <w:rPr/>
              <w:t xml:space="preserve">    </w:t>
            </w:r>
            <w:r>
              <w:rPr/>
              <w:t xml:space="preserve">Hanover Rueck SE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2,474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1,176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3,650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55" w:type="dxa"/>
            <w:tcBorders/>
            <w:shd w:fill="CCEEFF" w:val="clear"/>
            <w:vAlign w:val="center"/>
          </w:tcPr>
          <w:p>
            <w:pPr>
              <w:pStyle w:val="TableContents"/>
              <w:spacing w:before="0" w:after="283"/>
              <w:jc w:val="right"/>
              <w:rPr/>
            </w:pPr>
            <w:r>
              <w:rPr/>
              <w:t>-</w:t>
            </w:r>
          </w:p>
        </w:tc>
        <w:tc>
          <w:tcPr>
            <w:tcW w:w="320" w:type="dxa"/>
            <w:tcBorders/>
            <w:shd w:fill="CCEEFF" w:val="clear"/>
            <w:vAlign w:val="center"/>
          </w:tcPr>
          <w:p>
            <w:pPr>
              <w:pStyle w:val="TableContents"/>
              <w:spacing w:before="0" w:after="0"/>
              <w:ind w:left="0" w:right="0" w:hanging="0"/>
              <w:rPr/>
            </w:pPr>
            <w:r>
              <w:rPr/>
              <w:t> </w:t>
            </w:r>
          </w:p>
        </w:tc>
      </w:tr>
      <w:tr>
        <w:trPr/>
        <w:tc>
          <w:tcPr>
            <w:tcW w:w="4220" w:type="dxa"/>
            <w:tcBorders/>
            <w:shd w:fill="FFFFFF" w:val="clear"/>
            <w:vAlign w:val="center"/>
          </w:tcPr>
          <w:p>
            <w:pPr>
              <w:pStyle w:val="TableContents"/>
              <w:spacing w:before="0" w:after="283"/>
              <w:rPr/>
            </w:pPr>
            <w:r>
              <w:rPr/>
              <w:t xml:space="preserve">    </w:t>
            </w:r>
            <w:r>
              <w:rPr/>
              <w:t xml:space="preserve">Allied World Assurance Company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1,098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29</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1,127</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55" w:type="dxa"/>
            <w:tcBorders/>
            <w:shd w:fill="FFFFFF" w:val="clear"/>
            <w:vAlign w:val="center"/>
          </w:tcPr>
          <w:p>
            <w:pPr>
              <w:pStyle w:val="TableContents"/>
              <w:spacing w:before="0" w:after="283"/>
              <w:jc w:val="right"/>
              <w:rPr/>
            </w:pPr>
            <w:r>
              <w:rPr/>
              <w:t>-</w:t>
            </w:r>
          </w:p>
        </w:tc>
        <w:tc>
          <w:tcPr>
            <w:tcW w:w="320" w:type="dxa"/>
            <w:tcBorders/>
            <w:shd w:fill="FFFFFF" w:val="clear"/>
            <w:vAlign w:val="center"/>
          </w:tcPr>
          <w:p>
            <w:pPr>
              <w:pStyle w:val="TableContents"/>
              <w:spacing w:before="0" w:after="0"/>
              <w:ind w:left="0" w:right="0" w:hanging="0"/>
              <w:rPr/>
            </w:pPr>
            <w:r>
              <w:rPr/>
              <w:t> </w:t>
            </w:r>
          </w:p>
        </w:tc>
      </w:tr>
      <w:tr>
        <w:trPr/>
        <w:tc>
          <w:tcPr>
            <w:tcW w:w="4220" w:type="dxa"/>
            <w:tcBorders/>
            <w:shd w:fill="CCEEFF" w:val="clear"/>
            <w:vAlign w:val="center"/>
          </w:tcPr>
          <w:p>
            <w:pPr>
              <w:pStyle w:val="TableContents"/>
              <w:spacing w:before="0" w:after="283"/>
              <w:rPr/>
            </w:pPr>
            <w:r>
              <w:rPr/>
              <w:t xml:space="preserve">    </w:t>
            </w:r>
            <w:r>
              <w:rPr/>
              <w:t xml:space="preserve">Others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10" w:type="dxa"/>
            <w:tcBorders>
              <w:bottom w:val="single" w:sz="2" w:space="0" w:color="000000"/>
            </w:tcBorders>
            <w:shd w:fill="CCEEFF" w:val="clear"/>
            <w:tcMar>
              <w:bottom w:w="28" w:type="dxa"/>
            </w:tcMar>
            <w:vAlign w:val="center"/>
          </w:tcPr>
          <w:p>
            <w:pPr>
              <w:pStyle w:val="TableContents"/>
              <w:spacing w:before="0" w:after="283"/>
              <w:jc w:val="right"/>
              <w:rPr/>
            </w:pPr>
            <w:r>
              <w:rPr/>
              <w:t>863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10" w:type="dxa"/>
            <w:tcBorders>
              <w:bottom w:val="single" w:sz="2" w:space="0" w:color="000000"/>
            </w:tcBorders>
            <w:shd w:fill="CCEEFF" w:val="clear"/>
            <w:tcMar>
              <w:bottom w:w="28" w:type="dxa"/>
            </w:tcMar>
            <w:vAlign w:val="center"/>
          </w:tcPr>
          <w:p>
            <w:pPr>
              <w:pStyle w:val="TableContents"/>
              <w:spacing w:before="0" w:after="283"/>
              <w:jc w:val="right"/>
              <w:rPr/>
            </w:pPr>
            <w:r>
              <w:rPr/>
              <w:t>1,415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10" w:type="dxa"/>
            <w:tcBorders>
              <w:bottom w:val="single" w:sz="2" w:space="0" w:color="000000"/>
            </w:tcBorders>
            <w:shd w:fill="CCEEFF" w:val="clear"/>
            <w:tcMar>
              <w:bottom w:w="28" w:type="dxa"/>
            </w:tcMar>
            <w:vAlign w:val="center"/>
          </w:tcPr>
          <w:p>
            <w:pPr>
              <w:pStyle w:val="TableContents"/>
              <w:spacing w:before="0" w:after="283"/>
              <w:jc w:val="right"/>
              <w:rPr/>
            </w:pPr>
            <w:r>
              <w:rPr/>
              <w:t>2,278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55" w:type="dxa"/>
            <w:tcBorders>
              <w:bottom w:val="single" w:sz="2" w:space="0" w:color="000000"/>
            </w:tcBorders>
            <w:shd w:fill="CCEEFF" w:val="clear"/>
            <w:tcMar>
              <w:bottom w:w="28" w:type="dxa"/>
            </w:tcMar>
            <w:vAlign w:val="center"/>
          </w:tcPr>
          <w:p>
            <w:pPr>
              <w:pStyle w:val="TableContents"/>
              <w:spacing w:before="0" w:after="283"/>
              <w:jc w:val="right"/>
              <w:rPr/>
            </w:pPr>
            <w:r>
              <w:rPr/>
              <w:t>791</w:t>
            </w:r>
          </w:p>
        </w:tc>
        <w:tc>
          <w:tcPr>
            <w:tcW w:w="32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(4)</w:t>
            </w:r>
          </w:p>
        </w:tc>
      </w:tr>
      <w:tr>
        <w:trPr/>
        <w:tc>
          <w:tcPr>
            <w:tcW w:w="4220" w:type="dxa"/>
            <w:tcBorders/>
            <w:shd w:fill="FFFFFF" w:val="clear"/>
            <w:vAlign w:val="center"/>
          </w:tcPr>
          <w:p>
            <w:pPr>
              <w:pStyle w:val="TableContents"/>
              <w:spacing w:before="0" w:after="283"/>
              <w:rPr/>
            </w:pPr>
            <w:r>
              <w:rPr/>
              <w:t xml:space="preserve">    </w:t>
            </w:r>
            <w:r>
              <w:rPr/>
              <w:t xml:space="preserve">Total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5" w:space="0" w:color="000000"/>
            </w:tcBorders>
            <w:shd w:fill="FFFFFF" w:val="clear"/>
            <w:tcMar>
              <w:bottom w:w="28" w:type="dxa"/>
            </w:tcMar>
            <w:vAlign w:val="center"/>
          </w:tcPr>
          <w:p>
            <w:pPr>
              <w:pStyle w:val="TableContents"/>
              <w:spacing w:before="0" w:after="283"/>
              <w:rPr/>
            </w:pPr>
            <w:r>
              <w:rPr/>
              <w:t>$</w:t>
            </w:r>
          </w:p>
        </w:tc>
        <w:tc>
          <w:tcPr>
            <w:tcW w:w="710" w:type="dxa"/>
            <w:tcBorders>
              <w:bottom w:val="double" w:sz="5" w:space="0" w:color="000000"/>
            </w:tcBorders>
            <w:shd w:fill="FFFFFF" w:val="clear"/>
            <w:tcMar>
              <w:bottom w:w="28" w:type="dxa"/>
            </w:tcMar>
            <w:vAlign w:val="center"/>
          </w:tcPr>
          <w:p>
            <w:pPr>
              <w:pStyle w:val="TableContents"/>
              <w:spacing w:before="0" w:after="283"/>
              <w:jc w:val="right"/>
              <w:rPr/>
            </w:pPr>
            <w:r>
              <w:rPr/>
              <w:t>10,638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5" w:space="0" w:color="000000"/>
            </w:tcBorders>
            <w:shd w:fill="FFFFFF" w:val="clear"/>
            <w:tcMar>
              <w:bottom w:w="28" w:type="dxa"/>
            </w:tcMar>
            <w:vAlign w:val="center"/>
          </w:tcPr>
          <w:p>
            <w:pPr>
              <w:pStyle w:val="TableContents"/>
              <w:spacing w:before="0" w:after="283"/>
              <w:rPr/>
            </w:pPr>
            <w:r>
              <w:rPr/>
              <w:t>$</w:t>
            </w:r>
          </w:p>
        </w:tc>
        <w:tc>
          <w:tcPr>
            <w:tcW w:w="710" w:type="dxa"/>
            <w:tcBorders>
              <w:bottom w:val="double" w:sz="5" w:space="0" w:color="000000"/>
            </w:tcBorders>
            <w:shd w:fill="FFFFFF" w:val="clear"/>
            <w:tcMar>
              <w:bottom w:w="28" w:type="dxa"/>
            </w:tcMar>
            <w:vAlign w:val="center"/>
          </w:tcPr>
          <w:p>
            <w:pPr>
              <w:pStyle w:val="TableContents"/>
              <w:spacing w:before="0" w:after="283"/>
              <w:jc w:val="right"/>
              <w:rPr/>
            </w:pPr>
            <w:r>
              <w:rPr/>
              <w:t>6,496</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5" w:space="0" w:color="000000"/>
            </w:tcBorders>
            <w:shd w:fill="FFFFFF" w:val="clear"/>
            <w:tcMar>
              <w:bottom w:w="28" w:type="dxa"/>
            </w:tcMar>
            <w:vAlign w:val="center"/>
          </w:tcPr>
          <w:p>
            <w:pPr>
              <w:pStyle w:val="TableContents"/>
              <w:spacing w:before="0" w:after="283"/>
              <w:rPr/>
            </w:pPr>
            <w:r>
              <w:rPr/>
              <w:t>$</w:t>
            </w:r>
          </w:p>
        </w:tc>
        <w:tc>
          <w:tcPr>
            <w:tcW w:w="710" w:type="dxa"/>
            <w:tcBorders>
              <w:bottom w:val="double" w:sz="5" w:space="0" w:color="000000"/>
            </w:tcBorders>
            <w:shd w:fill="FFFFFF" w:val="clear"/>
            <w:tcMar>
              <w:bottom w:w="28" w:type="dxa"/>
            </w:tcMar>
            <w:vAlign w:val="center"/>
          </w:tcPr>
          <w:p>
            <w:pPr>
              <w:pStyle w:val="TableContents"/>
              <w:spacing w:before="0" w:after="283"/>
              <w:jc w:val="right"/>
              <w:rPr/>
            </w:pPr>
            <w:r>
              <w:rPr/>
              <w:t>17,134</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5" w:space="0" w:color="000000"/>
            </w:tcBorders>
            <w:shd w:fill="FFFFFF" w:val="clear"/>
            <w:tcMar>
              <w:bottom w:w="28" w:type="dxa"/>
            </w:tcMar>
            <w:vAlign w:val="center"/>
          </w:tcPr>
          <w:p>
            <w:pPr>
              <w:pStyle w:val="TableContents"/>
              <w:spacing w:before="0" w:after="283"/>
              <w:rPr/>
            </w:pPr>
            <w:r>
              <w:rPr/>
              <w:t>$</w:t>
            </w:r>
          </w:p>
        </w:tc>
        <w:tc>
          <w:tcPr>
            <w:tcW w:w="755" w:type="dxa"/>
            <w:tcBorders>
              <w:bottom w:val="double" w:sz="5" w:space="0" w:color="000000"/>
            </w:tcBorders>
            <w:shd w:fill="FFFFFF" w:val="clear"/>
            <w:tcMar>
              <w:bottom w:w="28" w:type="dxa"/>
            </w:tcMar>
            <w:vAlign w:val="center"/>
          </w:tcPr>
          <w:p>
            <w:pPr>
              <w:pStyle w:val="TableContents"/>
              <w:spacing w:before="0" w:after="283"/>
              <w:jc w:val="right"/>
              <w:rPr/>
            </w:pPr>
            <w:r>
              <w:rPr/>
              <w:t>3,797</w:t>
            </w:r>
          </w:p>
        </w:tc>
        <w:tc>
          <w:tcPr>
            <w:tcW w:w="320" w:type="dxa"/>
            <w:tcBorders/>
            <w:shd w:fill="FFFF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hanging="0"/>
        <w:jc w:val="center"/>
        <w:rPr/>
      </w:pPr>
      <w:r>
        <w:rPr>
          <w:rStyle w:val="Emphasis"/>
          <w:rFonts w:ascii="times new roman" w:hAnsi="times new roman"/>
          <w:sz w:val="20"/>
        </w:rPr>
        <w:t>(Columns in the tables above may not sum to totals due to rounding)</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(1) On December 27, 2018, Enstar Group Limited announced that one of its wholly owned subsidiaries, Cavello Bay Reinsurance Limited, acquired Maiden Reinsurance North America, Inc.  </w:t>
      </w:r>
    </w:p>
    <w:p>
      <w:pPr>
        <w:pStyle w:val="TextBody"/>
        <w:spacing w:before="0" w:after="0"/>
        <w:ind w:left="0" w:right="0" w:hanging="0"/>
        <w:jc w:val="both"/>
        <w:rPr>
          <w:rFonts w:ascii="times new roman" w:hAnsi="times new roman"/>
          <w:sz w:val="20"/>
        </w:rPr>
      </w:pPr>
      <w:r>
        <w:rPr>
          <w:rFonts w:ascii="times new roman" w:hAnsi="times new roman"/>
          <w:sz w:val="20"/>
        </w:rPr>
        <w:t>(2) As of December 31, 2022, represents $1,918,000 secured pursuant to collateralized trust agreement and $481,000 guaranteed by irrevocable letters of credit.</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(3) As of December 31, 2021, represents $3,006,000 secured pursuant to collateralized trust agreement. </w:t>
      </w:r>
    </w:p>
    <w:p>
      <w:pPr>
        <w:pStyle w:val="TextBody"/>
        <w:spacing w:before="0" w:after="0"/>
        <w:ind w:left="0" w:right="0" w:hanging="0"/>
        <w:jc w:val="both"/>
        <w:rPr>
          <w:rFonts w:ascii="times new roman" w:hAnsi="times new roman"/>
          <w:sz w:val="20"/>
        </w:rPr>
      </w:pPr>
      <w:r>
        <w:rPr>
          <w:rFonts w:ascii="times new roman" w:hAnsi="times new roman"/>
          <w:sz w:val="20"/>
        </w:rPr>
        <w:t>(4) As of December 31, 2021, represents $791,000 guaranteed by irrevocable letters of credit.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Assets held in the trusts referred to in footnotes (2) and (3) in the table above are not included in the Company’s invested assets, and investment income earned on these assets is credited to the reinsurers respectively. In addition to reinsurance recoverables on unpaid and paid losses, reinsurance receivables in the accompanying consolidated balance sheets as of December 31, 2022 and 2021 include unearned ceded premiums of approximately $25,217,000 and $23,159,000, respectively.</w:t>
      </w:r>
    </w:p>
    <w:p>
      <w:pPr>
        <w:pStyle w:val="TextBody"/>
        <w:spacing w:before="0" w:after="0"/>
        <w:ind w:left="0" w:right="0" w:hanging="0"/>
        <w:jc w:val="both"/>
        <w:rPr/>
      </w:pPr>
      <w:r>
        <w:rPr/>
        <w:t> </w:t>
      </w:r>
    </w:p>
    <w:p>
      <w:pPr>
        <w:pStyle w:val="TextBody"/>
        <w:spacing w:before="0" w:after="0"/>
        <w:ind w:left="0" w:right="0" w:hanging="0"/>
        <w:jc w:val="both"/>
        <w:rPr/>
      </w:pPr>
      <w:r>
        <w:rPr>
          <w:rFonts w:ascii="times new roman" w:hAnsi="times new roman"/>
          <w:sz w:val="20"/>
          <w:u w:val="single"/>
        </w:rPr>
        <w:t>Ceding Commission Revenue</w:t>
      </w:r>
      <w:r>
        <w:rPr>
          <w:rStyle w:val="Emphasis"/>
          <w:rFonts w:ascii="times new roman" w:hAnsi="times new roman"/>
          <w:sz w:val="20"/>
        </w:rPr>
        <w:t xml:space="preserve">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Company earned ceding commission revenue under the 2021/2023 Treaty for the year ended December 31, 2022 based on a fixed provisional commission rate at which provisional ceding commissions will be earned. The 2021/2023 Treaty was effective as of December 31, 2021; there was no other personal lines quota share treaty in effect for the year ended December 31, 2021. The Company will earn ceding commission revenue under the 2023/2024 Treaty based on a fixed provisional commission rate at which provisional ceding commissions will be earned. The Company earned ceding commission revenue under its expired quota share reinsurance agreements based on: (i) a fixed provisional commission rate at which provisional ceding commissions were earned, and (ii) a continuing sliding scale of commission rates and ultimate treaty year loss ratios on the policies reinsured under each of these agreements based upon which contingent ceding commissions are earned. The sliding scale includes minimum and maximum commission rates in relation to specified ultimate loss ratios.  The commission rate and contingent ceding commissions earned increase when the estimated ultimate loss ratio decreases and, conversely, the commission rate and contingent ceding commissions earned decrease when the estimated ultimate loss ratio increases.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F-31</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2022 AND 2021</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Ceding commission revenue consists of the following:</w:t>
      </w:r>
    </w:p>
    <w:p>
      <w:pPr>
        <w:pStyle w:val="TextBody"/>
        <w:spacing w:before="0" w:after="0"/>
        <w:ind w:left="0" w:right="0" w:hanging="0"/>
        <w:jc w:val="both"/>
        <w:rPr/>
      </w:pPr>
      <w:r>
        <w:rPr/>
        <w:t> </w:t>
      </w:r>
    </w:p>
    <w:tbl>
      <w:tblPr>
        <w:tblW w:w="6660" w:type="dxa"/>
        <w:jc w:val="left"/>
        <w:tblInd w:w="0" w:type="dxa"/>
        <w:tblCellMar>
          <w:top w:w="0" w:type="dxa"/>
          <w:left w:w="0" w:type="dxa"/>
          <w:bottom w:w="0" w:type="dxa"/>
          <w:right w:w="0" w:type="dxa"/>
        </w:tblCellMar>
      </w:tblPr>
      <w:tblGrid>
        <w:gridCol w:w="3845"/>
        <w:gridCol w:w="90"/>
        <w:gridCol w:w="170"/>
        <w:gridCol w:w="1130"/>
        <w:gridCol w:w="90"/>
        <w:gridCol w:w="90"/>
        <w:gridCol w:w="170"/>
        <w:gridCol w:w="905"/>
        <w:gridCol w:w="170"/>
      </w:tblGrid>
      <w:tr>
        <w:trPr/>
        <w:tc>
          <w:tcPr>
            <w:tcW w:w="38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555" w:type="dxa"/>
            <w:gridSpan w:val="6"/>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Year ended </w:t>
            </w:r>
          </w:p>
        </w:tc>
        <w:tc>
          <w:tcPr>
            <w:tcW w:w="170" w:type="dxa"/>
            <w:tcBorders/>
            <w:shd w:fill="auto" w:val="clear"/>
            <w:vAlign w:val="center"/>
          </w:tcPr>
          <w:p>
            <w:pPr>
              <w:pStyle w:val="TableContents"/>
              <w:spacing w:before="0" w:after="0"/>
              <w:ind w:left="0" w:right="0" w:hanging="0"/>
              <w:rPr/>
            </w:pPr>
            <w:r>
              <w:rPr>
                <w:rStyle w:val="StrongEmphasis"/>
              </w:rPr>
              <w:t> </w:t>
            </w:r>
          </w:p>
        </w:tc>
      </w:tr>
      <w:tr>
        <w:trPr/>
        <w:tc>
          <w:tcPr>
            <w:tcW w:w="384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2555" w:type="dxa"/>
            <w:gridSpan w:val="6"/>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w:t>
            </w:r>
          </w:p>
        </w:tc>
        <w:tc>
          <w:tcPr>
            <w:tcW w:w="170" w:type="dxa"/>
            <w:tcBorders/>
            <w:shd w:fill="auto" w:val="clear"/>
            <w:vAlign w:val="center"/>
          </w:tcPr>
          <w:p>
            <w:pPr>
              <w:pStyle w:val="TableContents"/>
              <w:spacing w:before="0" w:after="0"/>
              <w:ind w:left="0" w:right="0" w:hanging="0"/>
              <w:rPr/>
            </w:pPr>
            <w:r>
              <w:rPr>
                <w:rStyle w:val="StrongEmphasis"/>
              </w:rPr>
              <w:t> </w:t>
            </w:r>
          </w:p>
        </w:tc>
      </w:tr>
      <w:tr>
        <w:trPr/>
        <w:tc>
          <w:tcPr>
            <w:tcW w:w="384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0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2022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075"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2021 </w:t>
            </w:r>
          </w:p>
        </w:tc>
        <w:tc>
          <w:tcPr>
            <w:tcW w:w="170" w:type="dxa"/>
            <w:tcBorders/>
            <w:shd w:fill="auto" w:val="clear"/>
            <w:vAlign w:val="center"/>
          </w:tcPr>
          <w:p>
            <w:pPr>
              <w:pStyle w:val="TableContents"/>
              <w:spacing w:before="0" w:after="0"/>
              <w:ind w:left="0" w:right="0" w:hanging="0"/>
              <w:rPr/>
            </w:pPr>
            <w:r>
              <w:rPr/>
              <w:t> </w:t>
            </w:r>
          </w:p>
        </w:tc>
      </w:tr>
      <w:tr>
        <w:trPr/>
        <w:tc>
          <w:tcPr>
            <w:tcW w:w="38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35" w:type="dxa"/>
            <w:gridSpan w:val="4"/>
            <w:tcBorders/>
            <w:shd w:fill="auto" w:val="clear"/>
            <w:vAlign w:val="center"/>
          </w:tcPr>
          <w:p>
            <w:pPr>
              <w:pStyle w:val="TableContents"/>
              <w:spacing w:before="0" w:after="0"/>
              <w:ind w:left="0" w:right="0" w:hanging="0"/>
              <w:rPr/>
            </w:pPr>
            <w:r>
              <w:rPr/>
              <w:t> </w:t>
            </w:r>
          </w:p>
        </w:tc>
      </w:tr>
      <w:tr>
        <w:trPr/>
        <w:tc>
          <w:tcPr>
            <w:tcW w:w="3845" w:type="dxa"/>
            <w:tcBorders/>
            <w:shd w:fill="CCEEFF" w:val="clear"/>
            <w:vAlign w:val="center"/>
          </w:tcPr>
          <w:p>
            <w:pPr>
              <w:pStyle w:val="TableContents"/>
              <w:spacing w:before="0" w:after="283"/>
              <w:rPr/>
            </w:pPr>
            <w:r>
              <w:rPr/>
              <w:t xml:space="preserve">Provisional ceding commissions earned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19,105,779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905" w:type="dxa"/>
            <w:tcBorders/>
            <w:shd w:fill="CCEEFF" w:val="clear"/>
            <w:vAlign w:val="center"/>
          </w:tcPr>
          <w:p>
            <w:pPr>
              <w:pStyle w:val="TableContents"/>
              <w:spacing w:before="0" w:after="283"/>
              <w:jc w:val="right"/>
              <w:rPr/>
            </w:pPr>
            <w:r>
              <w:rPr/>
              <w:t>233,990</w:t>
            </w:r>
          </w:p>
        </w:tc>
        <w:tc>
          <w:tcPr>
            <w:tcW w:w="170" w:type="dxa"/>
            <w:tcBorders/>
            <w:shd w:fill="CCEEFF" w:val="clear"/>
            <w:vAlign w:val="center"/>
          </w:tcPr>
          <w:p>
            <w:pPr>
              <w:pStyle w:val="TableContents"/>
              <w:spacing w:before="0" w:after="0"/>
              <w:ind w:left="0" w:right="0" w:hanging="0"/>
              <w:rPr/>
            </w:pPr>
            <w:r>
              <w:rPr/>
              <w:t> </w:t>
            </w:r>
          </w:p>
        </w:tc>
      </w:tr>
      <w:tr>
        <w:trPr/>
        <w:tc>
          <w:tcPr>
            <w:tcW w:w="3845" w:type="dxa"/>
            <w:tcBorders/>
            <w:shd w:fill="FFFFFF" w:val="clear"/>
            <w:vAlign w:val="center"/>
          </w:tcPr>
          <w:p>
            <w:pPr>
              <w:pStyle w:val="TableContents"/>
              <w:spacing w:before="0" w:after="283"/>
              <w:rPr/>
            </w:pPr>
            <w:r>
              <w:rPr/>
              <w:t xml:space="preserve">Contingent ceding commissions earned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FFFFFF" w:val="clear"/>
            <w:tcMar>
              <w:bottom w:w="28" w:type="dxa"/>
            </w:tcMar>
            <w:vAlign w:val="center"/>
          </w:tcPr>
          <w:p>
            <w:pPr>
              <w:pStyle w:val="TableContents"/>
              <w:spacing w:before="0" w:after="283"/>
              <w:jc w:val="right"/>
              <w:rPr/>
            </w:pPr>
            <w:r>
              <w:rPr/>
              <w:t>213,612</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905" w:type="dxa"/>
            <w:tcBorders>
              <w:bottom w:val="single" w:sz="2" w:space="0" w:color="000000"/>
            </w:tcBorders>
            <w:shd w:fill="FFFFFF" w:val="clear"/>
            <w:tcMar>
              <w:bottom w:w="28" w:type="dxa"/>
            </w:tcMar>
            <w:vAlign w:val="center"/>
          </w:tcPr>
          <w:p>
            <w:pPr>
              <w:pStyle w:val="TableContents"/>
              <w:spacing w:before="0" w:after="283"/>
              <w:jc w:val="right"/>
              <w:rPr/>
            </w:pPr>
            <w:r>
              <w:rPr/>
              <w:t>(144,309</w:t>
            </w:r>
          </w:p>
        </w:tc>
        <w:tc>
          <w:tcPr>
            <w:tcW w:w="170" w:type="dxa"/>
            <w:tcBorders/>
            <w:shd w:fill="FFFFFF" w:val="clear"/>
            <w:vAlign w:val="center"/>
          </w:tcPr>
          <w:p>
            <w:pPr>
              <w:pStyle w:val="TableContents"/>
              <w:spacing w:before="0" w:after="283"/>
              <w:rPr/>
            </w:pPr>
            <w:r>
              <w:rPr/>
              <w:t>)</w:t>
            </w:r>
          </w:p>
        </w:tc>
      </w:tr>
      <w:tr>
        <w:trPr/>
        <w:tc>
          <w:tcPr>
            <w:tcW w:w="38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1130" w:type="dxa"/>
            <w:tcBorders>
              <w:bottom w:val="double" w:sz="5" w:space="0" w:color="000000"/>
            </w:tcBorders>
            <w:shd w:fill="CCEEFF" w:val="clear"/>
            <w:tcMar>
              <w:bottom w:w="28" w:type="dxa"/>
            </w:tcMar>
            <w:vAlign w:val="center"/>
          </w:tcPr>
          <w:p>
            <w:pPr>
              <w:pStyle w:val="TableContents"/>
              <w:spacing w:before="0" w:after="283"/>
              <w:jc w:val="right"/>
              <w:rPr/>
            </w:pPr>
            <w:r>
              <w:rPr/>
              <w:t>19,319,391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905" w:type="dxa"/>
            <w:tcBorders>
              <w:bottom w:val="double" w:sz="5" w:space="0" w:color="000000"/>
            </w:tcBorders>
            <w:shd w:fill="CCEEFF" w:val="clear"/>
            <w:tcMar>
              <w:bottom w:w="28" w:type="dxa"/>
            </w:tcMar>
            <w:vAlign w:val="center"/>
          </w:tcPr>
          <w:p>
            <w:pPr>
              <w:pStyle w:val="TableContents"/>
              <w:spacing w:before="0" w:after="283"/>
              <w:jc w:val="right"/>
              <w:rPr/>
            </w:pPr>
            <w:r>
              <w:rPr/>
              <w:t>89,681</w:t>
            </w:r>
          </w:p>
        </w:tc>
        <w:tc>
          <w:tcPr>
            <w:tcW w:w="170"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Provisional ceding commissions are settled monthly. Balances due from reinsurers for contingent ceding commissions on quota share treaties are settled periodically based on the Loss Ratio of each treaty year that ends on June 30, for the expired treaties that were subject to contingent commissions. As discussed above, the Loss Ratios from prior years’ treaties are subject to change as incurred losses from those periods develop, resulting in an increase or decrease in the commission rate and contingent ceding commissions earned.  As of December 31, 2022 and 2021, net contingent ceding commissions payable to reinsurers under all treaties was approximately $2,667,000 and $2,881,000, respectively, which is recorded in reinsurance balances payable on the accompanying consolidated balance sheets.</w:t>
      </w:r>
    </w:p>
    <w:p>
      <w:pPr>
        <w:pStyle w:val="TextBody"/>
        <w:spacing w:before="0" w:after="0"/>
        <w:ind w:left="0" w:right="0" w:hanging="0"/>
        <w:jc w:val="both"/>
        <w:rPr/>
      </w:pPr>
      <w:r>
        <w:rPr/>
        <w:t> </w:t>
      </w:r>
    </w:p>
    <w:p>
      <w:pPr>
        <w:pStyle w:val="TextBody"/>
        <w:spacing w:before="0" w:after="0"/>
        <w:ind w:left="0" w:right="0" w:hanging="0"/>
        <w:rPr/>
      </w:pPr>
      <w:r>
        <w:rPr>
          <w:rStyle w:val="StrongEmphasis"/>
          <w:rFonts w:ascii="times new roman" w:hAnsi="times new roman"/>
          <w:sz w:val="20"/>
        </w:rPr>
        <w:t>Note 8 - Deferred Policy Acquisition Costs and Deferred Ceding Commission Revenue</w:t>
      </w:r>
    </w:p>
    <w:p>
      <w:pPr>
        <w:pStyle w:val="TextBody"/>
        <w:spacing w:before="0" w:after="0"/>
        <w:ind w:left="0" w:right="0" w:hanging="0"/>
        <w:rPr/>
      </w:pPr>
      <w:r>
        <w:rPr/>
        <w:t> </w:t>
      </w:r>
    </w:p>
    <w:p>
      <w:pPr>
        <w:pStyle w:val="TextBody"/>
        <w:spacing w:before="0" w:after="0"/>
        <w:ind w:left="0" w:right="0" w:hanging="0"/>
        <w:rPr>
          <w:rFonts w:ascii="times new roman" w:hAnsi="times new roman"/>
          <w:sz w:val="20"/>
        </w:rPr>
      </w:pPr>
      <w:r>
        <w:rPr>
          <w:rFonts w:ascii="times new roman" w:hAnsi="times new roman"/>
          <w:sz w:val="20"/>
        </w:rPr>
        <w:t>Deferred policy acquisition costs incurred and policy-related ceding commission revenue are deferred and amortized to income on property and casualty insurance business as follows:</w:t>
      </w:r>
    </w:p>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980"/>
        <w:gridCol w:w="90"/>
        <w:gridCol w:w="170"/>
        <w:gridCol w:w="1205"/>
        <w:gridCol w:w="125"/>
        <w:gridCol w:w="90"/>
        <w:gridCol w:w="170"/>
        <w:gridCol w:w="1205"/>
        <w:gridCol w:w="170"/>
      </w:tblGrid>
      <w:tr>
        <w:trPr/>
        <w:tc>
          <w:tcPr>
            <w:tcW w:w="698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965" w:type="dxa"/>
            <w:gridSpan w:val="6"/>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Years ended </w:t>
            </w:r>
          </w:p>
        </w:tc>
        <w:tc>
          <w:tcPr>
            <w:tcW w:w="170" w:type="dxa"/>
            <w:tcBorders/>
            <w:shd w:fill="auto" w:val="clear"/>
            <w:vAlign w:val="center"/>
          </w:tcPr>
          <w:p>
            <w:pPr>
              <w:pStyle w:val="TableContents"/>
              <w:spacing w:before="0" w:after="0"/>
              <w:ind w:left="0" w:right="0" w:hanging="0"/>
              <w:rPr/>
            </w:pPr>
            <w:r>
              <w:rPr/>
              <w:t> </w:t>
            </w:r>
          </w:p>
        </w:tc>
      </w:tr>
      <w:tr>
        <w:trPr/>
        <w:tc>
          <w:tcPr>
            <w:tcW w:w="698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965"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December 31, </w:t>
            </w:r>
          </w:p>
        </w:tc>
        <w:tc>
          <w:tcPr>
            <w:tcW w:w="170" w:type="dxa"/>
            <w:tcBorders/>
            <w:shd w:fill="auto" w:val="clear"/>
            <w:vAlign w:val="center"/>
          </w:tcPr>
          <w:p>
            <w:pPr>
              <w:pStyle w:val="TableContents"/>
              <w:spacing w:before="0" w:after="0"/>
              <w:ind w:left="0" w:right="0" w:hanging="0"/>
              <w:rPr/>
            </w:pPr>
            <w:r>
              <w:rPr/>
              <w:t> </w:t>
            </w:r>
          </w:p>
        </w:tc>
      </w:tr>
      <w:tr>
        <w:trPr/>
        <w:tc>
          <w:tcPr>
            <w:tcW w:w="698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2022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2021 </w:t>
            </w:r>
          </w:p>
        </w:tc>
        <w:tc>
          <w:tcPr>
            <w:tcW w:w="170" w:type="dxa"/>
            <w:tcBorders/>
            <w:shd w:fill="auto" w:val="clear"/>
            <w:vAlign w:val="center"/>
          </w:tcPr>
          <w:p>
            <w:pPr>
              <w:pStyle w:val="TableContents"/>
              <w:spacing w:before="0" w:after="0"/>
              <w:ind w:left="0" w:right="0" w:hanging="0"/>
              <w:rPr/>
            </w:pPr>
            <w:r>
              <w:rPr/>
              <w:t> </w:t>
            </w:r>
          </w:p>
        </w:tc>
      </w:tr>
      <w:tr>
        <w:trPr/>
        <w:tc>
          <w:tcPr>
            <w:tcW w:w="698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1635" w:type="dxa"/>
            <w:gridSpan w:val="4"/>
            <w:tcBorders/>
            <w:shd w:fill="auto" w:val="clear"/>
            <w:vAlign w:val="center"/>
          </w:tcPr>
          <w:p>
            <w:pPr>
              <w:pStyle w:val="TableContents"/>
              <w:spacing w:before="0" w:after="0"/>
              <w:ind w:left="0" w:right="0" w:hanging="0"/>
              <w:rPr/>
            </w:pPr>
            <w:r>
              <w:rPr/>
              <w:t> </w:t>
            </w:r>
          </w:p>
        </w:tc>
      </w:tr>
      <w:tr>
        <w:trPr/>
        <w:tc>
          <w:tcPr>
            <w:tcW w:w="698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r>
      <w:tr>
        <w:trPr/>
        <w:tc>
          <w:tcPr>
            <w:tcW w:w="698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Net deferred policy acquisition costs, net of deferred ceding commission revenue, beginning of year</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283"/>
              <w:rPr/>
            </w:pPr>
            <w:r>
              <w:rPr/>
              <w:t>$</w:t>
            </w:r>
          </w:p>
        </w:tc>
        <w:tc>
          <w:tcPr>
            <w:tcW w:w="1205" w:type="dxa"/>
            <w:tcBorders>
              <w:bottom w:val="single" w:sz="2" w:space="0" w:color="000000"/>
            </w:tcBorders>
            <w:shd w:fill="CCEEFF" w:val="clear"/>
            <w:tcMar>
              <w:bottom w:w="28" w:type="dxa"/>
            </w:tcMar>
            <w:vAlign w:val="center"/>
          </w:tcPr>
          <w:p>
            <w:pPr>
              <w:pStyle w:val="TableContents"/>
              <w:spacing w:before="0" w:after="283"/>
              <w:jc w:val="right"/>
              <w:rPr/>
            </w:pPr>
            <w:r>
              <w:rPr/>
              <w:t>12,490,479</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283"/>
              <w:rPr/>
            </w:pPr>
            <w:r>
              <w:rPr/>
              <w:t>$</w:t>
            </w:r>
          </w:p>
        </w:tc>
        <w:tc>
          <w:tcPr>
            <w:tcW w:w="1205" w:type="dxa"/>
            <w:tcBorders>
              <w:bottom w:val="single" w:sz="2" w:space="0" w:color="000000"/>
            </w:tcBorders>
            <w:shd w:fill="CCEEFF" w:val="clear"/>
            <w:tcMar>
              <w:bottom w:w="28" w:type="dxa"/>
            </w:tcMar>
            <w:vAlign w:val="center"/>
          </w:tcPr>
          <w:p>
            <w:pPr>
              <w:pStyle w:val="TableContents"/>
              <w:spacing w:before="0" w:after="283"/>
              <w:jc w:val="right"/>
              <w:rPr/>
            </w:pPr>
            <w:r>
              <w:rPr/>
              <w:t>20,048,996</w:t>
            </w:r>
          </w:p>
        </w:tc>
        <w:tc>
          <w:tcPr>
            <w:tcW w:w="170" w:type="dxa"/>
            <w:tcBorders/>
            <w:shd w:fill="CCEEFF" w:val="clear"/>
            <w:vAlign w:val="center"/>
          </w:tcPr>
          <w:p>
            <w:pPr>
              <w:pStyle w:val="TableContents"/>
              <w:spacing w:before="0" w:after="0"/>
              <w:ind w:left="0" w:right="0" w:hanging="0"/>
              <w:rPr/>
            </w:pPr>
            <w:r>
              <w:rPr/>
              <w:t> </w:t>
            </w:r>
          </w:p>
        </w:tc>
      </w:tr>
      <w:tr>
        <w:trPr/>
        <w:tc>
          <w:tcPr>
            <w:tcW w:w="698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698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Cost incurred and deferred:</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698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Commissions and brokerage</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36,354,386</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35,128,938</w:t>
            </w:r>
          </w:p>
        </w:tc>
        <w:tc>
          <w:tcPr>
            <w:tcW w:w="170" w:type="dxa"/>
            <w:tcBorders/>
            <w:shd w:fill="CCEEFF" w:val="clear"/>
            <w:vAlign w:val="center"/>
          </w:tcPr>
          <w:p>
            <w:pPr>
              <w:pStyle w:val="TableContents"/>
              <w:spacing w:before="0" w:after="0"/>
              <w:ind w:left="0" w:right="0" w:hanging="0"/>
              <w:rPr/>
            </w:pPr>
            <w:r>
              <w:rPr/>
              <w:t> </w:t>
            </w:r>
          </w:p>
        </w:tc>
      </w:tr>
      <w:tr>
        <w:trPr/>
        <w:tc>
          <w:tcPr>
            <w:tcW w:w="698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Other underwriting and policy acquisition costs</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9,154,706</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8,841,557</w:t>
            </w:r>
          </w:p>
        </w:tc>
        <w:tc>
          <w:tcPr>
            <w:tcW w:w="170" w:type="dxa"/>
            <w:tcBorders/>
            <w:shd w:fill="FFFFFF" w:val="clear"/>
            <w:vAlign w:val="center"/>
          </w:tcPr>
          <w:p>
            <w:pPr>
              <w:pStyle w:val="TableContents"/>
              <w:spacing w:before="0" w:after="0"/>
              <w:ind w:left="0" w:right="0" w:hanging="0"/>
              <w:rPr/>
            </w:pPr>
            <w:r>
              <w:rPr/>
              <w:t> </w:t>
            </w:r>
          </w:p>
        </w:tc>
      </w:tr>
      <w:tr>
        <w:trPr/>
        <w:tc>
          <w:tcPr>
            <w:tcW w:w="698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Ceding commission revenue</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CCEEFF" w:val="clear"/>
            <w:tcMar>
              <w:bottom w:w="28" w:type="dxa"/>
            </w:tcMar>
            <w:vAlign w:val="center"/>
          </w:tcPr>
          <w:p>
            <w:pPr>
              <w:pStyle w:val="TableContents"/>
              <w:spacing w:before="0" w:after="283"/>
              <w:jc w:val="right"/>
              <w:rPr/>
            </w:pPr>
            <w:r>
              <w:rPr/>
              <w:t>(7,236,720</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CCEEFF" w:val="clear"/>
            <w:tcMar>
              <w:bottom w:w="28" w:type="dxa"/>
            </w:tcMar>
            <w:vAlign w:val="center"/>
          </w:tcPr>
          <w:p>
            <w:pPr>
              <w:pStyle w:val="TableContents"/>
              <w:spacing w:before="0" w:after="283"/>
              <w:jc w:val="right"/>
              <w:rPr/>
            </w:pPr>
            <w:r>
              <w:rPr/>
              <w:t>(7,257,909</w:t>
            </w:r>
          </w:p>
        </w:tc>
        <w:tc>
          <w:tcPr>
            <w:tcW w:w="170" w:type="dxa"/>
            <w:tcBorders/>
            <w:shd w:fill="CCEEFF" w:val="clear"/>
            <w:vAlign w:val="center"/>
          </w:tcPr>
          <w:p>
            <w:pPr>
              <w:pStyle w:val="TableContents"/>
              <w:spacing w:before="0" w:after="283"/>
              <w:rPr/>
            </w:pPr>
            <w:r>
              <w:rPr/>
              <w:t>)</w:t>
            </w:r>
          </w:p>
        </w:tc>
      </w:tr>
      <w:tr>
        <w:trPr/>
        <w:tc>
          <w:tcPr>
            <w:tcW w:w="698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Net deferred policy acquisition costs</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38,272,372</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36,712,586</w:t>
            </w:r>
          </w:p>
        </w:tc>
        <w:tc>
          <w:tcPr>
            <w:tcW w:w="170" w:type="dxa"/>
            <w:tcBorders/>
            <w:shd w:fill="FFFFFF" w:val="clear"/>
            <w:vAlign w:val="center"/>
          </w:tcPr>
          <w:p>
            <w:pPr>
              <w:pStyle w:val="TableContents"/>
              <w:spacing w:before="0" w:after="0"/>
              <w:ind w:left="0" w:right="0" w:hanging="0"/>
              <w:rPr/>
            </w:pPr>
            <w:r>
              <w:rPr/>
              <w:t> </w:t>
            </w:r>
          </w:p>
        </w:tc>
      </w:tr>
      <w:tr>
        <w:trPr/>
        <w:tc>
          <w:tcPr>
            <w:tcW w:w="698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Additional deferred ceding commission revenue due to inception of quota share</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(9,686,577</w:t>
            </w:r>
          </w:p>
        </w:tc>
        <w:tc>
          <w:tcPr>
            <w:tcW w:w="170" w:type="dxa"/>
            <w:tcBorders/>
            <w:shd w:fill="CCEEFF" w:val="clear"/>
            <w:vAlign w:val="center"/>
          </w:tcPr>
          <w:p>
            <w:pPr>
              <w:pStyle w:val="TableContents"/>
              <w:spacing w:before="0" w:after="283"/>
              <w:rPr/>
            </w:pPr>
            <w:r>
              <w:rPr/>
              <w:t>)</w:t>
            </w:r>
          </w:p>
        </w:tc>
      </w:tr>
      <w:tr>
        <w:trPr/>
        <w:tc>
          <w:tcPr>
            <w:tcW w:w="698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Amortization</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(37,562,967</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(34,584,526</w:t>
            </w:r>
          </w:p>
        </w:tc>
        <w:tc>
          <w:tcPr>
            <w:tcW w:w="170" w:type="dxa"/>
            <w:tcBorders/>
            <w:shd w:fill="FFFFFF" w:val="clear"/>
            <w:vAlign w:val="center"/>
          </w:tcPr>
          <w:p>
            <w:pPr>
              <w:pStyle w:val="TableContents"/>
              <w:spacing w:before="0" w:after="283"/>
              <w:rPr/>
            </w:pPr>
            <w:r>
              <w:rPr/>
              <w:t>)</w:t>
            </w:r>
          </w:p>
        </w:tc>
      </w:tr>
      <w:tr>
        <w:trPr/>
        <w:tc>
          <w:tcPr>
            <w:tcW w:w="698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CCEEFF" w:val="clear"/>
            <w:tcMar>
              <w:bottom w:w="28" w:type="dxa"/>
            </w:tcMar>
            <w:vAlign w:val="center"/>
          </w:tcPr>
          <w:p>
            <w:pPr>
              <w:pStyle w:val="TableContents"/>
              <w:spacing w:before="0" w:after="283"/>
              <w:jc w:val="right"/>
              <w:rPr/>
            </w:pPr>
            <w:r>
              <w:rPr/>
              <w:t>709,405</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CCEEFF" w:val="clear"/>
            <w:tcMar>
              <w:bottom w:w="28" w:type="dxa"/>
            </w:tcMar>
            <w:vAlign w:val="center"/>
          </w:tcPr>
          <w:p>
            <w:pPr>
              <w:pStyle w:val="TableContents"/>
              <w:spacing w:before="0" w:after="283"/>
              <w:jc w:val="right"/>
              <w:rPr/>
            </w:pPr>
            <w:r>
              <w:rPr/>
              <w:t>(7,558,517</w:t>
            </w:r>
          </w:p>
        </w:tc>
        <w:tc>
          <w:tcPr>
            <w:tcW w:w="170" w:type="dxa"/>
            <w:tcBorders/>
            <w:shd w:fill="CCEEFF" w:val="clear"/>
            <w:vAlign w:val="center"/>
          </w:tcPr>
          <w:p>
            <w:pPr>
              <w:pStyle w:val="TableContents"/>
              <w:spacing w:before="0" w:after="283"/>
              <w:rPr/>
            </w:pPr>
            <w:r>
              <w:rPr/>
              <w:t>)</w:t>
            </w:r>
          </w:p>
        </w:tc>
      </w:tr>
      <w:tr>
        <w:trPr/>
        <w:tc>
          <w:tcPr>
            <w:tcW w:w="698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698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Net deferred policy acquisition costs, net of deferred ceding commission revenue, end of year</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05" w:type="dxa"/>
            <w:tcBorders>
              <w:bottom w:val="double" w:sz="6" w:space="0" w:color="000000"/>
            </w:tcBorders>
            <w:shd w:fill="CCEEFF" w:val="clear"/>
            <w:tcMar>
              <w:bottom w:w="28" w:type="dxa"/>
            </w:tcMar>
            <w:vAlign w:val="center"/>
          </w:tcPr>
          <w:p>
            <w:pPr>
              <w:pStyle w:val="TableContents"/>
              <w:spacing w:before="0" w:after="283"/>
              <w:jc w:val="right"/>
              <w:rPr/>
            </w:pPr>
            <w:r>
              <w:rPr/>
              <w:t>13,199,884</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1205" w:type="dxa"/>
            <w:tcBorders>
              <w:bottom w:val="double" w:sz="6" w:space="0" w:color="000000"/>
            </w:tcBorders>
            <w:shd w:fill="CCEEFF" w:val="clear"/>
            <w:tcMar>
              <w:bottom w:w="28" w:type="dxa"/>
            </w:tcMar>
            <w:vAlign w:val="center"/>
          </w:tcPr>
          <w:p>
            <w:pPr>
              <w:pStyle w:val="TableContents"/>
              <w:spacing w:before="0" w:after="283"/>
              <w:jc w:val="right"/>
              <w:rPr/>
            </w:pPr>
            <w:r>
              <w:rPr/>
              <w:t>12,490,479</w:t>
            </w:r>
          </w:p>
        </w:tc>
        <w:tc>
          <w:tcPr>
            <w:tcW w:w="170"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jc w:val="center"/>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F-32</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2022 AND 2021</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20"/>
        </w:rPr>
      </w:pPr>
      <w:r>
        <w:rPr>
          <w:rFonts w:ascii="times new roman" w:hAnsi="times new roman"/>
          <w:sz w:val="20"/>
        </w:rPr>
        <w:t xml:space="preserve">Deferred policy acquisition costs and deferred ceding commission revenue as of December 31, 2022 and 2021 are as follows: </w:t>
      </w:r>
    </w:p>
    <w:p>
      <w:pPr>
        <w:pStyle w:val="TextBody"/>
        <w:spacing w:before="0" w:after="0"/>
        <w:ind w:left="0" w:right="0" w:hanging="0"/>
        <w:rPr/>
      </w:pPr>
      <w:r>
        <w:rPr/>
        <w:t> </w:t>
      </w:r>
    </w:p>
    <w:tbl>
      <w:tblPr>
        <w:tblW w:w="6260" w:type="dxa"/>
        <w:jc w:val="left"/>
        <w:tblInd w:w="0" w:type="dxa"/>
        <w:tblCellMar>
          <w:top w:w="0" w:type="dxa"/>
          <w:left w:w="0" w:type="dxa"/>
          <w:bottom w:w="0" w:type="dxa"/>
          <w:right w:w="0" w:type="dxa"/>
        </w:tblCellMar>
      </w:tblPr>
      <w:tblGrid>
        <w:gridCol w:w="3110"/>
        <w:gridCol w:w="90"/>
        <w:gridCol w:w="170"/>
        <w:gridCol w:w="1205"/>
        <w:gridCol w:w="125"/>
        <w:gridCol w:w="90"/>
        <w:gridCol w:w="170"/>
        <w:gridCol w:w="1130"/>
        <w:gridCol w:w="170"/>
      </w:tblGrid>
      <w:tr>
        <w:trPr/>
        <w:tc>
          <w:tcPr>
            <w:tcW w:w="311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890" w:type="dxa"/>
            <w:gridSpan w:val="6"/>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December 31, </w:t>
            </w:r>
          </w:p>
        </w:tc>
        <w:tc>
          <w:tcPr>
            <w:tcW w:w="170" w:type="dxa"/>
            <w:tcBorders/>
            <w:shd w:fill="auto" w:val="clear"/>
            <w:vAlign w:val="center"/>
          </w:tcPr>
          <w:p>
            <w:pPr>
              <w:pStyle w:val="TableContents"/>
              <w:spacing w:before="0" w:after="0"/>
              <w:ind w:left="0" w:right="0" w:hanging="0"/>
              <w:rPr/>
            </w:pPr>
            <w:r>
              <w:rPr>
                <w:rStyle w:val="StrongEmphasis"/>
              </w:rPr>
              <w:t> </w:t>
            </w:r>
          </w:p>
        </w:tc>
      </w:tr>
      <w:tr>
        <w:trPr/>
        <w:tc>
          <w:tcPr>
            <w:tcW w:w="311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75"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2022 </w:t>
            </w:r>
          </w:p>
        </w:tc>
        <w:tc>
          <w:tcPr>
            <w:tcW w:w="12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0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2021 </w:t>
            </w:r>
          </w:p>
        </w:tc>
        <w:tc>
          <w:tcPr>
            <w:tcW w:w="170" w:type="dxa"/>
            <w:tcBorders/>
            <w:shd w:fill="auto" w:val="clear"/>
            <w:vAlign w:val="center"/>
          </w:tcPr>
          <w:p>
            <w:pPr>
              <w:pStyle w:val="TableContents"/>
              <w:spacing w:before="0" w:after="0"/>
              <w:ind w:left="0" w:right="0" w:hanging="0"/>
              <w:rPr/>
            </w:pPr>
            <w:r>
              <w:rPr/>
              <w:t> </w:t>
            </w:r>
          </w:p>
        </w:tc>
      </w:tr>
      <w:tr>
        <w:trPr/>
        <w:tc>
          <w:tcPr>
            <w:tcW w:w="311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1560" w:type="dxa"/>
            <w:gridSpan w:val="4"/>
            <w:tcBorders/>
            <w:shd w:fill="auto" w:val="clear"/>
            <w:vAlign w:val="center"/>
          </w:tcPr>
          <w:p>
            <w:pPr>
              <w:pStyle w:val="TableContents"/>
              <w:spacing w:before="0" w:after="0"/>
              <w:ind w:left="0" w:right="0" w:hanging="0"/>
              <w:rPr/>
            </w:pPr>
            <w:r>
              <w:rPr/>
              <w:t> </w:t>
            </w:r>
          </w:p>
        </w:tc>
      </w:tr>
      <w:tr>
        <w:trPr/>
        <w:tc>
          <w:tcPr>
            <w:tcW w:w="3110"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Deferred policy acquisition costs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05" w:type="dxa"/>
            <w:tcBorders/>
            <w:shd w:fill="CCEEFF" w:val="clear"/>
            <w:vAlign w:val="center"/>
          </w:tcPr>
          <w:p>
            <w:pPr>
              <w:pStyle w:val="TableContents"/>
              <w:spacing w:before="0" w:after="283"/>
              <w:jc w:val="right"/>
              <w:rPr/>
            </w:pPr>
            <w:r>
              <w:rPr/>
              <w:t>23,819,453</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22,238,987</w:t>
            </w:r>
          </w:p>
        </w:tc>
        <w:tc>
          <w:tcPr>
            <w:tcW w:w="170" w:type="dxa"/>
            <w:tcBorders/>
            <w:shd w:fill="CCEEFF" w:val="clear"/>
            <w:vAlign w:val="center"/>
          </w:tcPr>
          <w:p>
            <w:pPr>
              <w:pStyle w:val="TableContents"/>
              <w:spacing w:before="0" w:after="0"/>
              <w:ind w:left="0" w:right="0" w:hanging="0"/>
              <w:rPr/>
            </w:pPr>
            <w:r>
              <w:rPr/>
              <w:t> </w:t>
            </w:r>
          </w:p>
        </w:tc>
      </w:tr>
      <w:tr>
        <w:trPr/>
        <w:tc>
          <w:tcPr>
            <w:tcW w:w="3110"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Deferred ceding commission revenue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(10,619,569</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FFFFFF" w:val="clear"/>
            <w:tcMar>
              <w:bottom w:w="28" w:type="dxa"/>
            </w:tcMar>
            <w:vAlign w:val="center"/>
          </w:tcPr>
          <w:p>
            <w:pPr>
              <w:pStyle w:val="TableContents"/>
              <w:spacing w:before="0" w:after="283"/>
              <w:jc w:val="right"/>
              <w:rPr/>
            </w:pPr>
            <w:r>
              <w:rPr/>
              <w:t>(9,748,508</w:t>
            </w:r>
          </w:p>
        </w:tc>
        <w:tc>
          <w:tcPr>
            <w:tcW w:w="170" w:type="dxa"/>
            <w:tcBorders/>
            <w:shd w:fill="FFFFFF" w:val="clear"/>
            <w:vAlign w:val="center"/>
          </w:tcPr>
          <w:p>
            <w:pPr>
              <w:pStyle w:val="TableContents"/>
              <w:spacing w:before="0" w:after="283"/>
              <w:rPr/>
            </w:pPr>
            <w:r>
              <w:rPr/>
              <w:t>)</w:t>
            </w:r>
          </w:p>
        </w:tc>
      </w:tr>
      <w:tr>
        <w:trPr/>
        <w:tc>
          <w:tcPr>
            <w:tcW w:w="3110"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Balance at end of period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1205" w:type="dxa"/>
            <w:tcBorders>
              <w:bottom w:val="double" w:sz="5" w:space="0" w:color="000000"/>
            </w:tcBorders>
            <w:shd w:fill="CCEEFF" w:val="clear"/>
            <w:tcMar>
              <w:bottom w:w="28" w:type="dxa"/>
            </w:tcMar>
            <w:vAlign w:val="center"/>
          </w:tcPr>
          <w:p>
            <w:pPr>
              <w:pStyle w:val="TableContents"/>
              <w:spacing w:before="0" w:after="283"/>
              <w:jc w:val="right"/>
              <w:rPr/>
            </w:pPr>
            <w:r>
              <w:rPr/>
              <w:t>13,199,884</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1130" w:type="dxa"/>
            <w:tcBorders>
              <w:bottom w:val="double" w:sz="5" w:space="0" w:color="000000"/>
            </w:tcBorders>
            <w:shd w:fill="CCEEFF" w:val="clear"/>
            <w:tcMar>
              <w:bottom w:w="28" w:type="dxa"/>
            </w:tcMar>
            <w:vAlign w:val="center"/>
          </w:tcPr>
          <w:p>
            <w:pPr>
              <w:pStyle w:val="TableContents"/>
              <w:spacing w:before="0" w:after="283"/>
              <w:jc w:val="right"/>
              <w:rPr/>
            </w:pPr>
            <w:r>
              <w:rPr/>
              <w:t>12,490,479</w:t>
            </w:r>
          </w:p>
        </w:tc>
        <w:tc>
          <w:tcPr>
            <w:tcW w:w="170"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pPr>
      <w:r>
        <w:rPr>
          <w:rStyle w:val="StrongEmphasis"/>
          <w:rFonts w:ascii="times new roman" w:hAnsi="times new roman"/>
          <w:sz w:val="20"/>
        </w:rPr>
        <w:t>Note 9 – Debt</w:t>
      </w:r>
    </w:p>
    <w:p>
      <w:pPr>
        <w:pStyle w:val="TextBody"/>
        <w:spacing w:before="0" w:after="0"/>
        <w:ind w:left="0" w:right="0" w:hanging="0"/>
        <w:rPr/>
      </w:pPr>
      <w:r>
        <w:rPr/>
        <w:t> </w:t>
      </w:r>
    </w:p>
    <w:p>
      <w:pPr>
        <w:pStyle w:val="TextBody"/>
        <w:spacing w:before="0" w:after="0"/>
        <w:ind w:left="0" w:right="0" w:hanging="0"/>
        <w:rPr>
          <w:rFonts w:ascii="times new roman" w:hAnsi="times new roman"/>
          <w:sz w:val="20"/>
          <w:u w:val="single"/>
        </w:rPr>
      </w:pPr>
      <w:r>
        <w:rPr>
          <w:rFonts w:ascii="times new roman" w:hAnsi="times new roman"/>
          <w:sz w:val="20"/>
          <w:u w:val="single"/>
        </w:rPr>
        <w:t>Federal Home Loan Bank</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July 2017, KICO became a member of, and invested in, the Federal Home Loan Bank of New York (“FHLBNY”).  KICO is required to maintain an investment in capital stock of FHLBNY.  Based on redemption provisions of FHLBNY, the stock has no quoted market value and is carried at cost.  At its discretion, FHLBNY may declare dividends on the stock.  Management reviews for impairment based on the ultimate recoverability of the cost basis in the stock. At December 31, 2022 and December 31, 2021, no impairment has been recognized. FHLBNY members have access to a variety of flexible, low cost funding through FHLBNY’s credit products, enabling members to customize advances, which are to be fully collateralized.  Eligible collateral to pledge to FHLBNY includes residential and commercial mortgage backed securities, along with U.S. Treasury and agency securities. See Note 3 – Investments for eligible collateral held in a designated custodian account available for future advances. Advances are limited to 5% of KICO’s net admitted assets as of the previous quarter and are due and payable within one year of borrowing.  KICO is currently able to borrow on an overnight basis. If KICO has collateral, the maximum allowable advance as of December 31, 2022 and 2021 was approximately $13,192,000 and $13,419,000, respectively. Available collateral as of December 31, 2022 and 2021 was approximately $12,228,000 and $0, respectively. Advances are limited to 85% of the amount of available collateral. There were no borrowings under this facility during the years ended December 31, 2022 and 2021.</w:t>
      </w:r>
    </w:p>
    <w:p>
      <w:pPr>
        <w:pStyle w:val="TextBody"/>
        <w:spacing w:before="0" w:after="0"/>
        <w:ind w:left="0" w:right="0" w:hanging="0"/>
        <w:rPr/>
      </w:pPr>
      <w:r>
        <w:rPr/>
        <w:t> </w:t>
      </w:r>
    </w:p>
    <w:p>
      <w:pPr>
        <w:pStyle w:val="TextBody"/>
        <w:spacing w:before="0" w:after="0"/>
        <w:ind w:left="0" w:right="0" w:hanging="0"/>
        <w:rPr>
          <w:rFonts w:ascii="times new roman" w:hAnsi="times new roman"/>
          <w:sz w:val="20"/>
          <w:u w:val="single"/>
        </w:rPr>
      </w:pPr>
      <w:r>
        <w:rPr>
          <w:rFonts w:ascii="times new roman" w:hAnsi="times new roman"/>
          <w:sz w:val="20"/>
          <w:u w:val="single"/>
        </w:rPr>
        <w:t>Debt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Debt as of December 31, 2022 and 2021 consists of the following:</w:t>
      </w:r>
    </w:p>
    <w:p>
      <w:pPr>
        <w:pStyle w:val="TextBody"/>
        <w:spacing w:before="0" w:after="0"/>
        <w:ind w:left="0" w:right="0" w:hanging="0"/>
        <w:jc w:val="both"/>
        <w:rPr/>
      </w:pPr>
      <w:r>
        <w:rPr/>
        <w:t> </w:t>
      </w:r>
    </w:p>
    <w:tbl>
      <w:tblPr>
        <w:tblW w:w="5095" w:type="dxa"/>
        <w:jc w:val="left"/>
        <w:tblInd w:w="0" w:type="dxa"/>
        <w:tblCellMar>
          <w:top w:w="0" w:type="dxa"/>
          <w:left w:w="0" w:type="dxa"/>
          <w:bottom w:w="0" w:type="dxa"/>
          <w:right w:w="0" w:type="dxa"/>
        </w:tblCellMar>
      </w:tblPr>
      <w:tblGrid>
        <w:gridCol w:w="2090"/>
        <w:gridCol w:w="90"/>
        <w:gridCol w:w="170"/>
        <w:gridCol w:w="1130"/>
        <w:gridCol w:w="90"/>
        <w:gridCol w:w="90"/>
        <w:gridCol w:w="170"/>
        <w:gridCol w:w="1130"/>
        <w:gridCol w:w="135"/>
      </w:tblGrid>
      <w:tr>
        <w:trPr/>
        <w:tc>
          <w:tcPr>
            <w:tcW w:w="20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780" w:type="dxa"/>
            <w:gridSpan w:val="6"/>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December 31, </w:t>
            </w:r>
          </w:p>
        </w:tc>
        <w:tc>
          <w:tcPr>
            <w:tcW w:w="135" w:type="dxa"/>
            <w:tcBorders/>
            <w:shd w:fill="auto" w:val="clear"/>
            <w:vAlign w:val="center"/>
          </w:tcPr>
          <w:p>
            <w:pPr>
              <w:pStyle w:val="TableContents"/>
              <w:spacing w:before="0" w:after="0"/>
              <w:ind w:left="0" w:right="0" w:hanging="0"/>
              <w:rPr/>
            </w:pPr>
            <w:r>
              <w:rPr>
                <w:rStyle w:val="StrongEmphasis"/>
              </w:rPr>
              <w:t> </w:t>
            </w:r>
          </w:p>
        </w:tc>
      </w:tr>
      <w:tr>
        <w:trPr/>
        <w:tc>
          <w:tcPr>
            <w:tcW w:w="20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0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2022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0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2021 </w:t>
            </w:r>
          </w:p>
        </w:tc>
        <w:tc>
          <w:tcPr>
            <w:tcW w:w="135" w:type="dxa"/>
            <w:tcBorders/>
            <w:shd w:fill="auto" w:val="clear"/>
            <w:vAlign w:val="center"/>
          </w:tcPr>
          <w:p>
            <w:pPr>
              <w:pStyle w:val="TableContents"/>
              <w:spacing w:before="0" w:after="0"/>
              <w:ind w:left="0" w:right="0" w:hanging="0"/>
              <w:rPr/>
            </w:pPr>
            <w:r>
              <w:rPr/>
              <w:t> </w:t>
            </w:r>
          </w:p>
        </w:tc>
      </w:tr>
      <w:tr>
        <w:trPr/>
        <w:tc>
          <w:tcPr>
            <w:tcW w:w="20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25" w:type="dxa"/>
            <w:gridSpan w:val="4"/>
            <w:tcBorders/>
            <w:shd w:fill="auto" w:val="clear"/>
            <w:vAlign w:val="center"/>
          </w:tcPr>
          <w:p>
            <w:pPr>
              <w:pStyle w:val="TableContents"/>
              <w:spacing w:before="0" w:after="0"/>
              <w:ind w:left="0" w:right="0" w:hanging="0"/>
              <w:rPr/>
            </w:pPr>
            <w:r>
              <w:rPr/>
              <w:t> </w:t>
            </w:r>
          </w:p>
        </w:tc>
      </w:tr>
      <w:tr>
        <w:trPr/>
        <w:tc>
          <w:tcPr>
            <w:tcW w:w="2090"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2017 Notes, net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29,823,791</w:t>
            </w:r>
          </w:p>
        </w:tc>
        <w:tc>
          <w:tcPr>
            <w:tcW w:w="135" w:type="dxa"/>
            <w:tcBorders/>
            <w:shd w:fill="CCEEFF" w:val="clear"/>
            <w:vAlign w:val="center"/>
          </w:tcPr>
          <w:p>
            <w:pPr>
              <w:pStyle w:val="TableContents"/>
              <w:spacing w:before="0" w:after="0"/>
              <w:ind w:left="0" w:right="0" w:hanging="0"/>
              <w:rPr/>
            </w:pPr>
            <w:r>
              <w:rPr/>
              <w:t> </w:t>
            </w:r>
          </w:p>
        </w:tc>
      </w:tr>
      <w:tr>
        <w:trPr/>
        <w:tc>
          <w:tcPr>
            <w:tcW w:w="2090"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2022 Notes, net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17,252,868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w:t>
            </w:r>
          </w:p>
        </w:tc>
        <w:tc>
          <w:tcPr>
            <w:tcW w:w="135" w:type="dxa"/>
            <w:tcBorders/>
            <w:shd w:fill="FFFFFF" w:val="clear"/>
            <w:vAlign w:val="center"/>
          </w:tcPr>
          <w:p>
            <w:pPr>
              <w:pStyle w:val="TableContents"/>
              <w:spacing w:before="0" w:after="0"/>
              <w:ind w:left="0" w:right="0" w:hanging="0"/>
              <w:rPr/>
            </w:pPr>
            <w:r>
              <w:rPr/>
              <w:t> </w:t>
            </w:r>
          </w:p>
        </w:tc>
      </w:tr>
      <w:tr>
        <w:trPr/>
        <w:tc>
          <w:tcPr>
            <w:tcW w:w="2090"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Equipment financing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CCEEFF" w:val="clear"/>
            <w:tcMar>
              <w:bottom w:w="28" w:type="dxa"/>
            </w:tcMar>
            <w:vAlign w:val="center"/>
          </w:tcPr>
          <w:p>
            <w:pPr>
              <w:pStyle w:val="TableContents"/>
              <w:spacing w:before="0" w:after="283"/>
              <w:jc w:val="right"/>
              <w:rPr/>
            </w:pPr>
            <w:r>
              <w:rPr/>
              <w:t>7,905,655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35" w:type="dxa"/>
            <w:tcBorders/>
            <w:shd w:fill="CCEEFF" w:val="clear"/>
            <w:vAlign w:val="center"/>
          </w:tcPr>
          <w:p>
            <w:pPr>
              <w:pStyle w:val="TableContents"/>
              <w:spacing w:before="0" w:after="0"/>
              <w:ind w:left="0" w:right="0" w:hanging="0"/>
              <w:rPr/>
            </w:pPr>
            <w:r>
              <w:rPr/>
              <w:t> </w:t>
            </w:r>
          </w:p>
        </w:tc>
      </w:tr>
      <w:tr>
        <w:trPr/>
        <w:tc>
          <w:tcPr>
            <w:tcW w:w="2090"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Balance at end of period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5" w:space="0" w:color="000000"/>
            </w:tcBorders>
            <w:shd w:fill="FFFFFF" w:val="clear"/>
            <w:tcMar>
              <w:bottom w:w="28" w:type="dxa"/>
            </w:tcMar>
            <w:vAlign w:val="center"/>
          </w:tcPr>
          <w:p>
            <w:pPr>
              <w:pStyle w:val="TableContents"/>
              <w:spacing w:before="0" w:after="283"/>
              <w:rPr/>
            </w:pPr>
            <w:r>
              <w:rPr/>
              <w:t>$</w:t>
            </w:r>
          </w:p>
        </w:tc>
        <w:tc>
          <w:tcPr>
            <w:tcW w:w="1130" w:type="dxa"/>
            <w:tcBorders>
              <w:bottom w:val="double" w:sz="5" w:space="0" w:color="000000"/>
            </w:tcBorders>
            <w:shd w:fill="FFFFFF" w:val="clear"/>
            <w:tcMar>
              <w:bottom w:w="28" w:type="dxa"/>
            </w:tcMar>
            <w:vAlign w:val="center"/>
          </w:tcPr>
          <w:p>
            <w:pPr>
              <w:pStyle w:val="TableContents"/>
              <w:spacing w:before="0" w:after="283"/>
              <w:jc w:val="right"/>
              <w:rPr/>
            </w:pPr>
            <w:r>
              <w:rPr/>
              <w:t>25,158,523</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5" w:space="0" w:color="000000"/>
            </w:tcBorders>
            <w:shd w:fill="FFFFFF" w:val="clear"/>
            <w:tcMar>
              <w:bottom w:w="28" w:type="dxa"/>
            </w:tcMar>
            <w:vAlign w:val="center"/>
          </w:tcPr>
          <w:p>
            <w:pPr>
              <w:pStyle w:val="TableContents"/>
              <w:spacing w:before="0" w:after="283"/>
              <w:rPr/>
            </w:pPr>
            <w:r>
              <w:rPr/>
              <w:t>$</w:t>
            </w:r>
          </w:p>
        </w:tc>
        <w:tc>
          <w:tcPr>
            <w:tcW w:w="1130" w:type="dxa"/>
            <w:tcBorders>
              <w:bottom w:val="double" w:sz="5" w:space="0" w:color="000000"/>
            </w:tcBorders>
            <w:shd w:fill="FFFFFF" w:val="clear"/>
            <w:tcMar>
              <w:bottom w:w="28" w:type="dxa"/>
            </w:tcMar>
            <w:vAlign w:val="center"/>
          </w:tcPr>
          <w:p>
            <w:pPr>
              <w:pStyle w:val="TableContents"/>
              <w:spacing w:before="0" w:after="283"/>
              <w:jc w:val="right"/>
              <w:rPr/>
            </w:pPr>
            <w:r>
              <w:rPr/>
              <w:t>29,823,791</w:t>
            </w:r>
          </w:p>
        </w:tc>
        <w:tc>
          <w:tcPr>
            <w:tcW w:w="135" w:type="dxa"/>
            <w:tcBorders/>
            <w:shd w:fill="FFFFFF" w:val="clear"/>
            <w:vAlign w:val="center"/>
          </w:tcPr>
          <w:p>
            <w:pPr>
              <w:pStyle w:val="TableContents"/>
              <w:spacing w:before="0" w:after="0"/>
              <w:ind w:left="0" w:right="0" w:hanging="0"/>
              <w:rPr/>
            </w:pPr>
            <w:r>
              <w:rPr/>
              <w:t> </w:t>
            </w:r>
          </w:p>
        </w:tc>
      </w:tr>
    </w:tbl>
    <w:p>
      <w:pPr>
        <w:pStyle w:val="TextBody"/>
        <w:spacing w:before="0" w:after="0"/>
        <w:ind w:left="0" w:right="0" w:hanging="0"/>
        <w:jc w:val="center"/>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F-33</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xml:space="preserve">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2022 AND 2021</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Note and Warrant Exchange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December 9, 2022, the Company entered into a Note and Warrant Exchange Agreement (the “Exchange Agreement”) with several holders (the “Exchanging Noteholders”) of the Company’s outstanding 5.50% Senior Notes due 2022 (the “2017 Notes”). On the date of the Exchange Agreement, the Exchanging Noteholders held 2017 Notes in the aggregate principal amount of $21,545,000 of the $30,000,000 aggregate principal amount of the 2017 Notes then outstanding. Pursuant to the Exchange Agreement, on December 15, 2022, the Exchanging Noteholders exchanged their respective 2017 Notes for the following: (i) new 12.0% Senior Notes due December 30, 2024 of the Company in the aggregate approximate principal amount of $19,950,000 (the “2022 Notes”); (ii) cash in the aggregate approximate amount of $1,595,000, together with accrued interest on the 2017 Notes; and (iii) three-year warrants for the purchase of an aggregate of 969,525 shares of Common Stock of the Company, exercisable at an exercise price of $1.00 per share (the “Warrants”). The remaining $8,455,000 principal amount of the 2017 Notes, together with accrued interest thereon, was paid on the maturity date of the 2017 Notes of December 30, 2022, with Company funds.</w:t>
      </w:r>
    </w:p>
    <w:p>
      <w:pPr>
        <w:pStyle w:val="TextBody"/>
        <w:spacing w:before="0" w:after="0"/>
        <w:ind w:left="0" w:right="0" w:hanging="0"/>
        <w:jc w:val="both"/>
        <w:rPr/>
      </w:pPr>
      <w:r>
        <w:rPr/>
        <w:t> </w:t>
      </w:r>
    </w:p>
    <w:p>
      <w:pPr>
        <w:pStyle w:val="TextBody"/>
        <w:spacing w:before="0" w:after="0"/>
        <w:ind w:left="0" w:right="0" w:hanging="0"/>
        <w:jc w:val="both"/>
        <w:rPr/>
      </w:pPr>
      <w:r>
        <w:rPr>
          <w:rStyle w:val="Emphasis"/>
          <w:rFonts w:ascii="times new roman" w:hAnsi="times new roman"/>
          <w:sz w:val="20"/>
        </w:rPr>
        <w:t>2017 Notes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December 19, 2017, the Company issued $30 million of its 2017 Notes in an underwritten public offering. Interest was payable semi-annually in arrears on June 30 and December 30 of each year, which began on June 30, 2018 at the rate of 5.50% per annum. The net proceeds of the issuance were $29,121,630, net of discount of $163,200 and transaction costs of $715,170, for an effective yield of 5.67% per annum. The balance of debt as of December 31, 2022 and 2021 is as follows:</w:t>
      </w:r>
    </w:p>
    <w:p>
      <w:pPr>
        <w:pStyle w:val="TextBody"/>
        <w:spacing w:before="0" w:after="0"/>
        <w:ind w:left="0" w:right="0" w:hanging="0"/>
        <w:jc w:val="both"/>
        <w:rPr/>
      </w:pPr>
      <w:r>
        <w:rPr/>
        <w:t> </w:t>
      </w:r>
    </w:p>
    <w:tbl>
      <w:tblPr>
        <w:tblW w:w="6099" w:type="dxa"/>
        <w:jc w:val="left"/>
        <w:tblInd w:w="0" w:type="dxa"/>
        <w:tblCellMar>
          <w:top w:w="0" w:type="dxa"/>
          <w:left w:w="0" w:type="dxa"/>
          <w:bottom w:w="0" w:type="dxa"/>
          <w:right w:w="0" w:type="dxa"/>
        </w:tblCellMar>
      </w:tblPr>
      <w:tblGrid>
        <w:gridCol w:w="3110"/>
        <w:gridCol w:w="90"/>
        <w:gridCol w:w="719"/>
        <w:gridCol w:w="530"/>
        <w:gridCol w:w="90"/>
        <w:gridCol w:w="90"/>
        <w:gridCol w:w="170"/>
        <w:gridCol w:w="1130"/>
        <w:gridCol w:w="170"/>
      </w:tblGrid>
      <w:tr>
        <w:trPr/>
        <w:tc>
          <w:tcPr>
            <w:tcW w:w="311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49"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December 31,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December 31, </w:t>
            </w:r>
          </w:p>
        </w:tc>
        <w:tc>
          <w:tcPr>
            <w:tcW w:w="170" w:type="dxa"/>
            <w:tcBorders/>
            <w:shd w:fill="auto" w:val="clear"/>
            <w:vAlign w:val="center"/>
          </w:tcPr>
          <w:p>
            <w:pPr>
              <w:pStyle w:val="TableContents"/>
              <w:spacing w:before="0" w:after="0"/>
              <w:ind w:left="0" w:right="0" w:hanging="0"/>
              <w:rPr/>
            </w:pPr>
            <w:r>
              <w:rPr>
                <w:rStyle w:val="StrongEmphasis"/>
              </w:rPr>
              <w:t> </w:t>
            </w:r>
          </w:p>
        </w:tc>
      </w:tr>
      <w:tr>
        <w:trPr/>
        <w:tc>
          <w:tcPr>
            <w:tcW w:w="311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24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2022</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2021</w:t>
            </w:r>
          </w:p>
        </w:tc>
        <w:tc>
          <w:tcPr>
            <w:tcW w:w="170" w:type="dxa"/>
            <w:tcBorders/>
            <w:shd w:fill="auto" w:val="clear"/>
            <w:vAlign w:val="center"/>
          </w:tcPr>
          <w:p>
            <w:pPr>
              <w:pStyle w:val="TableContents"/>
              <w:spacing w:before="0" w:after="0"/>
              <w:ind w:left="0" w:right="0" w:hanging="0"/>
              <w:rPr/>
            </w:pPr>
            <w:r>
              <w:rPr/>
              <w:t> </w:t>
            </w:r>
          </w:p>
        </w:tc>
      </w:tr>
      <w:tr>
        <w:trPr/>
        <w:tc>
          <w:tcPr>
            <w:tcW w:w="311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49"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r>
      <w:tr>
        <w:trPr/>
        <w:tc>
          <w:tcPr>
            <w:tcW w:w="3110" w:type="dxa"/>
            <w:tcBorders/>
            <w:shd w:fill="CCEEFF" w:val="clear"/>
            <w:vAlign w:val="center"/>
          </w:tcPr>
          <w:p>
            <w:pPr>
              <w:pStyle w:val="TableContents"/>
              <w:spacing w:before="0" w:after="283"/>
              <w:rPr/>
            </w:pPr>
            <w:r>
              <w:rPr/>
              <w:t xml:space="preserve">5.50% Senior Unsecured Notes </w:t>
            </w:r>
          </w:p>
        </w:tc>
        <w:tc>
          <w:tcPr>
            <w:tcW w:w="90" w:type="dxa"/>
            <w:tcBorders/>
            <w:shd w:fill="CCEEFF" w:val="clear"/>
            <w:vAlign w:val="center"/>
          </w:tcPr>
          <w:p>
            <w:pPr>
              <w:pStyle w:val="TableContents"/>
              <w:spacing w:before="0" w:after="0"/>
              <w:ind w:left="0" w:right="0" w:hanging="0"/>
              <w:rPr/>
            </w:pPr>
            <w:r>
              <w:rPr/>
              <w:t> </w:t>
            </w:r>
          </w:p>
        </w:tc>
        <w:tc>
          <w:tcPr>
            <w:tcW w:w="719" w:type="dxa"/>
            <w:tcBorders/>
            <w:shd w:fill="CCEEFF" w:val="clear"/>
            <w:vAlign w:val="center"/>
          </w:tcPr>
          <w:p>
            <w:pPr>
              <w:pStyle w:val="TableContents"/>
              <w:spacing w:before="0" w:after="283"/>
              <w:rPr/>
            </w:pPr>
            <w:r>
              <w:rPr/>
              <w:t>$</w:t>
            </w:r>
          </w:p>
        </w:tc>
        <w:tc>
          <w:tcPr>
            <w:tcW w:w="53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30,000,000</w:t>
            </w:r>
          </w:p>
        </w:tc>
        <w:tc>
          <w:tcPr>
            <w:tcW w:w="170" w:type="dxa"/>
            <w:tcBorders/>
            <w:shd w:fill="CCEEFF" w:val="clear"/>
            <w:vAlign w:val="center"/>
          </w:tcPr>
          <w:p>
            <w:pPr>
              <w:pStyle w:val="TableContents"/>
              <w:spacing w:before="0" w:after="0"/>
              <w:ind w:left="0" w:right="0" w:hanging="0"/>
              <w:rPr/>
            </w:pPr>
            <w:r>
              <w:rPr/>
              <w:t> </w:t>
            </w:r>
          </w:p>
        </w:tc>
      </w:tr>
      <w:tr>
        <w:trPr/>
        <w:tc>
          <w:tcPr>
            <w:tcW w:w="3110" w:type="dxa"/>
            <w:tcBorders/>
            <w:shd w:fill="FFFFFF" w:val="clear"/>
            <w:vAlign w:val="center"/>
          </w:tcPr>
          <w:p>
            <w:pPr>
              <w:pStyle w:val="TableContents"/>
              <w:spacing w:before="0" w:after="283"/>
              <w:rPr/>
            </w:pPr>
            <w:r>
              <w:rPr/>
              <w:t xml:space="preserve">Discount </w:t>
            </w:r>
          </w:p>
        </w:tc>
        <w:tc>
          <w:tcPr>
            <w:tcW w:w="90" w:type="dxa"/>
            <w:tcBorders/>
            <w:shd w:fill="FFFFFF" w:val="clear"/>
            <w:vAlign w:val="center"/>
          </w:tcPr>
          <w:p>
            <w:pPr>
              <w:pStyle w:val="TableContents"/>
              <w:spacing w:before="0" w:after="0"/>
              <w:ind w:left="0" w:right="0" w:hanging="0"/>
              <w:rPr/>
            </w:pPr>
            <w:r>
              <w:rPr/>
              <w:t> </w:t>
            </w:r>
          </w:p>
        </w:tc>
        <w:tc>
          <w:tcPr>
            <w:tcW w:w="719" w:type="dxa"/>
            <w:tcBorders/>
            <w:shd w:fill="FFFFFF" w:val="clear"/>
            <w:vAlign w:val="center"/>
          </w:tcPr>
          <w:p>
            <w:pPr>
              <w:pStyle w:val="TableContents"/>
              <w:spacing w:before="0" w:after="0"/>
              <w:ind w:left="0" w:right="0" w:hanging="0"/>
              <w:rPr/>
            </w:pPr>
            <w:r>
              <w:rPr/>
              <w:t> </w:t>
            </w:r>
          </w:p>
        </w:tc>
        <w:tc>
          <w:tcPr>
            <w:tcW w:w="530" w:type="dxa"/>
            <w:tcBorders/>
            <w:shd w:fill="FFFFFF" w:val="cle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(32,442</w:t>
            </w:r>
          </w:p>
        </w:tc>
        <w:tc>
          <w:tcPr>
            <w:tcW w:w="170" w:type="dxa"/>
            <w:tcBorders/>
            <w:shd w:fill="FFFFFF" w:val="clear"/>
            <w:vAlign w:val="center"/>
          </w:tcPr>
          <w:p>
            <w:pPr>
              <w:pStyle w:val="TableContents"/>
              <w:spacing w:before="0" w:after="283"/>
              <w:rPr/>
            </w:pPr>
            <w:r>
              <w:rPr/>
              <w:t>)</w:t>
            </w:r>
          </w:p>
        </w:tc>
      </w:tr>
      <w:tr>
        <w:trPr/>
        <w:tc>
          <w:tcPr>
            <w:tcW w:w="3110" w:type="dxa"/>
            <w:tcBorders/>
            <w:shd w:fill="CCEEFF" w:val="clear"/>
            <w:vAlign w:val="center"/>
          </w:tcPr>
          <w:p>
            <w:pPr>
              <w:pStyle w:val="TableContents"/>
              <w:spacing w:before="0" w:after="283"/>
              <w:rPr/>
            </w:pPr>
            <w:r>
              <w:rPr/>
              <w:t xml:space="preserve">Issuance costs </w:t>
            </w:r>
          </w:p>
        </w:tc>
        <w:tc>
          <w:tcPr>
            <w:tcW w:w="90" w:type="dxa"/>
            <w:tcBorders/>
            <w:shd w:fill="CCEEFF" w:val="clear"/>
            <w:vAlign w:val="center"/>
          </w:tcPr>
          <w:p>
            <w:pPr>
              <w:pStyle w:val="TableContents"/>
              <w:spacing w:before="0" w:after="0"/>
              <w:ind w:left="0" w:right="0" w:hanging="0"/>
              <w:rPr/>
            </w:pPr>
            <w:r>
              <w:rPr/>
              <w:t> </w:t>
            </w:r>
          </w:p>
        </w:tc>
        <w:tc>
          <w:tcPr>
            <w:tcW w:w="71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30"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CCEEFF" w:val="clear"/>
            <w:tcMar>
              <w:bottom w:w="28" w:type="dxa"/>
            </w:tcMar>
            <w:vAlign w:val="center"/>
          </w:tcPr>
          <w:p>
            <w:pPr>
              <w:pStyle w:val="TableContents"/>
              <w:spacing w:before="0" w:after="283"/>
              <w:jc w:val="right"/>
              <w:rPr/>
            </w:pPr>
            <w:r>
              <w:rPr/>
              <w:t>(143,767</w:t>
            </w:r>
          </w:p>
        </w:tc>
        <w:tc>
          <w:tcPr>
            <w:tcW w:w="170" w:type="dxa"/>
            <w:tcBorders/>
            <w:shd w:fill="CCEEFF" w:val="clear"/>
            <w:vAlign w:val="center"/>
          </w:tcPr>
          <w:p>
            <w:pPr>
              <w:pStyle w:val="TableContents"/>
              <w:spacing w:before="0" w:after="283"/>
              <w:rPr/>
            </w:pPr>
            <w:r>
              <w:rPr/>
              <w:t>)</w:t>
            </w:r>
          </w:p>
        </w:tc>
      </w:tr>
      <w:tr>
        <w:trPr/>
        <w:tc>
          <w:tcPr>
            <w:tcW w:w="3110" w:type="dxa"/>
            <w:tcBorders/>
            <w:shd w:fill="FFFFFF" w:val="clear"/>
            <w:vAlign w:val="center"/>
          </w:tcPr>
          <w:p>
            <w:pPr>
              <w:pStyle w:val="TableContents"/>
              <w:spacing w:before="0" w:after="283"/>
              <w:rPr/>
            </w:pPr>
            <w:r>
              <w:rPr/>
              <w:t xml:space="preserve">2017 Notes, net </w:t>
            </w:r>
          </w:p>
        </w:tc>
        <w:tc>
          <w:tcPr>
            <w:tcW w:w="90" w:type="dxa"/>
            <w:tcBorders/>
            <w:shd w:fill="FFFFFF" w:val="clear"/>
            <w:vAlign w:val="center"/>
          </w:tcPr>
          <w:p>
            <w:pPr>
              <w:pStyle w:val="TableContents"/>
              <w:spacing w:before="0" w:after="0"/>
              <w:ind w:left="0" w:right="0" w:hanging="0"/>
              <w:rPr/>
            </w:pPr>
            <w:r>
              <w:rPr/>
              <w:t> </w:t>
            </w:r>
          </w:p>
        </w:tc>
        <w:tc>
          <w:tcPr>
            <w:tcW w:w="719" w:type="dxa"/>
            <w:tcBorders>
              <w:bottom w:val="double" w:sz="5" w:space="0" w:color="000000"/>
            </w:tcBorders>
            <w:shd w:fill="FFFFFF" w:val="clear"/>
            <w:tcMar>
              <w:bottom w:w="28" w:type="dxa"/>
            </w:tcMar>
            <w:vAlign w:val="center"/>
          </w:tcPr>
          <w:p>
            <w:pPr>
              <w:pStyle w:val="TableContents"/>
              <w:spacing w:before="0" w:after="283"/>
              <w:rPr/>
            </w:pPr>
            <w:r>
              <w:rPr/>
              <w:t>$</w:t>
            </w:r>
          </w:p>
        </w:tc>
        <w:tc>
          <w:tcPr>
            <w:tcW w:w="530" w:type="dxa"/>
            <w:tcBorders>
              <w:bottom w:val="double" w:sz="5" w:space="0" w:color="000000"/>
            </w:tcBorders>
            <w:shd w:fill="FFFFFF" w:val="clear"/>
            <w:tcMar>
              <w:bottom w:w="28" w:type="dxa"/>
            </w:tcM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5" w:space="0" w:color="000000"/>
            </w:tcBorders>
            <w:shd w:fill="FFFFFF" w:val="clear"/>
            <w:tcMar>
              <w:bottom w:w="28" w:type="dxa"/>
            </w:tcMar>
            <w:vAlign w:val="center"/>
          </w:tcPr>
          <w:p>
            <w:pPr>
              <w:pStyle w:val="TableContents"/>
              <w:spacing w:before="0" w:after="283"/>
              <w:rPr/>
            </w:pPr>
            <w:r>
              <w:rPr/>
              <w:t>$</w:t>
            </w:r>
          </w:p>
        </w:tc>
        <w:tc>
          <w:tcPr>
            <w:tcW w:w="1130" w:type="dxa"/>
            <w:tcBorders>
              <w:bottom w:val="double" w:sz="5" w:space="0" w:color="000000"/>
            </w:tcBorders>
            <w:shd w:fill="FFFFFF" w:val="clear"/>
            <w:tcMar>
              <w:bottom w:w="28" w:type="dxa"/>
            </w:tcMar>
            <w:vAlign w:val="center"/>
          </w:tcPr>
          <w:p>
            <w:pPr>
              <w:pStyle w:val="TableContents"/>
              <w:spacing w:before="0" w:after="283"/>
              <w:jc w:val="right"/>
              <w:rPr/>
            </w:pPr>
            <w:r>
              <w:rPr/>
              <w:t>29,823,791</w:t>
            </w:r>
          </w:p>
        </w:tc>
        <w:tc>
          <w:tcPr>
            <w:tcW w:w="170" w:type="dxa"/>
            <w:tcBorders/>
            <w:shd w:fill="FFFF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2017 Notes were unsecured obligations of the Company and were not the obligations of or guaranteed by any of the Company’s subsidiaries. The 2017 Notes ranked senior in right of payment to any of the Company’s existing and future indebtedness that is by its terms expressly subordinated or junior in right of payment to the 2017 Notes. The Notes ranked equally in right of payment to all of the Company’s existing and future senior indebtedness, but were effectively subordinated to any secured indebtedness to the extent of the value of the collateral securing such secured indebtedness. In addition, the 2017 Notes were structurally subordinated to the indebtedness and other obligations of the Company’s subsidiaries. The 2017 Notes were redeemable by the Company, at its option, at any time in whole or from time to time in part, at the redemption price equal to the greater of: (i) 100% of the principal amount of the 2017 Notes to be redeemed; and (ii) the sum of the present values of the remaining scheduled payments of principal and interest on the 2017 Notes to be redeemed that would have been due if the 2017 Notes matured on the applicable redemption date (exclusive of interest accrued to the applicable redemption date) discounted to the redemption date on a semi-annual basis at the Treasury Rate, plus 50 basis points (“Make Whole Call”).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Due to the Make Whole Call, management’s intent was to retire or otherwise satisfy the Notes at or close to the scheduled maturity date in December 2022.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used an aggregate $28,256,335 of the net proceeds from the offering to contribute capital to KICO in order to support additional growth. The remainder of the net proceeds was used for general corporate purposes. A registration statement relating to the debt issued in the offering was filed with the SEC, which became effective on November 28, 2017.</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F-34</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jc w:val="center"/>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2022 AND 2021</w:t>
      </w:r>
    </w:p>
    <w:p>
      <w:pPr>
        <w:pStyle w:val="TextBody"/>
        <w:spacing w:before="0" w:after="0"/>
        <w:ind w:left="0" w:right="0" w:hanging="0"/>
        <w:jc w:val="center"/>
        <w:rPr/>
      </w:pPr>
      <w:r>
        <w:rPr/>
        <w:t> </w:t>
      </w:r>
    </w:p>
    <w:p>
      <w:pPr>
        <w:pStyle w:val="TextBody"/>
        <w:spacing w:before="0" w:after="0"/>
        <w:ind w:left="0" w:right="0" w:hanging="0"/>
        <w:jc w:val="both"/>
        <w:rPr/>
      </w:pPr>
      <w:r>
        <w:rPr>
          <w:rStyle w:val="Emphasis"/>
          <w:rFonts w:ascii="times new roman" w:hAnsi="times new roman"/>
          <w:sz w:val="20"/>
        </w:rPr>
        <w:t>2022 Notes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December 15, 2022, the Company issued $19,950,000 of its 2022 Notes pursuant to the Exchange Agreement. Interest is payable semi-annually in arrears on June 30 and December 30 of each year, which will begin on June 30, 2023 at the rate of 12.0% per annum. Warrants were issued with a fair value of $993,200 (see Note 12 – Stockholders’ Equity) and transaction costs were $1,758,112, for an effective yield of 13.92% per annum. The balance of the 2022 Notes as of December 31, 2022 is as follows:</w:t>
      </w:r>
    </w:p>
    <w:p>
      <w:pPr>
        <w:pStyle w:val="TextBody"/>
        <w:spacing w:before="0" w:after="0"/>
        <w:ind w:left="0" w:right="0" w:hanging="0"/>
        <w:rPr/>
      </w:pPr>
      <w:r>
        <w:rPr/>
        <w:t xml:space="preserve">  </w:t>
      </w:r>
    </w:p>
    <w:tbl>
      <w:tblPr>
        <w:tblW w:w="4670" w:type="dxa"/>
        <w:jc w:val="left"/>
        <w:tblInd w:w="0" w:type="dxa"/>
        <w:tblCellMar>
          <w:top w:w="0" w:type="dxa"/>
          <w:left w:w="0" w:type="dxa"/>
          <w:bottom w:w="0" w:type="dxa"/>
          <w:right w:w="0" w:type="dxa"/>
        </w:tblCellMar>
      </w:tblPr>
      <w:tblGrid>
        <w:gridCol w:w="3110"/>
        <w:gridCol w:w="90"/>
        <w:gridCol w:w="170"/>
        <w:gridCol w:w="1130"/>
        <w:gridCol w:w="170"/>
      </w:tblGrid>
      <w:tr>
        <w:trPr/>
        <w:tc>
          <w:tcPr>
            <w:tcW w:w="3110" w:type="dxa"/>
            <w:tcBorders/>
            <w:shd w:fill="CCEEFF" w:val="clear"/>
            <w:vAlign w:val="center"/>
          </w:tcPr>
          <w:p>
            <w:pPr>
              <w:pStyle w:val="TableContents"/>
              <w:spacing w:before="0" w:after="283"/>
              <w:rPr/>
            </w:pPr>
            <w:r>
              <w:rPr/>
              <w:t xml:space="preserve">12.0% Senior Unsecured Notes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19,950,000</w:t>
            </w:r>
          </w:p>
        </w:tc>
        <w:tc>
          <w:tcPr>
            <w:tcW w:w="170" w:type="dxa"/>
            <w:tcBorders/>
            <w:shd w:fill="CCEEFF" w:val="clear"/>
            <w:vAlign w:val="center"/>
          </w:tcPr>
          <w:p>
            <w:pPr>
              <w:pStyle w:val="TableContents"/>
              <w:spacing w:before="0" w:after="0"/>
              <w:ind w:left="0" w:right="0" w:hanging="0"/>
              <w:rPr/>
            </w:pPr>
            <w:r>
              <w:rPr/>
              <w:t> </w:t>
            </w:r>
          </w:p>
        </w:tc>
      </w:tr>
      <w:tr>
        <w:trPr/>
        <w:tc>
          <w:tcPr>
            <w:tcW w:w="3110" w:type="dxa"/>
            <w:tcBorders/>
            <w:shd w:fill="FFFFFF" w:val="clear"/>
            <w:vAlign w:val="center"/>
          </w:tcPr>
          <w:p>
            <w:pPr>
              <w:pStyle w:val="TableContents"/>
              <w:spacing w:before="0" w:after="283"/>
              <w:rPr/>
            </w:pPr>
            <w:r>
              <w:rPr/>
              <w:t xml:space="preserve">Warrants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(979,684</w:t>
            </w:r>
          </w:p>
        </w:tc>
        <w:tc>
          <w:tcPr>
            <w:tcW w:w="170" w:type="dxa"/>
            <w:tcBorders/>
            <w:shd w:fill="FFFFFF" w:val="clear"/>
            <w:vAlign w:val="center"/>
          </w:tcPr>
          <w:p>
            <w:pPr>
              <w:pStyle w:val="TableContents"/>
              <w:spacing w:before="0" w:after="283"/>
              <w:rPr/>
            </w:pPr>
            <w:r>
              <w:rPr/>
              <w:t>)</w:t>
            </w:r>
          </w:p>
        </w:tc>
      </w:tr>
      <w:tr>
        <w:trPr/>
        <w:tc>
          <w:tcPr>
            <w:tcW w:w="3110" w:type="dxa"/>
            <w:tcBorders/>
            <w:shd w:fill="CCEEFF" w:val="clear"/>
            <w:vAlign w:val="center"/>
          </w:tcPr>
          <w:p>
            <w:pPr>
              <w:pStyle w:val="TableContents"/>
              <w:spacing w:before="0" w:after="283"/>
              <w:rPr/>
            </w:pPr>
            <w:r>
              <w:rPr/>
              <w:t xml:space="preserve">Issuance costs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CCEEFF" w:val="clear"/>
            <w:tcMar>
              <w:bottom w:w="28" w:type="dxa"/>
            </w:tcMar>
            <w:vAlign w:val="center"/>
          </w:tcPr>
          <w:p>
            <w:pPr>
              <w:pStyle w:val="TableContents"/>
              <w:spacing w:before="0" w:after="283"/>
              <w:jc w:val="right"/>
              <w:rPr/>
            </w:pPr>
            <w:r>
              <w:rPr/>
              <w:t>(1,717,448</w:t>
            </w:r>
          </w:p>
        </w:tc>
        <w:tc>
          <w:tcPr>
            <w:tcW w:w="170" w:type="dxa"/>
            <w:tcBorders/>
            <w:shd w:fill="CCEEFF" w:val="clear"/>
            <w:vAlign w:val="center"/>
          </w:tcPr>
          <w:p>
            <w:pPr>
              <w:pStyle w:val="TableContents"/>
              <w:spacing w:before="0" w:after="283"/>
              <w:rPr/>
            </w:pPr>
            <w:r>
              <w:rPr/>
              <w:t>)</w:t>
            </w:r>
          </w:p>
        </w:tc>
      </w:tr>
      <w:tr>
        <w:trPr/>
        <w:tc>
          <w:tcPr>
            <w:tcW w:w="3110" w:type="dxa"/>
            <w:tcBorders/>
            <w:shd w:fill="FFFFFF" w:val="clear"/>
            <w:vAlign w:val="center"/>
          </w:tcPr>
          <w:p>
            <w:pPr>
              <w:pStyle w:val="TableContents"/>
              <w:spacing w:before="0" w:after="283"/>
              <w:rPr/>
            </w:pPr>
            <w:r>
              <w:rPr/>
              <w:t xml:space="preserve">2022 Notes, net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5" w:space="0" w:color="000000"/>
            </w:tcBorders>
            <w:shd w:fill="FFFFFF" w:val="clear"/>
            <w:tcMar>
              <w:bottom w:w="28" w:type="dxa"/>
            </w:tcMar>
            <w:vAlign w:val="center"/>
          </w:tcPr>
          <w:p>
            <w:pPr>
              <w:pStyle w:val="TableContents"/>
              <w:spacing w:before="0" w:after="283"/>
              <w:rPr/>
            </w:pPr>
            <w:r>
              <w:rPr/>
              <w:t>$</w:t>
            </w:r>
          </w:p>
        </w:tc>
        <w:tc>
          <w:tcPr>
            <w:tcW w:w="1130" w:type="dxa"/>
            <w:tcBorders>
              <w:bottom w:val="double" w:sz="5" w:space="0" w:color="000000"/>
            </w:tcBorders>
            <w:shd w:fill="FFFFFF" w:val="clear"/>
            <w:tcMar>
              <w:bottom w:w="28" w:type="dxa"/>
            </w:tcMar>
            <w:vAlign w:val="center"/>
          </w:tcPr>
          <w:p>
            <w:pPr>
              <w:pStyle w:val="TableContents"/>
              <w:spacing w:before="0" w:after="283"/>
              <w:jc w:val="right"/>
              <w:rPr/>
            </w:pPr>
            <w:r>
              <w:rPr/>
              <w:t>17,252,868</w:t>
            </w:r>
          </w:p>
        </w:tc>
        <w:tc>
          <w:tcPr>
            <w:tcW w:w="170" w:type="dxa"/>
            <w:tcBorders/>
            <w:shd w:fill="FFFFFF" w:val="clear"/>
            <w:vAlign w:val="center"/>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Company is required to make a mandatory redemption of 2022 Notes on December 30, 2023, in an amount such that the aggregate principal amount of 2022 Notes to be redeemed plus accrued and unpaid interest thereon shall be equal to the amount by which the maximum Ordinary Dividend Paying Capacity of KICO (as defined below) measured as of December 15, 2023 exceeds the Company’s Holding Company Expenses (as defined below) for the calendar year ended December 31, 2023. “Ordinary Dividend Paying Capacity” means the sum, as measured on December 15, 2023, of (i) the maximum allowable amount of dividends that KICO is permitted to pay without seeking any regulatory approval in accordance with New York insurance regulations based on its statutory annual and quarterly financial statements filed with the National Association of Insurance Commissioners as of and for the thirty-six (36) month period ended September 30, 2023 plus (ii) any dividends paid by KICO to the Company during the period beginning January 1, 2023 and ending September 30, 2023. “Holding Company Expenses” means the sum of (i) cash interest expense paid or to be paid during the calendar year ended December 31, 2023 on the 2022 Notes, intercompany loans and any other indebtedness of the holding company on a stand-alone basis and (ii) other cash operating expenses, including taxes, paid or to be paid by the holding company during the calendar year ended December 31, 2023. The amount of other operating expenses paid in cash in the preceding clause (ii) shall not exceed $2.5 million. Holding Company Expenses will be determined based on the actual Holding Company Expenses for the nine months ending September 30, 2023, and an estimate of Holding Company Expenses for the three months ending December 30, 2023.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2022 Notes are unsecured obligations of the Company and are not the obligations of or guaranteed by any of the Company’s subsidiaries. The 2022 Notes rank senior in right of payment to any of the Company’s existing and future indebtedness that is by its terms expressly subordinated or junior in right of payment to the 2022 Notes. The Notes rank equally in right of payment to all of the Company’s existing and future senior indebtedness, but are effectively subordinated to any secured indebtedness to the extent of the value of the collateral securing such secured indebtedness. In addition, the 2022 Notes are structurally subordinated to the indebtedness and other obligations of the Company’s subsidiaries.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2022 Notes will be redeemable, at the Company’s option, in whole or in part, at any time or in part from time to time, on and after December 30, 2022, upon not less than fifteen (15) nor more than sixty (60) days’ notice, at the following redemption prices (expressed as percentages of the principal amount thereof) if redeemed during the respective period set forth below, plus, in each case, accrued and unpaid interest, if any, to the date of redemption (subject to the right of holders of record on the relevant record date to receive interest due on the relevant interest payment date):</w:t>
      </w:r>
    </w:p>
    <w:p>
      <w:pPr>
        <w:pStyle w:val="TextBody"/>
        <w:spacing w:before="0" w:after="0"/>
        <w:ind w:left="0" w:right="0" w:hanging="0"/>
        <w:jc w:val="both"/>
        <w:rPr/>
      </w:pPr>
      <w:r>
        <w:rPr/>
        <w:t> </w:t>
      </w:r>
    </w:p>
    <w:tbl>
      <w:tblPr>
        <w:tblW w:w="5700" w:type="dxa"/>
        <w:jc w:val="left"/>
        <w:tblInd w:w="0" w:type="dxa"/>
        <w:tblCellMar>
          <w:top w:w="0" w:type="dxa"/>
          <w:left w:w="0" w:type="dxa"/>
          <w:bottom w:w="28" w:type="dxa"/>
          <w:right w:w="0" w:type="dxa"/>
        </w:tblCellMar>
      </w:tblPr>
      <w:tblGrid>
        <w:gridCol w:w="4145"/>
        <w:gridCol w:w="90"/>
        <w:gridCol w:w="132"/>
        <w:gridCol w:w="1043"/>
        <w:gridCol w:w="290"/>
      </w:tblGrid>
      <w:tr>
        <w:trPr/>
        <w:tc>
          <w:tcPr>
            <w:tcW w:w="4145" w:type="dxa"/>
            <w:tcBorders>
              <w:bottom w:val="single" w:sz="2" w:space="0" w:color="000000"/>
            </w:tcBorders>
            <w:shd w:fill="auto" w:val="clear"/>
            <w:vAlign w:val="center"/>
          </w:tcPr>
          <w:p>
            <w:pPr>
              <w:pStyle w:val="TableContents"/>
              <w:spacing w:before="0" w:after="283"/>
              <w:rPr/>
            </w:pPr>
            <w:r>
              <w:rPr>
                <w:rStyle w:val="StrongEmphasis"/>
              </w:rPr>
              <w:t>Period:</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175" w:type="dxa"/>
            <w:gridSpan w:val="2"/>
            <w:tcBorders>
              <w:bottom w:val="single" w:sz="2" w:space="0" w:color="000000"/>
            </w:tcBorders>
            <w:shd w:fill="auto" w:val="clear"/>
            <w:vAlign w:val="center"/>
          </w:tcPr>
          <w:p>
            <w:pPr>
              <w:pStyle w:val="TableContents"/>
              <w:spacing w:before="0" w:after="283"/>
              <w:jc w:val="center"/>
              <w:rPr/>
            </w:pPr>
            <w:r>
              <w:rPr>
                <w:rStyle w:val="StrongEmphasis"/>
              </w:rPr>
              <w:t>Percentage</w:t>
            </w:r>
          </w:p>
        </w:tc>
        <w:tc>
          <w:tcPr>
            <w:tcW w:w="290" w:type="dxa"/>
            <w:tcBorders/>
            <w:shd w:fill="auto" w:val="clear"/>
            <w:tcMar>
              <w:bottom w:w="0" w:type="dxa"/>
            </w:tcMar>
            <w:vAlign w:val="center"/>
          </w:tcPr>
          <w:p>
            <w:pPr>
              <w:pStyle w:val="TableContents"/>
              <w:spacing w:before="0" w:after="0"/>
              <w:ind w:left="0" w:right="0" w:hanging="0"/>
              <w:rPr/>
            </w:pPr>
            <w:r>
              <w:rPr/>
              <w:t> </w:t>
            </w:r>
          </w:p>
        </w:tc>
      </w:tr>
      <w:tr>
        <w:trPr/>
        <w:tc>
          <w:tcPr>
            <w:tcW w:w="414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175" w:type="dxa"/>
            <w:gridSpan w:val="2"/>
            <w:tcBorders/>
            <w:shd w:fill="auto" w:val="clear"/>
            <w:tcMar>
              <w:bottom w:w="0" w:type="dxa"/>
            </w:tcMar>
            <w:vAlign w:val="center"/>
          </w:tcPr>
          <w:p>
            <w:pPr>
              <w:pStyle w:val="TableContents"/>
              <w:spacing w:before="0" w:after="0"/>
              <w:ind w:left="0" w:right="0" w:hanging="0"/>
              <w:rPr/>
            </w:pPr>
            <w:r>
              <w:rPr/>
              <w:t> </w:t>
            </w:r>
          </w:p>
        </w:tc>
        <w:tc>
          <w:tcPr>
            <w:tcW w:w="290" w:type="dxa"/>
            <w:tcBorders/>
            <w:shd w:fill="auto" w:val="clear"/>
            <w:tcMar>
              <w:bottom w:w="0" w:type="dxa"/>
            </w:tcMar>
            <w:vAlign w:val="center"/>
          </w:tcPr>
          <w:p>
            <w:pPr>
              <w:pStyle w:val="TableContents"/>
              <w:spacing w:before="0" w:after="0"/>
              <w:ind w:left="0" w:right="0" w:hanging="0"/>
              <w:rPr/>
            </w:pPr>
            <w:r>
              <w:rPr/>
              <w:t> </w:t>
            </w:r>
          </w:p>
        </w:tc>
      </w:tr>
      <w:tr>
        <w:trPr/>
        <w:tc>
          <w:tcPr>
            <w:tcW w:w="4145" w:type="dxa"/>
            <w:tcBorders/>
            <w:shd w:fill="CCEEFF" w:val="clear"/>
            <w:tcMar>
              <w:bottom w:w="0" w:type="dxa"/>
            </w:tcMar>
            <w:vAlign w:val="center"/>
          </w:tcPr>
          <w:p>
            <w:pPr>
              <w:pStyle w:val="TableContents"/>
              <w:spacing w:before="0" w:after="283"/>
              <w:rPr/>
            </w:pPr>
            <w:r>
              <w:rPr/>
              <w:t>December 30, 2022 to December 29, 2023</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32" w:type="dxa"/>
            <w:tcBorders/>
            <w:shd w:fill="CCEEFF" w:val="clear"/>
            <w:tcMar>
              <w:bottom w:w="0" w:type="dxa"/>
            </w:tcMar>
            <w:vAlign w:val="center"/>
          </w:tcPr>
          <w:p>
            <w:pPr>
              <w:pStyle w:val="TableContents"/>
              <w:spacing w:before="0" w:after="0"/>
              <w:ind w:left="0" w:right="0" w:hanging="0"/>
              <w:rPr/>
            </w:pPr>
            <w:r>
              <w:rPr/>
              <w:t> </w:t>
            </w:r>
          </w:p>
        </w:tc>
        <w:tc>
          <w:tcPr>
            <w:tcW w:w="1043" w:type="dxa"/>
            <w:tcBorders/>
            <w:shd w:fill="CCEEFF" w:val="clear"/>
            <w:tcMar>
              <w:bottom w:w="0" w:type="dxa"/>
            </w:tcMar>
            <w:vAlign w:val="center"/>
          </w:tcPr>
          <w:p>
            <w:pPr>
              <w:pStyle w:val="TableContents"/>
              <w:spacing w:before="0" w:after="283"/>
              <w:jc w:val="right"/>
              <w:rPr/>
            </w:pPr>
            <w:r>
              <w:rPr/>
              <w:t>102.00</w:t>
            </w:r>
          </w:p>
        </w:tc>
        <w:tc>
          <w:tcPr>
            <w:tcW w:w="290" w:type="dxa"/>
            <w:tcBorders/>
            <w:shd w:fill="CCEEFF" w:val="clear"/>
            <w:tcMar>
              <w:bottom w:w="0" w:type="dxa"/>
            </w:tcMar>
            <w:vAlign w:val="center"/>
          </w:tcPr>
          <w:p>
            <w:pPr>
              <w:pStyle w:val="TableContents"/>
              <w:spacing w:before="0" w:after="283"/>
              <w:rPr/>
            </w:pPr>
            <w:r>
              <w:rPr/>
              <w:t>%</w:t>
            </w:r>
          </w:p>
        </w:tc>
      </w:tr>
      <w:tr>
        <w:trPr/>
        <w:tc>
          <w:tcPr>
            <w:tcW w:w="4145" w:type="dxa"/>
            <w:tcBorders/>
            <w:shd w:fill="FFFFFF" w:val="clear"/>
            <w:tcMar>
              <w:bottom w:w="0" w:type="dxa"/>
            </w:tcMar>
            <w:vAlign w:val="center"/>
          </w:tcPr>
          <w:p>
            <w:pPr>
              <w:pStyle w:val="TableContents"/>
              <w:spacing w:before="0" w:after="283"/>
              <w:rPr/>
            </w:pPr>
            <w:r>
              <w:rPr/>
              <w:t>December 30, 2023 to September 29, 2024</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32" w:type="dxa"/>
            <w:tcBorders/>
            <w:shd w:fill="FFFFFF" w:val="clear"/>
            <w:tcMar>
              <w:bottom w:w="0" w:type="dxa"/>
            </w:tcMar>
            <w:vAlign w:val="center"/>
          </w:tcPr>
          <w:p>
            <w:pPr>
              <w:pStyle w:val="TableContents"/>
              <w:spacing w:before="0" w:after="0"/>
              <w:ind w:left="0" w:right="0" w:hanging="0"/>
              <w:rPr/>
            </w:pPr>
            <w:r>
              <w:rPr/>
              <w:t> </w:t>
            </w:r>
          </w:p>
        </w:tc>
        <w:tc>
          <w:tcPr>
            <w:tcW w:w="1043" w:type="dxa"/>
            <w:tcBorders/>
            <w:shd w:fill="FFFFFF" w:val="clear"/>
            <w:tcMar>
              <w:bottom w:w="0" w:type="dxa"/>
            </w:tcMar>
            <w:vAlign w:val="center"/>
          </w:tcPr>
          <w:p>
            <w:pPr>
              <w:pStyle w:val="TableContents"/>
              <w:spacing w:before="0" w:after="283"/>
              <w:jc w:val="right"/>
              <w:rPr/>
            </w:pPr>
            <w:r>
              <w:rPr/>
              <w:t>101.00</w:t>
            </w:r>
          </w:p>
        </w:tc>
        <w:tc>
          <w:tcPr>
            <w:tcW w:w="290" w:type="dxa"/>
            <w:tcBorders/>
            <w:shd w:fill="FFFFFF" w:val="clear"/>
            <w:tcMar>
              <w:bottom w:w="0" w:type="dxa"/>
            </w:tcMar>
            <w:vAlign w:val="center"/>
          </w:tcPr>
          <w:p>
            <w:pPr>
              <w:pStyle w:val="TableContents"/>
              <w:spacing w:before="0" w:after="283"/>
              <w:rPr/>
            </w:pPr>
            <w:r>
              <w:rPr/>
              <w:t>%</w:t>
            </w:r>
          </w:p>
        </w:tc>
      </w:tr>
      <w:tr>
        <w:trPr/>
        <w:tc>
          <w:tcPr>
            <w:tcW w:w="4145" w:type="dxa"/>
            <w:tcBorders/>
            <w:shd w:fill="CCEEFF" w:val="clear"/>
            <w:tcMar>
              <w:bottom w:w="0" w:type="dxa"/>
            </w:tcMar>
            <w:vAlign w:val="center"/>
          </w:tcPr>
          <w:p>
            <w:pPr>
              <w:pStyle w:val="TableContents"/>
              <w:spacing w:before="0" w:after="283"/>
              <w:rPr/>
            </w:pPr>
            <w:r>
              <w:rPr/>
              <w:t>September 30, 2024 to December 29, 2024</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32" w:type="dxa"/>
            <w:tcBorders/>
            <w:shd w:fill="CCEEFF" w:val="clear"/>
            <w:tcMar>
              <w:bottom w:w="0" w:type="dxa"/>
            </w:tcMar>
            <w:vAlign w:val="center"/>
          </w:tcPr>
          <w:p>
            <w:pPr>
              <w:pStyle w:val="TableContents"/>
              <w:spacing w:before="0" w:after="0"/>
              <w:ind w:left="0" w:right="0" w:hanging="0"/>
              <w:rPr/>
            </w:pPr>
            <w:r>
              <w:rPr/>
              <w:t> </w:t>
            </w:r>
          </w:p>
        </w:tc>
        <w:tc>
          <w:tcPr>
            <w:tcW w:w="1043" w:type="dxa"/>
            <w:tcBorders/>
            <w:shd w:fill="CCEEFF" w:val="clear"/>
            <w:tcMar>
              <w:bottom w:w="0" w:type="dxa"/>
            </w:tcMar>
            <w:vAlign w:val="center"/>
          </w:tcPr>
          <w:p>
            <w:pPr>
              <w:pStyle w:val="TableContents"/>
              <w:spacing w:before="0" w:after="283"/>
              <w:jc w:val="right"/>
              <w:rPr/>
            </w:pPr>
            <w:r>
              <w:rPr/>
              <w:t>100.00</w:t>
            </w:r>
          </w:p>
        </w:tc>
        <w:tc>
          <w:tcPr>
            <w:tcW w:w="290" w:type="dxa"/>
            <w:tcBorders/>
            <w:shd w:fill="CCEEFF" w:val="clear"/>
            <w:tcMar>
              <w:bottom w:w="0" w:type="dxa"/>
            </w:tcMar>
            <w:vAlign w:val="center"/>
          </w:tcPr>
          <w:p>
            <w:pPr>
              <w:pStyle w:val="TableContents"/>
              <w:spacing w:before="0" w:after="283"/>
              <w:rPr/>
            </w:pPr>
            <w:r>
              <w:rPr/>
              <w:t>%</w:t>
            </w:r>
          </w:p>
        </w:tc>
      </w:tr>
    </w:tbl>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F-35</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xml:space="preserve">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2022 AND 2021</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the end of each calendar quarter, commencing with the calendar quarter ending December 31, 2022, the Company is subject to a leverage maintenance test (“Leverage Maintenance Test”), which requires that the Total Consolidated Indebtedness (as defined below) of the Company not be greater than 30% of Total Consolidated Capitalization (as defined below). As of December 31, 2022, the ratio as defined under the Leverage Maintenance Test was 26.7%. “Total Consolidated Indebtedness” is the aggregate principal amount (or accreted value in the case of any Indebtedness issued with more than de minimis original issue discount) of all outstanding long-term of the Company except for the sale leaseback transaction described below under “Equipment Financing”, any refinancing or any future sale leaseback transaction. “Total Consolidated Capitalization” is the amount equal to the sum of (x) Total Consolidated Indebtedness outstanding as of such date and (y) the total consolidated shareholders’ equity of the Company, excluding accumulated other comprehensive (loss) income, as recorded on the Company’s consolidated balance sheet.</w:t>
      </w:r>
    </w:p>
    <w:p>
      <w:pPr>
        <w:pStyle w:val="TextBody"/>
        <w:spacing w:before="0" w:after="0"/>
        <w:ind w:left="0" w:right="0" w:hanging="0"/>
        <w:jc w:val="both"/>
        <w:rPr/>
      </w:pPr>
      <w:r>
        <w:rPr/>
        <w:t> </w:t>
      </w:r>
    </w:p>
    <w:p>
      <w:pPr>
        <w:pStyle w:val="TextBody"/>
        <w:spacing w:before="0" w:after="0"/>
        <w:ind w:left="0" w:right="0" w:hanging="0"/>
        <w:rPr>
          <w:rFonts w:ascii="times new roman" w:hAnsi="times new roman"/>
          <w:sz w:val="20"/>
          <w:u w:val="single"/>
        </w:rPr>
      </w:pPr>
      <w:r>
        <w:rPr>
          <w:rFonts w:ascii="times new roman" w:hAnsi="times new roman"/>
          <w:sz w:val="20"/>
          <w:u w:val="single"/>
        </w:rPr>
        <w:t>Equipment Financing</w:t>
      </w:r>
    </w:p>
    <w:p>
      <w:pPr>
        <w:pStyle w:val="TextBody"/>
        <w:spacing w:before="0" w:after="0"/>
        <w:ind w:left="0" w:right="0" w:hanging="0"/>
        <w:rPr/>
      </w:pPr>
      <w:r>
        <w:rPr/>
        <w:t> </w:t>
      </w:r>
    </w:p>
    <w:p>
      <w:pPr>
        <w:pStyle w:val="TextBody"/>
        <w:spacing w:before="0" w:after="0"/>
        <w:ind w:left="0" w:right="0" w:hanging="0"/>
        <w:rPr>
          <w:rFonts w:ascii="times new roman" w:hAnsi="times new roman"/>
          <w:sz w:val="20"/>
        </w:rPr>
      </w:pPr>
      <w:r>
        <w:rPr>
          <w:rFonts w:ascii="times new roman" w:hAnsi="times new roman"/>
          <w:sz w:val="20"/>
        </w:rPr>
        <w:t xml:space="preserve">On October 27, 2022, KICO entered into a sale leaseback transaction, whereby KICO sold $8,096,824 of fixed assets to a bank. Under GAAP, the sale leaseback transaction is recorded as equipment financing (“Financing”). The provisions of the Financing require KICO to pay a monthly payment of principal and interest at the rate of 5.86% per annum totaling $126,877 for a term of 60 months commencing on October 27, 2022.  The terms of the Financing provide buyout options to KICO at the end of the 60 month term, which are as follows:  </w:t>
      </w:r>
    </w:p>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105"/>
        <w:gridCol w:w="540"/>
        <w:gridCol w:w="9560"/>
      </w:tblGrid>
      <w:tr>
        <w:trPr/>
        <w:tc>
          <w:tcPr>
            <w:tcW w:w="105" w:type="dxa"/>
            <w:tcBorders/>
            <w:shd w:fill="auto" w:val="clear"/>
            <w:vAlign w:val="center"/>
          </w:tcPr>
          <w:p>
            <w:pPr>
              <w:pStyle w:val="TableContents"/>
              <w:spacing w:before="0" w:after="0"/>
              <w:ind w:left="0" w:right="0" w:hanging="0"/>
              <w:rPr/>
            </w:pPr>
            <w:r>
              <w:rPr/>
              <w:t> </w:t>
            </w:r>
          </w:p>
        </w:tc>
        <w:tc>
          <w:tcPr>
            <w:tcW w:w="540" w:type="dxa"/>
            <w:tcBorders/>
            <w:shd w:fill="auto" w:val="clear"/>
            <w:vAlign w:val="center"/>
          </w:tcPr>
          <w:p>
            <w:pPr>
              <w:pStyle w:val="TableContents"/>
              <w:spacing w:before="0" w:after="0"/>
              <w:ind w:left="0" w:right="0" w:hanging="0"/>
              <w:rPr>
                <w:rFonts w:ascii="symbol" w:hAnsi="symbol"/>
                <w:sz w:val="20"/>
              </w:rPr>
            </w:pPr>
            <w:r>
              <w:rPr>
                <w:rFonts w:ascii="symbol" w:hAnsi="symbol"/>
                <w:sz w:val="20"/>
              </w:rPr>
              <w:t>·</w:t>
            </w:r>
          </w:p>
        </w:tc>
        <w:tc>
          <w:tcPr>
            <w:tcW w:w="9560" w:type="dxa"/>
            <w:tcBorders/>
            <w:shd w:fill="auto" w:val="clear"/>
            <w:vAlign w:val="center"/>
          </w:tcPr>
          <w:p>
            <w:pPr>
              <w:pStyle w:val="TableContents"/>
              <w:spacing w:before="0" w:after="283"/>
              <w:rPr/>
            </w:pPr>
            <w:r>
              <w:rPr/>
              <w:t>At the end of the lease, KICO may purchase the fixed assets for a purchase price of $2,024,206, which is 25% of the original fixed asset cost of $8,096,824; or</w:t>
            </w:r>
          </w:p>
        </w:tc>
      </w:tr>
      <w:tr>
        <w:trPr/>
        <w:tc>
          <w:tcPr>
            <w:tcW w:w="105" w:type="dxa"/>
            <w:tcBorders/>
            <w:shd w:fill="auto" w:val="clear"/>
            <w:vAlign w:val="center"/>
          </w:tcPr>
          <w:p>
            <w:pPr>
              <w:pStyle w:val="TableContents"/>
              <w:spacing w:before="0" w:after="0"/>
              <w:ind w:left="0" w:right="0" w:hanging="0"/>
              <w:rPr/>
            </w:pPr>
            <w:r>
              <w:rPr/>
              <w:t> </w:t>
            </w:r>
          </w:p>
        </w:tc>
        <w:tc>
          <w:tcPr>
            <w:tcW w:w="540" w:type="dxa"/>
            <w:tcBorders/>
            <w:shd w:fill="auto" w:val="clear"/>
            <w:vAlign w:val="center"/>
          </w:tcPr>
          <w:p>
            <w:pPr>
              <w:pStyle w:val="TableContents"/>
              <w:spacing w:before="0" w:after="0"/>
              <w:ind w:left="0" w:right="0" w:firstLine="450"/>
              <w:rPr/>
            </w:pPr>
            <w:r>
              <w:rPr/>
              <w:t> </w:t>
            </w:r>
          </w:p>
        </w:tc>
        <w:tc>
          <w:tcPr>
            <w:tcW w:w="9560" w:type="dxa"/>
            <w:tcBorders/>
            <w:shd w:fill="auto" w:val="clear"/>
            <w:vAlign w:val="center"/>
          </w:tcPr>
          <w:p>
            <w:pPr>
              <w:pStyle w:val="TableContents"/>
              <w:spacing w:before="0" w:after="0"/>
              <w:ind w:left="0" w:right="0" w:hanging="0"/>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540" w:type="dxa"/>
            <w:tcBorders/>
            <w:shd w:fill="auto" w:val="clear"/>
            <w:vAlign w:val="center"/>
          </w:tcPr>
          <w:p>
            <w:pPr>
              <w:pStyle w:val="TableContents"/>
              <w:spacing w:before="0" w:after="0"/>
              <w:ind w:left="0" w:right="0" w:hanging="0"/>
              <w:rPr>
                <w:rFonts w:ascii="symbol" w:hAnsi="symbol"/>
                <w:sz w:val="20"/>
              </w:rPr>
            </w:pPr>
            <w:r>
              <w:rPr>
                <w:rFonts w:ascii="symbol" w:hAnsi="symbol"/>
                <w:sz w:val="20"/>
              </w:rPr>
              <w:t>·</w:t>
            </w:r>
          </w:p>
        </w:tc>
        <w:tc>
          <w:tcPr>
            <w:tcW w:w="9560" w:type="dxa"/>
            <w:tcBorders/>
            <w:shd w:fill="auto" w:val="clear"/>
            <w:vAlign w:val="center"/>
          </w:tcPr>
          <w:p>
            <w:pPr>
              <w:pStyle w:val="TableContents"/>
              <w:spacing w:before="0" w:after="283"/>
              <w:rPr/>
            </w:pPr>
            <w:r>
              <w:rPr/>
              <w:t>KICO may renew the lease for 16 months at the same rental rate, which totals $2,030,036.</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 provision of the Financing requires KICO to pledge collateral for the lease obligation.  As of December 31, 2022, KICO pledged a total of $8,691,026 in United States Treasury Bills.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Future contractual payment obligations under the Financing as of December 31, 2022 are as follows:</w:t>
      </w:r>
    </w:p>
    <w:p>
      <w:pPr>
        <w:pStyle w:val="TextBody"/>
        <w:spacing w:before="0" w:after="0"/>
        <w:ind w:left="0" w:right="0" w:hanging="0"/>
        <w:jc w:val="both"/>
        <w:rPr/>
      </w:pPr>
      <w:r>
        <w:rPr/>
        <w:t> </w:t>
      </w:r>
    </w:p>
    <w:tbl>
      <w:tblPr>
        <w:tblW w:w="3105" w:type="dxa"/>
        <w:jc w:val="left"/>
        <w:tblInd w:w="0" w:type="dxa"/>
        <w:tblCellMar>
          <w:top w:w="0" w:type="dxa"/>
          <w:left w:w="0" w:type="dxa"/>
          <w:bottom w:w="0" w:type="dxa"/>
          <w:right w:w="0" w:type="dxa"/>
        </w:tblCellMar>
      </w:tblPr>
      <w:tblGrid>
        <w:gridCol w:w="1700"/>
        <w:gridCol w:w="90"/>
        <w:gridCol w:w="170"/>
        <w:gridCol w:w="1010"/>
        <w:gridCol w:w="135"/>
      </w:tblGrid>
      <w:tr>
        <w:trPr/>
        <w:tc>
          <w:tcPr>
            <w:tcW w:w="1700" w:type="dxa"/>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For the Year </w:t>
            </w:r>
          </w:p>
        </w:tc>
        <w:tc>
          <w:tcPr>
            <w:tcW w:w="90" w:type="dxa"/>
            <w:tcBorders/>
            <w:shd w:fill="auto" w:val="clear"/>
            <w:vAlign w:val="center"/>
          </w:tcPr>
          <w:p>
            <w:pPr>
              <w:pStyle w:val="TableContents"/>
              <w:spacing w:before="0" w:after="0"/>
              <w:ind w:left="0" w:right="0" w:hanging="0"/>
              <w:rPr/>
            </w:pPr>
            <w:r>
              <w:rPr>
                <w:rStyle w:val="StrongEmphasis"/>
              </w:rPr>
              <w:t> </w:t>
            </w:r>
          </w:p>
        </w:tc>
        <w:tc>
          <w:tcPr>
            <w:tcW w:w="1180" w:type="dxa"/>
            <w:gridSpan w:val="2"/>
            <w:tcBorders/>
            <w:shd w:fill="auto" w:val="clear"/>
            <w:vAlign w:val="center"/>
          </w:tcPr>
          <w:p>
            <w:pPr>
              <w:pStyle w:val="TableContents"/>
              <w:spacing w:before="0" w:after="283"/>
              <w:rPr/>
            </w:pPr>
            <w:r>
              <w:rPr>
                <w:rStyle w:val="StrongEmphasis"/>
              </w:rPr>
              <w:t> </w:t>
            </w:r>
          </w:p>
        </w:tc>
        <w:tc>
          <w:tcPr>
            <w:tcW w:w="135" w:type="dxa"/>
            <w:tcBorders/>
            <w:shd w:fill="auto" w:val="clear"/>
            <w:vAlign w:val="center"/>
          </w:tcPr>
          <w:p>
            <w:pPr>
              <w:pStyle w:val="TableContents"/>
              <w:spacing w:before="0" w:after="0"/>
              <w:ind w:left="0" w:right="0" w:hanging="0"/>
              <w:rPr/>
            </w:pPr>
            <w:r>
              <w:rPr>
                <w:rStyle w:val="StrongEmphasis"/>
              </w:rPr>
              <w:t> </w:t>
            </w:r>
          </w:p>
        </w:tc>
      </w:tr>
      <w:tr>
        <w:trPr/>
        <w:tc>
          <w:tcPr>
            <w:tcW w:w="1700" w:type="dxa"/>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Ending </w:t>
            </w:r>
          </w:p>
        </w:tc>
        <w:tc>
          <w:tcPr>
            <w:tcW w:w="90" w:type="dxa"/>
            <w:tcBorders/>
            <w:shd w:fill="auto" w:val="clear"/>
            <w:vAlign w:val="center"/>
          </w:tcPr>
          <w:p>
            <w:pPr>
              <w:pStyle w:val="TableContents"/>
              <w:spacing w:before="0" w:after="0"/>
              <w:ind w:left="0" w:right="0" w:hanging="0"/>
              <w:rPr/>
            </w:pPr>
            <w:r>
              <w:rPr>
                <w:rStyle w:val="StrongEmphasis"/>
              </w:rPr>
              <w:t> </w:t>
            </w:r>
          </w:p>
        </w:tc>
        <w:tc>
          <w:tcPr>
            <w:tcW w:w="1180" w:type="dxa"/>
            <w:gridSpan w:val="2"/>
            <w:tcBorders/>
            <w:shd w:fill="auto" w:val="clear"/>
            <w:vAlign w:val="center"/>
          </w:tcPr>
          <w:p>
            <w:pPr>
              <w:pStyle w:val="TableContents"/>
              <w:spacing w:before="0" w:after="283"/>
              <w:rPr/>
            </w:pPr>
            <w:r>
              <w:rPr>
                <w:rStyle w:val="StrongEmphasis"/>
              </w:rPr>
              <w:t> </w:t>
            </w:r>
          </w:p>
        </w:tc>
        <w:tc>
          <w:tcPr>
            <w:tcW w:w="135" w:type="dxa"/>
            <w:tcBorders/>
            <w:shd w:fill="auto" w:val="clear"/>
            <w:vAlign w:val="center"/>
          </w:tcPr>
          <w:p>
            <w:pPr>
              <w:pStyle w:val="TableContents"/>
              <w:spacing w:before="0" w:after="0"/>
              <w:ind w:left="0" w:right="0" w:hanging="0"/>
              <w:rPr/>
            </w:pPr>
            <w:r>
              <w:rPr>
                <w:rStyle w:val="StrongEmphasis"/>
              </w:rPr>
              <w:t> </w:t>
            </w:r>
          </w:p>
        </w:tc>
      </w:tr>
      <w:tr>
        <w:trPr/>
        <w:tc>
          <w:tcPr>
            <w:tcW w:w="1700" w:type="dxa"/>
            <w:tcBorders>
              <w:bottom w:val="single" w:sz="4"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December 31, </w:t>
            </w:r>
          </w:p>
        </w:tc>
        <w:tc>
          <w:tcPr>
            <w:tcW w:w="90" w:type="dxa"/>
            <w:tcBorders/>
            <w:shd w:fill="auto" w:val="clear"/>
            <w:vAlign w:val="center"/>
          </w:tcPr>
          <w:p>
            <w:pPr>
              <w:pStyle w:val="TableContents"/>
              <w:spacing w:before="0" w:after="0"/>
              <w:ind w:left="0" w:right="0" w:hanging="0"/>
              <w:rPr/>
            </w:pPr>
            <w:r>
              <w:rPr>
                <w:rStyle w:val="StrongEmphasis"/>
              </w:rPr>
              <w:t> </w:t>
            </w:r>
          </w:p>
        </w:tc>
        <w:tc>
          <w:tcPr>
            <w:tcW w:w="1180" w:type="dxa"/>
            <w:gridSpan w:val="2"/>
            <w:tcBorders>
              <w:bottom w:val="single" w:sz="4"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Total </w:t>
            </w:r>
          </w:p>
        </w:tc>
        <w:tc>
          <w:tcPr>
            <w:tcW w:w="135" w:type="dxa"/>
            <w:tcBorders/>
            <w:shd w:fill="auto" w:val="clear"/>
            <w:vAlign w:val="center"/>
          </w:tcPr>
          <w:p>
            <w:pPr>
              <w:pStyle w:val="TableContents"/>
              <w:spacing w:before="0" w:after="0"/>
              <w:ind w:left="0" w:right="0" w:hanging="0"/>
              <w:rPr/>
            </w:pPr>
            <w:r>
              <w:rPr/>
              <w:t> </w:t>
            </w:r>
          </w:p>
        </w:tc>
      </w:tr>
      <w:tr>
        <w:trPr/>
        <w:tc>
          <w:tcPr>
            <w:tcW w:w="1700"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2023</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1,088,372</w:t>
            </w:r>
          </w:p>
        </w:tc>
        <w:tc>
          <w:tcPr>
            <w:tcW w:w="135" w:type="dxa"/>
            <w:tcBorders/>
            <w:shd w:fill="CCEEFF" w:val="clear"/>
            <w:vAlign w:val="center"/>
          </w:tcPr>
          <w:p>
            <w:pPr>
              <w:pStyle w:val="TableContents"/>
              <w:spacing w:before="0" w:after="0"/>
              <w:ind w:left="0" w:right="0" w:hanging="0"/>
              <w:rPr/>
            </w:pPr>
            <w:r>
              <w:rPr/>
              <w:t> </w:t>
            </w:r>
          </w:p>
        </w:tc>
      </w:tr>
      <w:tr>
        <w:trPr/>
        <w:tc>
          <w:tcPr>
            <w:tcW w:w="1700"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2024</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1,153,862</w:t>
            </w:r>
          </w:p>
        </w:tc>
        <w:tc>
          <w:tcPr>
            <w:tcW w:w="135" w:type="dxa"/>
            <w:tcBorders/>
            <w:shd w:fill="FFFFFF" w:val="clear"/>
            <w:vAlign w:val="center"/>
          </w:tcPr>
          <w:p>
            <w:pPr>
              <w:pStyle w:val="TableContents"/>
              <w:spacing w:before="0" w:after="0"/>
              <w:ind w:left="0" w:right="0" w:hanging="0"/>
              <w:rPr/>
            </w:pPr>
            <w:r>
              <w:rPr/>
              <w:t> </w:t>
            </w:r>
          </w:p>
        </w:tc>
      </w:tr>
      <w:tr>
        <w:trPr/>
        <w:tc>
          <w:tcPr>
            <w:tcW w:w="1700"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2025</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010" w:type="dxa"/>
            <w:tcBorders/>
            <w:shd w:fill="CCEEFF" w:val="clear"/>
            <w:vAlign w:val="center"/>
          </w:tcPr>
          <w:p>
            <w:pPr>
              <w:pStyle w:val="TableContents"/>
              <w:spacing w:before="0" w:after="283"/>
              <w:jc w:val="right"/>
              <w:rPr/>
            </w:pPr>
            <w:r>
              <w:rPr/>
              <w:t>1,223,293</w:t>
            </w:r>
          </w:p>
        </w:tc>
        <w:tc>
          <w:tcPr>
            <w:tcW w:w="135" w:type="dxa"/>
            <w:tcBorders/>
            <w:shd w:fill="CCEEFF" w:val="clear"/>
            <w:vAlign w:val="center"/>
          </w:tcPr>
          <w:p>
            <w:pPr>
              <w:pStyle w:val="TableContents"/>
              <w:spacing w:before="0" w:after="0"/>
              <w:ind w:left="0" w:right="0" w:hanging="0"/>
              <w:rPr/>
            </w:pPr>
            <w:r>
              <w:rPr/>
              <w:t> </w:t>
            </w:r>
          </w:p>
        </w:tc>
      </w:tr>
      <w:tr>
        <w:trPr/>
        <w:tc>
          <w:tcPr>
            <w:tcW w:w="1700"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2026</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1,296,901</w:t>
            </w:r>
          </w:p>
        </w:tc>
        <w:tc>
          <w:tcPr>
            <w:tcW w:w="135" w:type="dxa"/>
            <w:tcBorders/>
            <w:shd w:fill="FFFFFF" w:val="clear"/>
            <w:vAlign w:val="center"/>
          </w:tcPr>
          <w:p>
            <w:pPr>
              <w:pStyle w:val="TableContents"/>
              <w:spacing w:before="0" w:after="0"/>
              <w:ind w:left="0" w:right="0" w:hanging="0"/>
              <w:rPr/>
            </w:pPr>
            <w:r>
              <w:rPr/>
              <w:t> </w:t>
            </w:r>
          </w:p>
        </w:tc>
      </w:tr>
      <w:tr>
        <w:trPr/>
        <w:tc>
          <w:tcPr>
            <w:tcW w:w="1700"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2027</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1,119,021</w:t>
            </w:r>
          </w:p>
        </w:tc>
        <w:tc>
          <w:tcPr>
            <w:tcW w:w="135" w:type="dxa"/>
            <w:tcBorders/>
            <w:shd w:fill="CCEEFF" w:val="clear"/>
            <w:vAlign w:val="center"/>
          </w:tcPr>
          <w:p>
            <w:pPr>
              <w:pStyle w:val="TableContents"/>
              <w:spacing w:before="0" w:after="0"/>
              <w:ind w:left="0" w:right="0" w:hanging="0"/>
              <w:rPr/>
            </w:pPr>
            <w:r>
              <w:rPr/>
              <w:t> </w:t>
            </w:r>
          </w:p>
        </w:tc>
      </w:tr>
      <w:tr>
        <w:trPr/>
        <w:tc>
          <w:tcPr>
            <w:tcW w:w="170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010" w:type="dxa"/>
            <w:tcBorders/>
            <w:shd w:fill="FFFFFF" w:val="clear"/>
            <w:vAlign w:val="center"/>
          </w:tcPr>
          <w:p>
            <w:pPr>
              <w:pStyle w:val="TableContents"/>
              <w:spacing w:before="0" w:after="283"/>
              <w:jc w:val="right"/>
              <w:rPr/>
            </w:pPr>
            <w:r>
              <w:rPr/>
              <w:t>5,881,449</w:t>
            </w:r>
          </w:p>
        </w:tc>
        <w:tc>
          <w:tcPr>
            <w:tcW w:w="135" w:type="dxa"/>
            <w:tcBorders/>
            <w:shd w:fill="FFFFFF" w:val="clear"/>
            <w:vAlign w:val="center"/>
          </w:tcPr>
          <w:p>
            <w:pPr>
              <w:pStyle w:val="TableContents"/>
              <w:spacing w:before="0" w:after="0"/>
              <w:ind w:left="0" w:right="0" w:hanging="0"/>
              <w:rPr/>
            </w:pPr>
            <w:r>
              <w:rPr/>
              <w:t> </w:t>
            </w:r>
          </w:p>
        </w:tc>
      </w:tr>
      <w:tr>
        <w:trPr/>
        <w:tc>
          <w:tcPr>
            <w:tcW w:w="1700"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2027 purchase price</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10" w:type="dxa"/>
            <w:tcBorders>
              <w:bottom w:val="single" w:sz="2" w:space="0" w:color="000000"/>
            </w:tcBorders>
            <w:shd w:fill="CCEEFF" w:val="clear"/>
            <w:tcMar>
              <w:bottom w:w="28" w:type="dxa"/>
            </w:tcMar>
            <w:vAlign w:val="center"/>
          </w:tcPr>
          <w:p>
            <w:pPr>
              <w:pStyle w:val="TableContents"/>
              <w:spacing w:before="0" w:after="283"/>
              <w:jc w:val="right"/>
              <w:rPr/>
            </w:pPr>
            <w:r>
              <w:rPr/>
              <w:t>2,024,206</w:t>
            </w:r>
          </w:p>
        </w:tc>
        <w:tc>
          <w:tcPr>
            <w:tcW w:w="135" w:type="dxa"/>
            <w:tcBorders/>
            <w:shd w:fill="CCEEFF" w:val="clear"/>
            <w:vAlign w:val="center"/>
          </w:tcPr>
          <w:p>
            <w:pPr>
              <w:pStyle w:val="TableContents"/>
              <w:spacing w:before="0" w:after="0"/>
              <w:ind w:left="0" w:right="0" w:hanging="0"/>
              <w:rPr/>
            </w:pPr>
            <w:r>
              <w:rPr/>
              <w:t> </w:t>
            </w:r>
          </w:p>
        </w:tc>
      </w:tr>
      <w:tr>
        <w:trPr/>
        <w:tc>
          <w:tcPr>
            <w:tcW w:w="1700" w:type="dxa"/>
            <w:tcBorders/>
            <w:shd w:fill="FFFF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Total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5" w:space="0" w:color="000000"/>
            </w:tcBorders>
            <w:shd w:fill="FFFFFF" w:val="clear"/>
            <w:tcMar>
              <w:bottom w:w="28" w:type="dxa"/>
            </w:tcMar>
            <w:vAlign w:val="center"/>
          </w:tcPr>
          <w:p>
            <w:pPr>
              <w:pStyle w:val="TableContents"/>
              <w:spacing w:before="0" w:after="283"/>
              <w:rPr/>
            </w:pPr>
            <w:r>
              <w:rPr/>
              <w:t>$</w:t>
            </w:r>
          </w:p>
        </w:tc>
        <w:tc>
          <w:tcPr>
            <w:tcW w:w="1010" w:type="dxa"/>
            <w:tcBorders>
              <w:bottom w:val="double" w:sz="5" w:space="0" w:color="000000"/>
            </w:tcBorders>
            <w:shd w:fill="FFFFFF" w:val="clear"/>
            <w:tcMar>
              <w:bottom w:w="28" w:type="dxa"/>
            </w:tcMar>
            <w:vAlign w:val="center"/>
          </w:tcPr>
          <w:p>
            <w:pPr>
              <w:pStyle w:val="TableContents"/>
              <w:spacing w:before="0" w:after="283"/>
              <w:jc w:val="right"/>
              <w:rPr/>
            </w:pPr>
            <w:r>
              <w:rPr/>
              <w:t>7,905,655</w:t>
            </w:r>
          </w:p>
        </w:tc>
        <w:tc>
          <w:tcPr>
            <w:tcW w:w="135" w:type="dxa"/>
            <w:tcBorders/>
            <w:shd w:fill="FFFF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F-36</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2022 AND 2021</w:t>
      </w:r>
    </w:p>
    <w:p>
      <w:pPr>
        <w:pStyle w:val="TextBody"/>
        <w:spacing w:before="0" w:after="0"/>
        <w:ind w:left="0" w:right="0" w:hanging="0"/>
        <w:jc w:val="center"/>
        <w:rPr/>
      </w:pPr>
      <w:r>
        <w:rPr>
          <w:rStyle w:val="StrongEmphasis"/>
        </w:rPr>
        <w:t> </w:t>
      </w:r>
    </w:p>
    <w:p>
      <w:pPr>
        <w:pStyle w:val="TextBody"/>
        <w:spacing w:before="0" w:after="0"/>
        <w:ind w:left="0" w:right="0" w:hanging="0"/>
        <w:rPr/>
      </w:pPr>
      <w:r>
        <w:rPr>
          <w:rStyle w:val="StrongEmphasis"/>
          <w:rFonts w:ascii="times new roman" w:hAnsi="times new roman"/>
          <w:sz w:val="20"/>
        </w:rPr>
        <w:t>Note 10 - Property and Equipment</w:t>
      </w:r>
    </w:p>
    <w:p>
      <w:pPr>
        <w:pStyle w:val="TextBody"/>
        <w:spacing w:before="0" w:after="0"/>
        <w:ind w:left="0" w:right="0" w:hanging="0"/>
        <w:rPr/>
      </w:pPr>
      <w:r>
        <w:rPr/>
        <w:t> </w:t>
      </w:r>
    </w:p>
    <w:p>
      <w:pPr>
        <w:pStyle w:val="TextBody"/>
        <w:spacing w:before="0" w:after="0"/>
        <w:ind w:left="0" w:right="0" w:hanging="0"/>
        <w:rPr>
          <w:rFonts w:ascii="times new roman" w:hAnsi="times new roman"/>
          <w:sz w:val="20"/>
        </w:rPr>
      </w:pPr>
      <w:r>
        <w:rPr>
          <w:rFonts w:ascii="times new roman" w:hAnsi="times new roman"/>
          <w:sz w:val="20"/>
        </w:rPr>
        <w:t xml:space="preserve">The components of property and equipment are summarized as follows: </w:t>
      </w:r>
    </w:p>
    <w:p>
      <w:pPr>
        <w:pStyle w:val="TextBody"/>
        <w:spacing w:before="0" w:after="0"/>
        <w:ind w:left="0" w:right="0" w:hanging="0"/>
        <w:rPr/>
      </w:pPr>
      <w:r>
        <w:rPr/>
        <w:t> </w:t>
      </w:r>
    </w:p>
    <w:tbl>
      <w:tblPr>
        <w:tblW w:w="7495" w:type="dxa"/>
        <w:jc w:val="left"/>
        <w:tblInd w:w="0" w:type="dxa"/>
        <w:tblCellMar>
          <w:top w:w="0" w:type="dxa"/>
          <w:left w:w="0" w:type="dxa"/>
          <w:bottom w:w="0" w:type="dxa"/>
          <w:right w:w="0" w:type="dxa"/>
        </w:tblCellMar>
      </w:tblPr>
      <w:tblGrid>
        <w:gridCol w:w="2900"/>
        <w:gridCol w:w="90"/>
        <w:gridCol w:w="170"/>
        <w:gridCol w:w="1130"/>
        <w:gridCol w:w="90"/>
        <w:gridCol w:w="90"/>
        <w:gridCol w:w="170"/>
        <w:gridCol w:w="1205"/>
        <w:gridCol w:w="125"/>
        <w:gridCol w:w="90"/>
        <w:gridCol w:w="170"/>
        <w:gridCol w:w="1130"/>
        <w:gridCol w:w="135"/>
      </w:tblGrid>
      <w:tr>
        <w:trPr/>
        <w:tc>
          <w:tcPr>
            <w:tcW w:w="290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Accumulated </w:t>
            </w:r>
          </w:p>
        </w:tc>
        <w:tc>
          <w:tcPr>
            <w:tcW w:w="12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00" w:type="dxa"/>
            <w:gridSpan w:val="2"/>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0"/>
              <w:ind w:left="0" w:right="0" w:hanging="0"/>
              <w:rPr/>
            </w:pPr>
            <w:r>
              <w:rPr>
                <w:rStyle w:val="StrongEmphasis"/>
              </w:rPr>
              <w:t> </w:t>
            </w:r>
          </w:p>
        </w:tc>
      </w:tr>
      <w:tr>
        <w:trPr/>
        <w:tc>
          <w:tcPr>
            <w:tcW w:w="290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0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Cost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75"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Depreciation </w:t>
            </w:r>
          </w:p>
        </w:tc>
        <w:tc>
          <w:tcPr>
            <w:tcW w:w="12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0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Net </w:t>
            </w:r>
          </w:p>
        </w:tc>
        <w:tc>
          <w:tcPr>
            <w:tcW w:w="135" w:type="dxa"/>
            <w:tcBorders/>
            <w:shd w:fill="auto" w:val="clear"/>
            <w:vAlign w:val="center"/>
          </w:tcPr>
          <w:p>
            <w:pPr>
              <w:pStyle w:val="TableContents"/>
              <w:spacing w:before="0" w:after="0"/>
              <w:ind w:left="0" w:right="0" w:hanging="0"/>
              <w:rPr/>
            </w:pPr>
            <w:r>
              <w:rPr/>
              <w:t> </w:t>
            </w:r>
          </w:p>
        </w:tc>
      </w:tr>
      <w:tr>
        <w:trPr/>
        <w:tc>
          <w:tcPr>
            <w:tcW w:w="290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2900" w:type="dxa"/>
            <w:tcBorders/>
            <w:shd w:fill="auto" w:val="clear"/>
            <w:vAlign w:val="center"/>
          </w:tcPr>
          <w:p>
            <w:pPr>
              <w:pStyle w:val="TableContents"/>
              <w:spacing w:before="0" w:after="0"/>
              <w:ind w:left="0" w:right="0" w:hanging="0"/>
              <w:jc w:val="left"/>
              <w:rPr/>
            </w:pPr>
            <w:r>
              <w:rPr>
                <w:rStyle w:val="StrongEmphasis"/>
                <w:rFonts w:ascii="times new roman" w:hAnsi="times new roman"/>
                <w:sz w:val="20"/>
              </w:rPr>
              <w:t>December 31, 2022</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2900" w:type="dxa"/>
            <w:tcBorders/>
            <w:shd w:fill="CCEE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Building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2,344,188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05" w:type="dxa"/>
            <w:tcBorders/>
            <w:shd w:fill="CCEEFF" w:val="clear"/>
            <w:vAlign w:val="center"/>
          </w:tcPr>
          <w:p>
            <w:pPr>
              <w:pStyle w:val="TableContents"/>
              <w:spacing w:before="0" w:after="283"/>
              <w:jc w:val="right"/>
              <w:rPr/>
            </w:pPr>
            <w:r>
              <w:rPr/>
              <w:t>(945,981</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1,398,207</w:t>
            </w:r>
          </w:p>
        </w:tc>
        <w:tc>
          <w:tcPr>
            <w:tcW w:w="135" w:type="dxa"/>
            <w:tcBorders/>
            <w:shd w:fill="CCEEFF" w:val="clear"/>
            <w:vAlign w:val="center"/>
          </w:tcPr>
          <w:p>
            <w:pPr>
              <w:pStyle w:val="TableContents"/>
              <w:spacing w:before="0" w:after="0"/>
              <w:ind w:left="0" w:right="0" w:hanging="0"/>
              <w:rPr/>
            </w:pPr>
            <w:r>
              <w:rPr/>
              <w:t> </w:t>
            </w:r>
          </w:p>
        </w:tc>
      </w:tr>
      <w:tr>
        <w:trPr/>
        <w:tc>
          <w:tcPr>
            <w:tcW w:w="2900" w:type="dxa"/>
            <w:tcBorders/>
            <w:shd w:fill="FFFF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Land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652,437</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652,437</w:t>
            </w:r>
          </w:p>
        </w:tc>
        <w:tc>
          <w:tcPr>
            <w:tcW w:w="135" w:type="dxa"/>
            <w:tcBorders/>
            <w:shd w:fill="FFFFFF" w:val="clear"/>
            <w:vAlign w:val="center"/>
          </w:tcPr>
          <w:p>
            <w:pPr>
              <w:pStyle w:val="TableContents"/>
              <w:spacing w:before="0" w:after="0"/>
              <w:ind w:left="0" w:right="0" w:hanging="0"/>
              <w:rPr/>
            </w:pPr>
            <w:r>
              <w:rPr/>
              <w:t> </w:t>
            </w:r>
          </w:p>
        </w:tc>
      </w:tr>
      <w:tr>
        <w:trPr/>
        <w:tc>
          <w:tcPr>
            <w:tcW w:w="2900" w:type="dxa"/>
            <w:tcBorders/>
            <w:shd w:fill="CCEE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Furniture and office equipment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828,011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(828,011</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w:t>
            </w:r>
          </w:p>
        </w:tc>
        <w:tc>
          <w:tcPr>
            <w:tcW w:w="135" w:type="dxa"/>
            <w:tcBorders/>
            <w:shd w:fill="CCEEFF" w:val="clear"/>
            <w:vAlign w:val="center"/>
          </w:tcPr>
          <w:p>
            <w:pPr>
              <w:pStyle w:val="TableContents"/>
              <w:spacing w:before="0" w:after="0"/>
              <w:ind w:left="0" w:right="0" w:hanging="0"/>
              <w:rPr/>
            </w:pPr>
            <w:r>
              <w:rPr/>
              <w:t> </w:t>
            </w:r>
          </w:p>
        </w:tc>
      </w:tr>
      <w:tr>
        <w:trPr/>
        <w:tc>
          <w:tcPr>
            <w:tcW w:w="2900" w:type="dxa"/>
            <w:tcBorders/>
            <w:shd w:fill="FFFF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Leasehold improvements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w:t>
            </w:r>
          </w:p>
        </w:tc>
        <w:tc>
          <w:tcPr>
            <w:tcW w:w="135" w:type="dxa"/>
            <w:tcBorders/>
            <w:shd w:fill="FFFFFF" w:val="clear"/>
            <w:vAlign w:val="center"/>
          </w:tcPr>
          <w:p>
            <w:pPr>
              <w:pStyle w:val="TableContents"/>
              <w:spacing w:before="0" w:after="0"/>
              <w:ind w:left="0" w:right="0" w:hanging="0"/>
              <w:rPr/>
            </w:pPr>
            <w:r>
              <w:rPr/>
              <w:t> </w:t>
            </w:r>
          </w:p>
        </w:tc>
      </w:tr>
      <w:tr>
        <w:trPr/>
        <w:tc>
          <w:tcPr>
            <w:tcW w:w="2900" w:type="dxa"/>
            <w:tcBorders/>
            <w:shd w:fill="CCEE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Computer equipment and software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23,195,784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(14,738,212</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8,457,572</w:t>
            </w:r>
          </w:p>
        </w:tc>
        <w:tc>
          <w:tcPr>
            <w:tcW w:w="135" w:type="dxa"/>
            <w:tcBorders/>
            <w:shd w:fill="CCEEFF" w:val="clear"/>
            <w:vAlign w:val="center"/>
          </w:tcPr>
          <w:p>
            <w:pPr>
              <w:pStyle w:val="TableContents"/>
              <w:spacing w:before="0" w:after="0"/>
              <w:ind w:left="0" w:right="0" w:hanging="0"/>
              <w:rPr/>
            </w:pPr>
            <w:r>
              <w:rPr/>
              <w:t> </w:t>
            </w:r>
          </w:p>
        </w:tc>
      </w:tr>
      <w:tr>
        <w:trPr/>
        <w:tc>
          <w:tcPr>
            <w:tcW w:w="2900" w:type="dxa"/>
            <w:tcBorders/>
            <w:shd w:fill="FFFF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Automobile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FFFFFF" w:val="clear"/>
            <w:tcMar>
              <w:bottom w:w="28" w:type="dxa"/>
            </w:tcMar>
            <w:vAlign w:val="center"/>
          </w:tcPr>
          <w:p>
            <w:pPr>
              <w:pStyle w:val="TableContents"/>
              <w:spacing w:before="0" w:after="283"/>
              <w:jc w:val="right"/>
              <w:rPr/>
            </w:pPr>
            <w:r>
              <w:rPr/>
              <w:t>134,034</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(100,315</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FFFFFF" w:val="clear"/>
            <w:tcMar>
              <w:bottom w:w="28" w:type="dxa"/>
            </w:tcMar>
            <w:vAlign w:val="center"/>
          </w:tcPr>
          <w:p>
            <w:pPr>
              <w:pStyle w:val="TableContents"/>
              <w:spacing w:before="0" w:after="283"/>
              <w:jc w:val="right"/>
              <w:rPr/>
            </w:pPr>
            <w:r>
              <w:rPr/>
              <w:t>33,719</w:t>
            </w:r>
          </w:p>
        </w:tc>
        <w:tc>
          <w:tcPr>
            <w:tcW w:w="135" w:type="dxa"/>
            <w:tcBorders/>
            <w:shd w:fill="FFFFFF" w:val="clear"/>
            <w:vAlign w:val="center"/>
          </w:tcPr>
          <w:p>
            <w:pPr>
              <w:pStyle w:val="TableContents"/>
              <w:spacing w:before="0" w:after="0"/>
              <w:ind w:left="0" w:right="0" w:hanging="0"/>
              <w:rPr/>
            </w:pPr>
            <w:r>
              <w:rPr/>
              <w:t> </w:t>
            </w:r>
          </w:p>
        </w:tc>
      </w:tr>
      <w:tr>
        <w:trPr/>
        <w:tc>
          <w:tcPr>
            <w:tcW w:w="2900" w:type="dxa"/>
            <w:tcBorders/>
            <w:shd w:fill="CCEE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Total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1130" w:type="dxa"/>
            <w:tcBorders>
              <w:bottom w:val="double" w:sz="5" w:space="0" w:color="000000"/>
            </w:tcBorders>
            <w:shd w:fill="CCEEFF" w:val="clear"/>
            <w:tcMar>
              <w:bottom w:w="28" w:type="dxa"/>
            </w:tcMar>
            <w:vAlign w:val="center"/>
          </w:tcPr>
          <w:p>
            <w:pPr>
              <w:pStyle w:val="TableContents"/>
              <w:spacing w:before="0" w:after="283"/>
              <w:jc w:val="right"/>
              <w:rPr/>
            </w:pPr>
            <w:r>
              <w:rPr/>
              <w:t>27,154,454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1205" w:type="dxa"/>
            <w:tcBorders>
              <w:bottom w:val="double" w:sz="5" w:space="0" w:color="000000"/>
            </w:tcBorders>
            <w:shd w:fill="CCEEFF" w:val="clear"/>
            <w:tcMar>
              <w:bottom w:w="28" w:type="dxa"/>
            </w:tcMar>
            <w:vAlign w:val="center"/>
          </w:tcPr>
          <w:p>
            <w:pPr>
              <w:pStyle w:val="TableContents"/>
              <w:spacing w:before="0" w:after="283"/>
              <w:jc w:val="right"/>
              <w:rPr/>
            </w:pPr>
            <w:r>
              <w:rPr/>
              <w:t>(16,612,519</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1130" w:type="dxa"/>
            <w:tcBorders>
              <w:bottom w:val="double" w:sz="5" w:space="0" w:color="000000"/>
            </w:tcBorders>
            <w:shd w:fill="CCEEFF" w:val="clear"/>
            <w:tcMar>
              <w:bottom w:w="28" w:type="dxa"/>
            </w:tcMar>
            <w:vAlign w:val="center"/>
          </w:tcPr>
          <w:p>
            <w:pPr>
              <w:pStyle w:val="TableContents"/>
              <w:spacing w:before="0" w:after="283"/>
              <w:jc w:val="right"/>
              <w:rPr/>
            </w:pPr>
            <w:r>
              <w:rPr/>
              <w:t>10,541,935</w:t>
            </w:r>
          </w:p>
        </w:tc>
        <w:tc>
          <w:tcPr>
            <w:tcW w:w="135" w:type="dxa"/>
            <w:tcBorders/>
            <w:shd w:fill="CCEEFF" w:val="clear"/>
            <w:vAlign w:val="center"/>
          </w:tcPr>
          <w:p>
            <w:pPr>
              <w:pStyle w:val="TableContents"/>
              <w:spacing w:before="0" w:after="0"/>
              <w:ind w:left="0" w:right="0" w:hanging="0"/>
              <w:rPr/>
            </w:pPr>
            <w:r>
              <w:rPr/>
              <w:t> </w:t>
            </w:r>
          </w:p>
        </w:tc>
      </w:tr>
      <w:tr>
        <w:trPr/>
        <w:tc>
          <w:tcPr>
            <w:tcW w:w="290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135" w:type="dxa"/>
            <w:tcBorders/>
            <w:shd w:fill="FFFFFF" w:val="clear"/>
            <w:vAlign w:val="center"/>
          </w:tcPr>
          <w:p>
            <w:pPr>
              <w:pStyle w:val="TableContents"/>
              <w:spacing w:before="0" w:after="0"/>
              <w:ind w:left="0" w:right="0" w:hanging="0"/>
              <w:rPr/>
            </w:pPr>
            <w:r>
              <w:rPr/>
              <w:t> </w:t>
            </w:r>
          </w:p>
        </w:tc>
      </w:tr>
      <w:tr>
        <w:trPr/>
        <w:tc>
          <w:tcPr>
            <w:tcW w:w="2900" w:type="dxa"/>
            <w:tcBorders/>
            <w:shd w:fill="CCEEFF" w:val="clear"/>
            <w:vAlign w:val="center"/>
          </w:tcPr>
          <w:p>
            <w:pPr>
              <w:pStyle w:val="TableContents"/>
              <w:spacing w:before="0" w:after="0"/>
              <w:ind w:left="0" w:right="0" w:hanging="0"/>
              <w:jc w:val="left"/>
              <w:rPr/>
            </w:pPr>
            <w:r>
              <w:rPr>
                <w:rStyle w:val="StrongEmphasis"/>
                <w:rFonts w:ascii="times new roman" w:hAnsi="times new roman"/>
                <w:sz w:val="20"/>
              </w:rPr>
              <w:t>December 31, 2021</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135" w:type="dxa"/>
            <w:tcBorders/>
            <w:shd w:fill="CCEEFF" w:val="clear"/>
            <w:vAlign w:val="center"/>
          </w:tcPr>
          <w:p>
            <w:pPr>
              <w:pStyle w:val="TableContents"/>
              <w:spacing w:before="0" w:after="0"/>
              <w:ind w:left="0" w:right="0" w:hanging="0"/>
              <w:rPr/>
            </w:pPr>
            <w:r>
              <w:rPr/>
              <w:t> </w:t>
            </w:r>
          </w:p>
        </w:tc>
      </w:tr>
      <w:tr>
        <w:trPr/>
        <w:tc>
          <w:tcPr>
            <w:tcW w:w="2900" w:type="dxa"/>
            <w:tcBorders/>
            <w:shd w:fill="FFFF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Building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130" w:type="dxa"/>
            <w:tcBorders/>
            <w:shd w:fill="FFFFFF" w:val="clear"/>
            <w:vAlign w:val="center"/>
          </w:tcPr>
          <w:p>
            <w:pPr>
              <w:pStyle w:val="TableContents"/>
              <w:spacing w:before="0" w:after="283"/>
              <w:jc w:val="right"/>
              <w:rPr/>
            </w:pPr>
            <w:r>
              <w:rPr/>
              <w:t>2,344,188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05" w:type="dxa"/>
            <w:tcBorders/>
            <w:shd w:fill="FFFFFF" w:val="clear"/>
            <w:vAlign w:val="center"/>
          </w:tcPr>
          <w:p>
            <w:pPr>
              <w:pStyle w:val="TableContents"/>
              <w:spacing w:before="0" w:after="283"/>
              <w:jc w:val="right"/>
              <w:rPr/>
            </w:pPr>
            <w:r>
              <w:rPr/>
              <w:t>(855,558</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130" w:type="dxa"/>
            <w:tcBorders/>
            <w:shd w:fill="FFFFFF" w:val="clear"/>
            <w:vAlign w:val="center"/>
          </w:tcPr>
          <w:p>
            <w:pPr>
              <w:pStyle w:val="TableContents"/>
              <w:spacing w:before="0" w:after="283"/>
              <w:jc w:val="right"/>
              <w:rPr/>
            </w:pPr>
            <w:r>
              <w:rPr/>
              <w:t>1,488,630</w:t>
            </w:r>
          </w:p>
        </w:tc>
        <w:tc>
          <w:tcPr>
            <w:tcW w:w="135" w:type="dxa"/>
            <w:tcBorders/>
            <w:shd w:fill="FFFFFF" w:val="clear"/>
            <w:vAlign w:val="center"/>
          </w:tcPr>
          <w:p>
            <w:pPr>
              <w:pStyle w:val="TableContents"/>
              <w:spacing w:before="0" w:after="0"/>
              <w:ind w:left="0" w:right="0" w:hanging="0"/>
              <w:rPr/>
            </w:pPr>
            <w:r>
              <w:rPr/>
              <w:t> </w:t>
            </w:r>
          </w:p>
        </w:tc>
      </w:tr>
      <w:tr>
        <w:trPr/>
        <w:tc>
          <w:tcPr>
            <w:tcW w:w="2900" w:type="dxa"/>
            <w:tcBorders/>
            <w:shd w:fill="CCEE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Land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652,437</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652,437</w:t>
            </w:r>
          </w:p>
        </w:tc>
        <w:tc>
          <w:tcPr>
            <w:tcW w:w="135" w:type="dxa"/>
            <w:tcBorders/>
            <w:shd w:fill="CCEEFF" w:val="clear"/>
            <w:vAlign w:val="center"/>
          </w:tcPr>
          <w:p>
            <w:pPr>
              <w:pStyle w:val="TableContents"/>
              <w:spacing w:before="0" w:after="0"/>
              <w:ind w:left="0" w:right="0" w:hanging="0"/>
              <w:rPr/>
            </w:pPr>
            <w:r>
              <w:rPr/>
              <w:t> </w:t>
            </w:r>
          </w:p>
        </w:tc>
      </w:tr>
      <w:tr>
        <w:trPr/>
        <w:tc>
          <w:tcPr>
            <w:tcW w:w="2900" w:type="dxa"/>
            <w:tcBorders/>
            <w:shd w:fill="FFFF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Furniture and office equipment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802,325</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(797,618</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4,707</w:t>
            </w:r>
          </w:p>
        </w:tc>
        <w:tc>
          <w:tcPr>
            <w:tcW w:w="135" w:type="dxa"/>
            <w:tcBorders/>
            <w:shd w:fill="FFFFFF" w:val="clear"/>
            <w:vAlign w:val="center"/>
          </w:tcPr>
          <w:p>
            <w:pPr>
              <w:pStyle w:val="TableContents"/>
              <w:spacing w:before="0" w:after="0"/>
              <w:ind w:left="0" w:right="0" w:hanging="0"/>
              <w:rPr/>
            </w:pPr>
            <w:r>
              <w:rPr/>
              <w:t> </w:t>
            </w:r>
          </w:p>
        </w:tc>
      </w:tr>
      <w:tr>
        <w:trPr/>
        <w:tc>
          <w:tcPr>
            <w:tcW w:w="2900" w:type="dxa"/>
            <w:tcBorders/>
            <w:shd w:fill="CCEE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Leasehold improverments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18,996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(5,650</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13,346</w:t>
            </w:r>
          </w:p>
        </w:tc>
        <w:tc>
          <w:tcPr>
            <w:tcW w:w="135" w:type="dxa"/>
            <w:tcBorders/>
            <w:shd w:fill="CCEEFF" w:val="clear"/>
            <w:vAlign w:val="center"/>
          </w:tcPr>
          <w:p>
            <w:pPr>
              <w:pStyle w:val="TableContents"/>
              <w:spacing w:before="0" w:after="0"/>
              <w:ind w:left="0" w:right="0" w:hanging="0"/>
              <w:rPr/>
            </w:pPr>
            <w:r>
              <w:rPr/>
              <w:t> </w:t>
            </w:r>
          </w:p>
        </w:tc>
      </w:tr>
      <w:tr>
        <w:trPr/>
        <w:tc>
          <w:tcPr>
            <w:tcW w:w="2900" w:type="dxa"/>
            <w:tcBorders/>
            <w:shd w:fill="FFFF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Computer equipment and software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18,686,373</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(11,601,776</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7,084,597</w:t>
            </w:r>
          </w:p>
        </w:tc>
        <w:tc>
          <w:tcPr>
            <w:tcW w:w="135" w:type="dxa"/>
            <w:tcBorders/>
            <w:shd w:fill="FFFFFF" w:val="clear"/>
            <w:vAlign w:val="center"/>
          </w:tcPr>
          <w:p>
            <w:pPr>
              <w:pStyle w:val="TableContents"/>
              <w:spacing w:before="0" w:after="0"/>
              <w:ind w:left="0" w:right="0" w:hanging="0"/>
              <w:rPr/>
            </w:pPr>
            <w:r>
              <w:rPr/>
              <w:t> </w:t>
            </w:r>
          </w:p>
        </w:tc>
      </w:tr>
      <w:tr>
        <w:trPr/>
        <w:tc>
          <w:tcPr>
            <w:tcW w:w="2900" w:type="dxa"/>
            <w:tcBorders/>
            <w:shd w:fill="CCEE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Automobile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CCEEFF" w:val="clear"/>
            <w:tcMar>
              <w:bottom w:w="28" w:type="dxa"/>
            </w:tcMar>
            <w:vAlign w:val="center"/>
          </w:tcPr>
          <w:p>
            <w:pPr>
              <w:pStyle w:val="TableContents"/>
              <w:spacing w:before="0" w:after="283"/>
              <w:jc w:val="right"/>
              <w:rPr/>
            </w:pPr>
            <w:r>
              <w:rPr/>
              <w:t>99,352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CCEEFF" w:val="clear"/>
            <w:tcMar>
              <w:bottom w:w="28" w:type="dxa"/>
            </w:tcMar>
            <w:vAlign w:val="center"/>
          </w:tcPr>
          <w:p>
            <w:pPr>
              <w:pStyle w:val="TableContents"/>
              <w:spacing w:before="0" w:after="283"/>
              <w:jc w:val="right"/>
              <w:rPr/>
            </w:pPr>
            <w:r>
              <w:rPr/>
              <w:t>(51,473</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CCEEFF" w:val="clear"/>
            <w:tcMar>
              <w:bottom w:w="28" w:type="dxa"/>
            </w:tcMar>
            <w:vAlign w:val="center"/>
          </w:tcPr>
          <w:p>
            <w:pPr>
              <w:pStyle w:val="TableContents"/>
              <w:spacing w:before="0" w:after="283"/>
              <w:jc w:val="right"/>
              <w:rPr/>
            </w:pPr>
            <w:r>
              <w:rPr/>
              <w:t>47,879</w:t>
            </w:r>
          </w:p>
        </w:tc>
        <w:tc>
          <w:tcPr>
            <w:tcW w:w="135" w:type="dxa"/>
            <w:tcBorders/>
            <w:shd w:fill="CCEEFF" w:val="clear"/>
            <w:vAlign w:val="center"/>
          </w:tcPr>
          <w:p>
            <w:pPr>
              <w:pStyle w:val="TableContents"/>
              <w:spacing w:before="0" w:after="0"/>
              <w:ind w:left="0" w:right="0" w:hanging="0"/>
              <w:rPr/>
            </w:pPr>
            <w:r>
              <w:rPr/>
              <w:t> </w:t>
            </w:r>
          </w:p>
        </w:tc>
      </w:tr>
      <w:tr>
        <w:trPr/>
        <w:tc>
          <w:tcPr>
            <w:tcW w:w="2900" w:type="dxa"/>
            <w:tcBorders/>
            <w:shd w:fill="FFFF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Total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5" w:space="0" w:color="000000"/>
            </w:tcBorders>
            <w:shd w:fill="FFFFFF" w:val="clear"/>
            <w:tcMar>
              <w:bottom w:w="28" w:type="dxa"/>
            </w:tcMar>
            <w:vAlign w:val="center"/>
          </w:tcPr>
          <w:p>
            <w:pPr>
              <w:pStyle w:val="TableContents"/>
              <w:spacing w:before="0" w:after="283"/>
              <w:rPr/>
            </w:pPr>
            <w:r>
              <w:rPr/>
              <w:t>$</w:t>
            </w:r>
          </w:p>
        </w:tc>
        <w:tc>
          <w:tcPr>
            <w:tcW w:w="1130" w:type="dxa"/>
            <w:tcBorders>
              <w:bottom w:val="double" w:sz="5" w:space="0" w:color="000000"/>
            </w:tcBorders>
            <w:shd w:fill="FFFFFF" w:val="clear"/>
            <w:tcMar>
              <w:bottom w:w="28" w:type="dxa"/>
            </w:tcMar>
            <w:vAlign w:val="center"/>
          </w:tcPr>
          <w:p>
            <w:pPr>
              <w:pStyle w:val="TableContents"/>
              <w:spacing w:before="0" w:after="283"/>
              <w:jc w:val="right"/>
              <w:rPr/>
            </w:pPr>
            <w:r>
              <w:rPr/>
              <w:t>22,603,671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5" w:space="0" w:color="000000"/>
            </w:tcBorders>
            <w:shd w:fill="FFFFFF" w:val="clear"/>
            <w:tcMar>
              <w:bottom w:w="28" w:type="dxa"/>
            </w:tcMar>
            <w:vAlign w:val="center"/>
          </w:tcPr>
          <w:p>
            <w:pPr>
              <w:pStyle w:val="TableContents"/>
              <w:spacing w:before="0" w:after="283"/>
              <w:rPr/>
            </w:pPr>
            <w:r>
              <w:rPr/>
              <w:t>$</w:t>
            </w:r>
          </w:p>
        </w:tc>
        <w:tc>
          <w:tcPr>
            <w:tcW w:w="1205" w:type="dxa"/>
            <w:tcBorders>
              <w:bottom w:val="double" w:sz="5" w:space="0" w:color="000000"/>
            </w:tcBorders>
            <w:shd w:fill="FFFFFF" w:val="clear"/>
            <w:tcMar>
              <w:bottom w:w="28" w:type="dxa"/>
            </w:tcMar>
            <w:vAlign w:val="center"/>
          </w:tcPr>
          <w:p>
            <w:pPr>
              <w:pStyle w:val="TableContents"/>
              <w:spacing w:before="0" w:after="283"/>
              <w:jc w:val="right"/>
              <w:rPr/>
            </w:pPr>
            <w:r>
              <w:rPr/>
              <w:t>(13,312,074</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5" w:space="0" w:color="000000"/>
            </w:tcBorders>
            <w:shd w:fill="FFFFFF" w:val="clear"/>
            <w:tcMar>
              <w:bottom w:w="28" w:type="dxa"/>
            </w:tcMar>
            <w:vAlign w:val="center"/>
          </w:tcPr>
          <w:p>
            <w:pPr>
              <w:pStyle w:val="TableContents"/>
              <w:spacing w:before="0" w:after="283"/>
              <w:rPr/>
            </w:pPr>
            <w:r>
              <w:rPr/>
              <w:t>$</w:t>
            </w:r>
          </w:p>
        </w:tc>
        <w:tc>
          <w:tcPr>
            <w:tcW w:w="1130" w:type="dxa"/>
            <w:tcBorders>
              <w:bottom w:val="double" w:sz="5" w:space="0" w:color="000000"/>
            </w:tcBorders>
            <w:shd w:fill="FFFFFF" w:val="clear"/>
            <w:tcMar>
              <w:bottom w:w="28" w:type="dxa"/>
            </w:tcMar>
            <w:vAlign w:val="center"/>
          </w:tcPr>
          <w:p>
            <w:pPr>
              <w:pStyle w:val="TableContents"/>
              <w:spacing w:before="0" w:after="283"/>
              <w:jc w:val="right"/>
              <w:rPr/>
            </w:pPr>
            <w:r>
              <w:rPr/>
              <w:t>9,291,597</w:t>
            </w:r>
          </w:p>
        </w:tc>
        <w:tc>
          <w:tcPr>
            <w:tcW w:w="135" w:type="dxa"/>
            <w:tcBorders/>
            <w:shd w:fill="FFFFFF" w:val="clear"/>
            <w:vAlign w:val="center"/>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20"/>
        </w:rPr>
      </w:pPr>
      <w:r>
        <w:rPr>
          <w:rFonts w:ascii="times new roman" w:hAnsi="times new roman"/>
          <w:sz w:val="20"/>
        </w:rPr>
        <w:t xml:space="preserve">Depreciation expense for the years ended December 31, 2022 and 2021 was $3,300,445 and $3,290,445, respectively. </w:t>
      </w:r>
    </w:p>
    <w:p>
      <w:pPr>
        <w:pStyle w:val="TextBody"/>
        <w:spacing w:before="0" w:after="0"/>
        <w:ind w:left="0" w:right="0" w:hanging="0"/>
        <w:rPr/>
      </w:pPr>
      <w:r>
        <w:rPr/>
        <w:t> </w:t>
      </w:r>
    </w:p>
    <w:p>
      <w:pPr>
        <w:pStyle w:val="TextBody"/>
        <w:spacing w:before="0" w:after="0"/>
        <w:ind w:left="0" w:right="0" w:hanging="0"/>
        <w:rPr/>
      </w:pPr>
      <w:r>
        <w:rPr>
          <w:rStyle w:val="StrongEmphasis"/>
          <w:rFonts w:ascii="times new roman" w:hAnsi="times new roman"/>
          <w:sz w:val="20"/>
        </w:rPr>
        <w:t>Note 11 - Property and Casualty Insurance Activity</w:t>
      </w:r>
    </w:p>
    <w:p>
      <w:pPr>
        <w:pStyle w:val="TextBody"/>
        <w:spacing w:before="0" w:after="0"/>
        <w:ind w:left="0" w:right="0" w:hanging="0"/>
        <w:rPr/>
      </w:pPr>
      <w:r>
        <w:rPr/>
        <w:t> </w:t>
      </w:r>
    </w:p>
    <w:p>
      <w:pPr>
        <w:pStyle w:val="TextBody"/>
        <w:spacing w:before="0" w:after="0"/>
        <w:ind w:left="0" w:right="0" w:hanging="0"/>
        <w:rPr>
          <w:rFonts w:ascii="times new roman" w:hAnsi="times new roman"/>
          <w:sz w:val="20"/>
        </w:rPr>
      </w:pPr>
      <w:r>
        <w:rPr>
          <w:rFonts w:ascii="times new roman" w:hAnsi="times new roman"/>
          <w:sz w:val="20"/>
        </w:rPr>
        <w:t>Premiums written, ceded and earned are as follows:</w:t>
      </w:r>
    </w:p>
    <w:p>
      <w:pPr>
        <w:pStyle w:val="TextBody"/>
        <w:spacing w:before="0" w:after="0"/>
        <w:ind w:left="0" w:right="0" w:hanging="0"/>
        <w:rPr/>
      </w:pPr>
      <w:r>
        <w:rPr/>
        <w:t> </w:t>
      </w:r>
    </w:p>
    <w:tbl>
      <w:tblPr>
        <w:tblW w:w="8619" w:type="dxa"/>
        <w:jc w:val="left"/>
        <w:tblInd w:w="0" w:type="dxa"/>
        <w:tblCellMar>
          <w:top w:w="0" w:type="dxa"/>
          <w:left w:w="0" w:type="dxa"/>
          <w:bottom w:w="0" w:type="dxa"/>
          <w:right w:w="0" w:type="dxa"/>
        </w:tblCellMar>
      </w:tblPr>
      <w:tblGrid>
        <w:gridCol w:w="2690"/>
        <w:gridCol w:w="90"/>
        <w:gridCol w:w="170"/>
        <w:gridCol w:w="1250"/>
        <w:gridCol w:w="125"/>
        <w:gridCol w:w="90"/>
        <w:gridCol w:w="486"/>
        <w:gridCol w:w="358"/>
        <w:gridCol w:w="90"/>
        <w:gridCol w:w="90"/>
        <w:gridCol w:w="170"/>
        <w:gridCol w:w="1205"/>
        <w:gridCol w:w="125"/>
        <w:gridCol w:w="90"/>
        <w:gridCol w:w="170"/>
        <w:gridCol w:w="1250"/>
        <w:gridCol w:w="170"/>
      </w:tblGrid>
      <w:tr>
        <w:trPr/>
        <w:tc>
          <w:tcPr>
            <w:tcW w:w="26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Direct </w:t>
            </w:r>
          </w:p>
        </w:tc>
        <w:tc>
          <w:tcPr>
            <w:tcW w:w="12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844"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Assumed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75"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Ceded </w:t>
            </w:r>
          </w:p>
        </w:tc>
        <w:tc>
          <w:tcPr>
            <w:tcW w:w="12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42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Net </w:t>
            </w:r>
          </w:p>
        </w:tc>
        <w:tc>
          <w:tcPr>
            <w:tcW w:w="170" w:type="dxa"/>
            <w:tcBorders/>
            <w:shd w:fill="auto" w:val="clear"/>
            <w:vAlign w:val="center"/>
          </w:tcPr>
          <w:p>
            <w:pPr>
              <w:pStyle w:val="TableContents"/>
              <w:spacing w:before="0" w:after="0"/>
              <w:ind w:left="0" w:right="0" w:hanging="0"/>
              <w:rPr/>
            </w:pPr>
            <w:r>
              <w:rPr/>
              <w:t> </w:t>
            </w:r>
          </w:p>
        </w:tc>
      </w:tr>
      <w:tr>
        <w:trPr/>
        <w:tc>
          <w:tcPr>
            <w:tcW w:w="26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44"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r>
      <w:tr>
        <w:trPr/>
        <w:tc>
          <w:tcPr>
            <w:tcW w:w="2690" w:type="dxa"/>
            <w:tcBorders/>
            <w:shd w:fill="auto" w:val="clear"/>
            <w:vAlign w:val="center"/>
          </w:tcPr>
          <w:p>
            <w:pPr>
              <w:pStyle w:val="TableContents"/>
              <w:spacing w:before="0" w:after="0"/>
              <w:ind w:left="0" w:right="0" w:hanging="0"/>
              <w:jc w:val="left"/>
              <w:rPr/>
            </w:pPr>
            <w:r>
              <w:rPr>
                <w:rStyle w:val="StrongEmphasis"/>
                <w:rFonts w:ascii="times new roman" w:hAnsi="times new roman"/>
                <w:sz w:val="20"/>
              </w:rPr>
              <w:t>Year ended December 31, 2022</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44"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r>
      <w:tr>
        <w:trPr/>
        <w:tc>
          <w:tcPr>
            <w:tcW w:w="2690" w:type="dxa"/>
            <w:tcBorders/>
            <w:shd w:fill="CCEE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Premiums written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201,254,837</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486" w:type="dxa"/>
            <w:tcBorders/>
            <w:shd w:fill="CCEEFF" w:val="clear"/>
            <w:vAlign w:val="center"/>
          </w:tcPr>
          <w:p>
            <w:pPr>
              <w:pStyle w:val="TableContents"/>
              <w:spacing w:before="0" w:after="283"/>
              <w:rPr/>
            </w:pPr>
            <w:r>
              <w:rPr/>
              <w:t>$</w:t>
            </w:r>
          </w:p>
        </w:tc>
        <w:tc>
          <w:tcPr>
            <w:tcW w:w="358"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05" w:type="dxa"/>
            <w:tcBorders/>
            <w:shd w:fill="CCEEFF" w:val="clear"/>
            <w:vAlign w:val="center"/>
          </w:tcPr>
          <w:p>
            <w:pPr>
              <w:pStyle w:val="TableContents"/>
              <w:spacing w:before="0" w:after="283"/>
              <w:jc w:val="right"/>
              <w:rPr/>
            </w:pPr>
            <w:r>
              <w:rPr/>
              <w:t>(79,195,016</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122,059,821</w:t>
            </w:r>
          </w:p>
        </w:tc>
        <w:tc>
          <w:tcPr>
            <w:tcW w:w="170" w:type="dxa"/>
            <w:tcBorders/>
            <w:shd w:fill="CCEEFF" w:val="clear"/>
            <w:vAlign w:val="center"/>
          </w:tcPr>
          <w:p>
            <w:pPr>
              <w:pStyle w:val="TableContents"/>
              <w:spacing w:before="0" w:after="0"/>
              <w:ind w:left="0" w:right="0" w:hanging="0"/>
              <w:rPr/>
            </w:pPr>
            <w:r>
              <w:rPr/>
              <w:t> </w:t>
            </w:r>
          </w:p>
        </w:tc>
      </w:tr>
      <w:tr>
        <w:trPr/>
        <w:tc>
          <w:tcPr>
            <w:tcW w:w="2690" w:type="dxa"/>
            <w:tcBorders/>
            <w:shd w:fill="FFFF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Change in unearned premiums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(9,733,170</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486"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358"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2,057,880</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(7,675,290</w:t>
            </w:r>
          </w:p>
        </w:tc>
        <w:tc>
          <w:tcPr>
            <w:tcW w:w="170" w:type="dxa"/>
            <w:tcBorders/>
            <w:shd w:fill="FFFFFF" w:val="clear"/>
            <w:vAlign w:val="center"/>
          </w:tcPr>
          <w:p>
            <w:pPr>
              <w:pStyle w:val="TableContents"/>
              <w:spacing w:before="0" w:after="283"/>
              <w:rPr/>
            </w:pPr>
            <w:r>
              <w:rPr/>
              <w:t>)</w:t>
            </w:r>
          </w:p>
        </w:tc>
      </w:tr>
      <w:tr>
        <w:trPr/>
        <w:tc>
          <w:tcPr>
            <w:tcW w:w="2690" w:type="dxa"/>
            <w:tcBorders/>
            <w:shd w:fill="CCEE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Premiums earned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5" w:space="0" w:color="000000"/>
            </w:tcBorders>
            <w:shd w:fill="CCEEFF" w:val="clear"/>
            <w:tcMar>
              <w:bottom w:w="28" w:type="dxa"/>
            </w:tcMar>
            <w:vAlign w:val="center"/>
          </w:tcPr>
          <w:p>
            <w:pPr>
              <w:pStyle w:val="TableContents"/>
              <w:spacing w:before="0" w:after="283"/>
              <w:jc w:val="right"/>
              <w:rPr/>
            </w:pPr>
            <w:r>
              <w:rPr/>
              <w:t>191,521,667</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486" w:type="dxa"/>
            <w:tcBorders>
              <w:bottom w:val="double" w:sz="5" w:space="0" w:color="000000"/>
            </w:tcBorders>
            <w:shd w:fill="CCEEFF" w:val="clear"/>
            <w:tcMar>
              <w:bottom w:w="28" w:type="dxa"/>
            </w:tcMar>
            <w:vAlign w:val="center"/>
          </w:tcPr>
          <w:p>
            <w:pPr>
              <w:pStyle w:val="TableContents"/>
              <w:spacing w:before="0" w:after="283"/>
              <w:rPr/>
            </w:pPr>
            <w:r>
              <w:rPr/>
              <w:t>$</w:t>
            </w:r>
          </w:p>
        </w:tc>
        <w:tc>
          <w:tcPr>
            <w:tcW w:w="358" w:type="dxa"/>
            <w:tcBorders>
              <w:bottom w:val="double" w:sz="5" w:space="0" w:color="000000"/>
            </w:tcBorders>
            <w:shd w:fill="CCEEFF" w:val="clear"/>
            <w:tcMar>
              <w:bottom w:w="28" w:type="dxa"/>
            </w:tcM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1205" w:type="dxa"/>
            <w:tcBorders>
              <w:bottom w:val="double" w:sz="5" w:space="0" w:color="000000"/>
            </w:tcBorders>
            <w:shd w:fill="CCEEFF" w:val="clear"/>
            <w:tcMar>
              <w:bottom w:w="28" w:type="dxa"/>
            </w:tcMar>
            <w:vAlign w:val="center"/>
          </w:tcPr>
          <w:p>
            <w:pPr>
              <w:pStyle w:val="TableContents"/>
              <w:spacing w:before="0" w:after="283"/>
              <w:jc w:val="right"/>
              <w:rPr/>
            </w:pPr>
            <w:r>
              <w:rPr/>
              <w:t>(77,137,136</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5" w:space="0" w:color="000000"/>
            </w:tcBorders>
            <w:shd w:fill="CCEEFF" w:val="clear"/>
            <w:tcMar>
              <w:bottom w:w="28" w:type="dxa"/>
            </w:tcMar>
            <w:vAlign w:val="center"/>
          </w:tcPr>
          <w:p>
            <w:pPr>
              <w:pStyle w:val="TableContents"/>
              <w:spacing w:before="0" w:after="283"/>
              <w:jc w:val="right"/>
              <w:rPr/>
            </w:pPr>
            <w:r>
              <w:rPr/>
              <w:t>114,384,531</w:t>
            </w:r>
          </w:p>
        </w:tc>
        <w:tc>
          <w:tcPr>
            <w:tcW w:w="170" w:type="dxa"/>
            <w:tcBorders/>
            <w:shd w:fill="CCEEFF" w:val="clear"/>
            <w:vAlign w:val="center"/>
          </w:tcPr>
          <w:p>
            <w:pPr>
              <w:pStyle w:val="TableContents"/>
              <w:spacing w:before="0" w:after="0"/>
              <w:ind w:left="0" w:right="0" w:hanging="0"/>
              <w:rPr/>
            </w:pPr>
            <w:r>
              <w:rPr/>
              <w:t> </w:t>
            </w:r>
          </w:p>
        </w:tc>
      </w:tr>
      <w:tr>
        <w:trPr/>
        <w:tc>
          <w:tcPr>
            <w:tcW w:w="26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486" w:type="dxa"/>
            <w:tcBorders/>
            <w:shd w:fill="FFFFFF" w:val="clear"/>
            <w:vAlign w:val="center"/>
          </w:tcPr>
          <w:p>
            <w:pPr>
              <w:pStyle w:val="TableContents"/>
              <w:spacing w:before="0" w:after="0"/>
              <w:ind w:left="0" w:right="0" w:hanging="0"/>
              <w:rPr/>
            </w:pPr>
            <w:r>
              <w:rPr/>
              <w:t> </w:t>
            </w:r>
          </w:p>
        </w:tc>
        <w:tc>
          <w:tcPr>
            <w:tcW w:w="35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2690" w:type="dxa"/>
            <w:tcBorders/>
            <w:shd w:fill="CCEEFF" w:val="clear"/>
            <w:vAlign w:val="center"/>
          </w:tcPr>
          <w:p>
            <w:pPr>
              <w:pStyle w:val="TableContents"/>
              <w:spacing w:before="0" w:after="0"/>
              <w:ind w:left="0" w:right="0" w:hanging="0"/>
              <w:jc w:val="left"/>
              <w:rPr/>
            </w:pPr>
            <w:r>
              <w:rPr>
                <w:rStyle w:val="StrongEmphasis"/>
                <w:rFonts w:ascii="times new roman" w:hAnsi="times new roman"/>
                <w:sz w:val="20"/>
              </w:rPr>
              <w:t>Year ended December 31, 2021</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486" w:type="dxa"/>
            <w:tcBorders/>
            <w:shd w:fill="CCEEFF" w:val="clear"/>
            <w:vAlign w:val="center"/>
          </w:tcPr>
          <w:p>
            <w:pPr>
              <w:pStyle w:val="TableContents"/>
              <w:spacing w:before="0" w:after="0"/>
              <w:ind w:left="0" w:right="0" w:hanging="0"/>
              <w:rPr/>
            </w:pPr>
            <w:r>
              <w:rPr/>
              <w:t> </w:t>
            </w:r>
          </w:p>
        </w:tc>
        <w:tc>
          <w:tcPr>
            <w:tcW w:w="358"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2690" w:type="dxa"/>
            <w:tcBorders/>
            <w:shd w:fill="FFFF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Premiums written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181,665,178</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486" w:type="dxa"/>
            <w:tcBorders/>
            <w:shd w:fill="FFFFFF" w:val="clear"/>
            <w:vAlign w:val="center"/>
          </w:tcPr>
          <w:p>
            <w:pPr>
              <w:pStyle w:val="TableContents"/>
              <w:spacing w:before="0" w:after="283"/>
              <w:rPr/>
            </w:pPr>
            <w:r>
              <w:rPr/>
              <w:t>$</w:t>
            </w:r>
          </w:p>
        </w:tc>
        <w:tc>
          <w:tcPr>
            <w:tcW w:w="358" w:type="dxa"/>
            <w:tcBorders/>
            <w:shd w:fill="FFFFFF" w:val="cle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05" w:type="dxa"/>
            <w:tcBorders/>
            <w:shd w:fill="FFFFFF" w:val="clear"/>
            <w:vAlign w:val="center"/>
          </w:tcPr>
          <w:p>
            <w:pPr>
              <w:pStyle w:val="TableContents"/>
              <w:spacing w:before="0" w:after="283"/>
              <w:jc w:val="right"/>
              <w:rPr/>
            </w:pPr>
            <w:r>
              <w:rPr/>
              <w:t>(52,909,694</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128,755,484</w:t>
            </w:r>
          </w:p>
        </w:tc>
        <w:tc>
          <w:tcPr>
            <w:tcW w:w="170" w:type="dxa"/>
            <w:tcBorders/>
            <w:shd w:fill="FFFFFF" w:val="clear"/>
            <w:vAlign w:val="center"/>
          </w:tcPr>
          <w:p>
            <w:pPr>
              <w:pStyle w:val="TableContents"/>
              <w:spacing w:before="0" w:after="0"/>
              <w:ind w:left="0" w:right="0" w:hanging="0"/>
              <w:rPr/>
            </w:pPr>
            <w:r>
              <w:rPr/>
              <w:t> </w:t>
            </w:r>
          </w:p>
        </w:tc>
      </w:tr>
      <w:tr>
        <w:trPr/>
        <w:tc>
          <w:tcPr>
            <w:tcW w:w="2690" w:type="dxa"/>
            <w:tcBorders/>
            <w:shd w:fill="CCEE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Change in unearned premiums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(7,750,334</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48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358"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CCEEFF" w:val="clear"/>
            <w:tcMar>
              <w:bottom w:w="28" w:type="dxa"/>
            </w:tcMar>
            <w:vAlign w:val="center"/>
          </w:tcPr>
          <w:p>
            <w:pPr>
              <w:pStyle w:val="TableContents"/>
              <w:spacing w:before="0" w:after="283"/>
              <w:jc w:val="right"/>
              <w:rPr/>
            </w:pPr>
            <w:r>
              <w:rPr/>
              <w:t>22,876,569</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283"/>
              <w:rPr/>
            </w:pPr>
            <w:r>
              <w:rPr/>
              <w:t>$</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15,126,235</w:t>
            </w:r>
          </w:p>
        </w:tc>
        <w:tc>
          <w:tcPr>
            <w:tcW w:w="170" w:type="dxa"/>
            <w:tcBorders/>
            <w:shd w:fill="CCEEFF" w:val="clear"/>
            <w:vAlign w:val="center"/>
          </w:tcPr>
          <w:p>
            <w:pPr>
              <w:pStyle w:val="TableContents"/>
              <w:spacing w:before="0" w:after="0"/>
              <w:ind w:left="0" w:right="0" w:hanging="0"/>
              <w:rPr/>
            </w:pPr>
            <w:r>
              <w:rPr/>
              <w:t> </w:t>
            </w:r>
          </w:p>
        </w:tc>
      </w:tr>
      <w:tr>
        <w:trPr/>
        <w:tc>
          <w:tcPr>
            <w:tcW w:w="2690" w:type="dxa"/>
            <w:tcBorders/>
            <w:shd w:fill="FFFF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Premiums earned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5"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5" w:space="0" w:color="000000"/>
            </w:tcBorders>
            <w:shd w:fill="FFFFFF" w:val="clear"/>
            <w:tcMar>
              <w:bottom w:w="28" w:type="dxa"/>
            </w:tcMar>
            <w:vAlign w:val="center"/>
          </w:tcPr>
          <w:p>
            <w:pPr>
              <w:pStyle w:val="TableContents"/>
              <w:spacing w:before="0" w:after="283"/>
              <w:jc w:val="right"/>
              <w:rPr/>
            </w:pPr>
            <w:r>
              <w:rPr/>
              <w:t>173,914,844</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486" w:type="dxa"/>
            <w:tcBorders>
              <w:bottom w:val="double" w:sz="5" w:space="0" w:color="000000"/>
            </w:tcBorders>
            <w:shd w:fill="FFFFFF" w:val="clear"/>
            <w:tcMar>
              <w:bottom w:w="28" w:type="dxa"/>
            </w:tcMar>
            <w:vAlign w:val="center"/>
          </w:tcPr>
          <w:p>
            <w:pPr>
              <w:pStyle w:val="TableContents"/>
              <w:spacing w:before="0" w:after="283"/>
              <w:rPr/>
            </w:pPr>
            <w:r>
              <w:rPr/>
              <w:t>$</w:t>
            </w:r>
          </w:p>
        </w:tc>
        <w:tc>
          <w:tcPr>
            <w:tcW w:w="358" w:type="dxa"/>
            <w:tcBorders>
              <w:bottom w:val="double" w:sz="5" w:space="0" w:color="000000"/>
            </w:tcBorders>
            <w:shd w:fill="FFFFFF" w:val="clear"/>
            <w:tcMar>
              <w:bottom w:w="28" w:type="dxa"/>
            </w:tcM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5" w:space="0" w:color="000000"/>
            </w:tcBorders>
            <w:shd w:fill="FFFFFF" w:val="clear"/>
            <w:tcMar>
              <w:bottom w:w="28" w:type="dxa"/>
            </w:tcMar>
            <w:vAlign w:val="center"/>
          </w:tcPr>
          <w:p>
            <w:pPr>
              <w:pStyle w:val="TableContents"/>
              <w:spacing w:before="0" w:after="283"/>
              <w:rPr/>
            </w:pPr>
            <w:r>
              <w:rPr/>
              <w:t>$</w:t>
            </w:r>
          </w:p>
        </w:tc>
        <w:tc>
          <w:tcPr>
            <w:tcW w:w="1205" w:type="dxa"/>
            <w:tcBorders>
              <w:bottom w:val="double" w:sz="5" w:space="0" w:color="000000"/>
            </w:tcBorders>
            <w:shd w:fill="FFFFFF" w:val="clear"/>
            <w:tcMar>
              <w:bottom w:w="28" w:type="dxa"/>
            </w:tcMar>
            <w:vAlign w:val="center"/>
          </w:tcPr>
          <w:p>
            <w:pPr>
              <w:pStyle w:val="TableContents"/>
              <w:spacing w:before="0" w:after="283"/>
              <w:jc w:val="right"/>
              <w:rPr/>
            </w:pPr>
            <w:r>
              <w:rPr/>
              <w:t>(30,033,125</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5"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5" w:space="0" w:color="000000"/>
            </w:tcBorders>
            <w:shd w:fill="FFFFFF" w:val="clear"/>
            <w:tcMar>
              <w:bottom w:w="28" w:type="dxa"/>
            </w:tcMar>
            <w:vAlign w:val="center"/>
          </w:tcPr>
          <w:p>
            <w:pPr>
              <w:pStyle w:val="TableContents"/>
              <w:spacing w:before="0" w:after="283"/>
              <w:jc w:val="right"/>
              <w:rPr/>
            </w:pPr>
            <w:r>
              <w:rPr/>
              <w:t>143,881,719</w:t>
            </w:r>
          </w:p>
        </w:tc>
        <w:tc>
          <w:tcPr>
            <w:tcW w:w="170" w:type="dxa"/>
            <w:tcBorders/>
            <w:shd w:fill="FFFFFF" w:val="clear"/>
            <w:vAlign w:val="center"/>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Premium receipts in advance of the policy effective date are recorded as advance premiums.  The balance of advance premiums as of December 31, 2022 and 2021 was $2,839,028 and $2,693,466, respectively.</w:t>
      </w:r>
    </w:p>
    <w:p>
      <w:pPr>
        <w:pStyle w:val="TextBody"/>
        <w:spacing w:before="0" w:after="0"/>
        <w:ind w:left="0" w:right="0" w:hanging="0"/>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F-37</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2022 AND 2021</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20"/>
        </w:rPr>
      </w:pPr>
      <w:r>
        <w:rPr>
          <w:rFonts w:ascii="times new roman" w:hAnsi="times new roman"/>
          <w:sz w:val="20"/>
        </w:rPr>
        <w:t>The components of the liability for loss and LAE expenses and related reinsurance receivables as of December 31, 2022 and 2021 are as follows:</w:t>
      </w:r>
    </w:p>
    <w:p>
      <w:pPr>
        <w:pStyle w:val="TextBody"/>
        <w:spacing w:before="0" w:after="0"/>
        <w:ind w:left="0" w:right="0" w:hanging="0"/>
        <w:rPr/>
      </w:pPr>
      <w:r>
        <w:rPr/>
        <w:t> </w:t>
      </w:r>
    </w:p>
    <w:tbl>
      <w:tblPr>
        <w:tblW w:w="6460" w:type="dxa"/>
        <w:jc w:val="left"/>
        <w:tblInd w:w="0" w:type="dxa"/>
        <w:tblCellMar>
          <w:top w:w="0" w:type="dxa"/>
          <w:left w:w="0" w:type="dxa"/>
          <w:bottom w:w="0" w:type="dxa"/>
          <w:right w:w="0" w:type="dxa"/>
        </w:tblCellMar>
      </w:tblPr>
      <w:tblGrid>
        <w:gridCol w:w="3335"/>
        <w:gridCol w:w="90"/>
        <w:gridCol w:w="170"/>
        <w:gridCol w:w="1250"/>
        <w:gridCol w:w="90"/>
        <w:gridCol w:w="90"/>
        <w:gridCol w:w="170"/>
        <w:gridCol w:w="1130"/>
        <w:gridCol w:w="135"/>
      </w:tblGrid>
      <w:tr>
        <w:trPr/>
        <w:tc>
          <w:tcPr>
            <w:tcW w:w="333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Gross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00"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Reinsurance </w:t>
            </w:r>
          </w:p>
        </w:tc>
        <w:tc>
          <w:tcPr>
            <w:tcW w:w="135" w:type="dxa"/>
            <w:tcBorders/>
            <w:shd w:fill="auto" w:val="clear"/>
            <w:vAlign w:val="center"/>
          </w:tcPr>
          <w:p>
            <w:pPr>
              <w:pStyle w:val="TableContents"/>
              <w:spacing w:before="0" w:after="0"/>
              <w:ind w:left="0" w:right="0" w:hanging="0"/>
              <w:rPr/>
            </w:pPr>
            <w:r>
              <w:rPr>
                <w:rStyle w:val="StrongEmphasis"/>
              </w:rPr>
              <w:t> </w:t>
            </w:r>
          </w:p>
        </w:tc>
      </w:tr>
      <w:tr>
        <w:trPr/>
        <w:tc>
          <w:tcPr>
            <w:tcW w:w="333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42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Liability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0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Receivables </w:t>
            </w:r>
          </w:p>
        </w:tc>
        <w:tc>
          <w:tcPr>
            <w:tcW w:w="135" w:type="dxa"/>
            <w:tcBorders/>
            <w:shd w:fill="auto" w:val="clear"/>
            <w:vAlign w:val="center"/>
          </w:tcPr>
          <w:p>
            <w:pPr>
              <w:pStyle w:val="TableContents"/>
              <w:spacing w:before="0" w:after="0"/>
              <w:ind w:left="0" w:right="0" w:hanging="0"/>
              <w:rPr/>
            </w:pPr>
            <w:r>
              <w:rPr/>
              <w:t> </w:t>
            </w:r>
          </w:p>
        </w:tc>
      </w:tr>
      <w:tr>
        <w:trPr/>
        <w:tc>
          <w:tcPr>
            <w:tcW w:w="3335" w:type="dxa"/>
            <w:tcBorders/>
            <w:shd w:fill="auto" w:val="clear"/>
            <w:vAlign w:val="center"/>
          </w:tcPr>
          <w:p>
            <w:pPr>
              <w:pStyle w:val="TableContents"/>
              <w:spacing w:before="0" w:after="0"/>
              <w:ind w:left="0" w:right="0" w:hanging="0"/>
              <w:jc w:val="left"/>
              <w:rPr/>
            </w:pPr>
            <w:r>
              <w:rPr>
                <w:rStyle w:val="StrongEmphasis"/>
                <w:rFonts w:ascii="times new roman" w:hAnsi="times new roman"/>
                <w:sz w:val="20"/>
              </w:rPr>
              <w:t>December 31, 2022</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3335" w:type="dxa"/>
            <w:tcBorders/>
            <w:shd w:fill="CCEE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Case-basis reserves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62,745,588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16,618,887</w:t>
            </w:r>
          </w:p>
        </w:tc>
        <w:tc>
          <w:tcPr>
            <w:tcW w:w="135" w:type="dxa"/>
            <w:tcBorders/>
            <w:shd w:fill="CCEEFF" w:val="clear"/>
            <w:vAlign w:val="center"/>
          </w:tcPr>
          <w:p>
            <w:pPr>
              <w:pStyle w:val="TableContents"/>
              <w:spacing w:before="0" w:after="0"/>
              <w:ind w:left="0" w:right="0" w:hanging="0"/>
              <w:rPr/>
            </w:pPr>
            <w:r>
              <w:rPr/>
              <w:t> </w:t>
            </w:r>
          </w:p>
        </w:tc>
      </w:tr>
      <w:tr>
        <w:trPr/>
        <w:tc>
          <w:tcPr>
            <w:tcW w:w="3335" w:type="dxa"/>
            <w:tcBorders/>
            <w:shd w:fill="FFFF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Loss adjustment expenses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16,847,618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2,364,053</w:t>
            </w:r>
          </w:p>
        </w:tc>
        <w:tc>
          <w:tcPr>
            <w:tcW w:w="135" w:type="dxa"/>
            <w:tcBorders/>
            <w:shd w:fill="FFFFFF" w:val="clear"/>
            <w:vAlign w:val="center"/>
          </w:tcPr>
          <w:p>
            <w:pPr>
              <w:pStyle w:val="TableContents"/>
              <w:spacing w:before="0" w:after="0"/>
              <w:ind w:left="0" w:right="0" w:hanging="0"/>
              <w:rPr/>
            </w:pPr>
            <w:r>
              <w:rPr/>
              <w:t> </w:t>
            </w:r>
          </w:p>
        </w:tc>
      </w:tr>
      <w:tr>
        <w:trPr/>
        <w:tc>
          <w:tcPr>
            <w:tcW w:w="3335" w:type="dxa"/>
            <w:tcBorders/>
            <w:shd w:fill="CCEE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IBNR reserves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38,746,307</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CCEEFF" w:val="clear"/>
            <w:tcMar>
              <w:bottom w:w="28" w:type="dxa"/>
            </w:tcMar>
            <w:vAlign w:val="center"/>
          </w:tcPr>
          <w:p>
            <w:pPr>
              <w:pStyle w:val="TableContents"/>
              <w:spacing w:before="0" w:after="283"/>
              <w:jc w:val="right"/>
              <w:rPr/>
            </w:pPr>
            <w:r>
              <w:rPr/>
              <w:t>8,676,560</w:t>
            </w:r>
          </w:p>
        </w:tc>
        <w:tc>
          <w:tcPr>
            <w:tcW w:w="135" w:type="dxa"/>
            <w:tcBorders/>
            <w:shd w:fill="CCEEFF" w:val="clear"/>
            <w:vAlign w:val="center"/>
          </w:tcPr>
          <w:p>
            <w:pPr>
              <w:pStyle w:val="TableContents"/>
              <w:spacing w:before="0" w:after="0"/>
              <w:ind w:left="0" w:right="0" w:hanging="0"/>
              <w:rPr/>
            </w:pPr>
            <w:r>
              <w:rPr/>
              <w:t> </w:t>
            </w:r>
          </w:p>
        </w:tc>
      </w:tr>
      <w:tr>
        <w:trPr/>
        <w:tc>
          <w:tcPr>
            <w:tcW w:w="3335" w:type="dxa"/>
            <w:tcBorders/>
            <w:shd w:fill="FFFF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Recoverable on unpaid losses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27,659,500</w:t>
            </w:r>
          </w:p>
        </w:tc>
        <w:tc>
          <w:tcPr>
            <w:tcW w:w="135" w:type="dxa"/>
            <w:tcBorders/>
            <w:shd w:fill="FFFFFF" w:val="clear"/>
            <w:vAlign w:val="center"/>
          </w:tcPr>
          <w:p>
            <w:pPr>
              <w:pStyle w:val="TableContents"/>
              <w:spacing w:before="0" w:after="0"/>
              <w:ind w:left="0" w:right="0" w:hanging="0"/>
              <w:rPr/>
            </w:pPr>
            <w:r>
              <w:rPr/>
              <w:t> </w:t>
            </w:r>
          </w:p>
        </w:tc>
      </w:tr>
      <w:tr>
        <w:trPr/>
        <w:tc>
          <w:tcPr>
            <w:tcW w:w="3335" w:type="dxa"/>
            <w:tcBorders/>
            <w:shd w:fill="CCEE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Recoverable on paid losses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CCEEFF" w:val="clear"/>
            <w:tcMar>
              <w:bottom w:w="28" w:type="dxa"/>
            </w:tcMar>
            <w:vAlign w:val="center"/>
          </w:tcPr>
          <w:p>
            <w:pPr>
              <w:pStyle w:val="TableContents"/>
              <w:spacing w:before="0" w:after="283"/>
              <w:jc w:val="right"/>
              <w:rPr/>
            </w:pPr>
            <w:r>
              <w:rPr/>
              <w:t>13,588,981</w:t>
            </w:r>
          </w:p>
        </w:tc>
        <w:tc>
          <w:tcPr>
            <w:tcW w:w="135" w:type="dxa"/>
            <w:tcBorders/>
            <w:shd w:fill="CCEEFF" w:val="clear"/>
            <w:vAlign w:val="center"/>
          </w:tcPr>
          <w:p>
            <w:pPr>
              <w:pStyle w:val="TableContents"/>
              <w:spacing w:before="0" w:after="0"/>
              <w:ind w:left="0" w:right="0" w:hanging="0"/>
              <w:rPr/>
            </w:pPr>
            <w:r>
              <w:rPr/>
              <w:t> </w:t>
            </w:r>
          </w:p>
        </w:tc>
      </w:tr>
      <w:tr>
        <w:trPr/>
        <w:tc>
          <w:tcPr>
            <w:tcW w:w="3335" w:type="dxa"/>
            <w:tcBorders/>
            <w:shd w:fill="FFFF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Total loss and loss adjustment expenses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5" w:space="0" w:color="000000"/>
            </w:tcBorders>
            <w:shd w:fill="FFFFFF" w:val="clear"/>
            <w:tcMar>
              <w:bottom w:w="28" w:type="dxa"/>
            </w:tcMar>
            <w:vAlign w:val="center"/>
          </w:tcPr>
          <w:p>
            <w:pPr>
              <w:pStyle w:val="TableContents"/>
              <w:spacing w:before="0" w:after="283"/>
              <w:rPr/>
            </w:pPr>
            <w:r>
              <w:rPr/>
              <w:t>$</w:t>
            </w:r>
          </w:p>
        </w:tc>
        <w:tc>
          <w:tcPr>
            <w:tcW w:w="1250" w:type="dxa"/>
            <w:tcBorders>
              <w:bottom w:val="double" w:sz="5" w:space="0" w:color="000000"/>
            </w:tcBorders>
            <w:shd w:fill="FFFFFF" w:val="clear"/>
            <w:tcMar>
              <w:bottom w:w="28" w:type="dxa"/>
            </w:tcMar>
            <w:vAlign w:val="center"/>
          </w:tcPr>
          <w:p>
            <w:pPr>
              <w:pStyle w:val="TableContents"/>
              <w:spacing w:before="0" w:after="283"/>
              <w:jc w:val="right"/>
              <w:rPr/>
            </w:pPr>
            <w:r>
              <w:rPr/>
              <w:t>118,339,513</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41,248,481</w:t>
            </w:r>
          </w:p>
        </w:tc>
        <w:tc>
          <w:tcPr>
            <w:tcW w:w="135" w:type="dxa"/>
            <w:tcBorders/>
            <w:shd w:fill="FFFFFF" w:val="clear"/>
            <w:vAlign w:val="center"/>
          </w:tcPr>
          <w:p>
            <w:pPr>
              <w:pStyle w:val="TableContents"/>
              <w:spacing w:before="0" w:after="0"/>
              <w:ind w:left="0" w:right="0" w:hanging="0"/>
              <w:rPr/>
            </w:pPr>
            <w:r>
              <w:rPr/>
              <w:t> </w:t>
            </w:r>
          </w:p>
        </w:tc>
      </w:tr>
      <w:tr>
        <w:trPr/>
        <w:tc>
          <w:tcPr>
            <w:tcW w:w="3335" w:type="dxa"/>
            <w:tcBorders/>
            <w:shd w:fill="CCEE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Unearned premiums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25,216,580</w:t>
            </w:r>
          </w:p>
        </w:tc>
        <w:tc>
          <w:tcPr>
            <w:tcW w:w="135" w:type="dxa"/>
            <w:tcBorders/>
            <w:shd w:fill="CCEEFF" w:val="clear"/>
            <w:vAlign w:val="center"/>
          </w:tcPr>
          <w:p>
            <w:pPr>
              <w:pStyle w:val="TableContents"/>
              <w:spacing w:before="0" w:after="0"/>
              <w:ind w:left="0" w:right="0" w:hanging="0"/>
              <w:rPr/>
            </w:pPr>
            <w:r>
              <w:rPr/>
              <w:t> </w:t>
            </w:r>
          </w:p>
        </w:tc>
      </w:tr>
      <w:tr>
        <w:trPr/>
        <w:tc>
          <w:tcPr>
            <w:tcW w:w="3335" w:type="dxa"/>
            <w:tcBorders/>
            <w:shd w:fill="FFFF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Receivables - reinsurance contracts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135" w:type="dxa"/>
            <w:tcBorders/>
            <w:shd w:fill="FFFFFF" w:val="clear"/>
            <w:vAlign w:val="center"/>
          </w:tcPr>
          <w:p>
            <w:pPr>
              <w:pStyle w:val="TableContents"/>
              <w:spacing w:before="0" w:after="0"/>
              <w:ind w:left="0" w:right="0" w:hanging="0"/>
              <w:rPr/>
            </w:pPr>
            <w:r>
              <w:rPr/>
              <w:t> </w:t>
            </w:r>
          </w:p>
        </w:tc>
      </w:tr>
      <w:tr>
        <w:trPr/>
        <w:tc>
          <w:tcPr>
            <w:tcW w:w="3335" w:type="dxa"/>
            <w:tcBorders/>
            <w:shd w:fill="CCEE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Total reinsurance receivables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1130" w:type="dxa"/>
            <w:tcBorders>
              <w:bottom w:val="double" w:sz="5" w:space="0" w:color="000000"/>
            </w:tcBorders>
            <w:shd w:fill="CCEEFF" w:val="clear"/>
            <w:tcMar>
              <w:bottom w:w="28" w:type="dxa"/>
            </w:tcMar>
            <w:vAlign w:val="center"/>
          </w:tcPr>
          <w:p>
            <w:pPr>
              <w:pStyle w:val="TableContents"/>
              <w:spacing w:before="0" w:after="283"/>
              <w:jc w:val="right"/>
              <w:rPr/>
            </w:pPr>
            <w:r>
              <w:rPr/>
              <w:t>66,465,061</w:t>
            </w:r>
          </w:p>
        </w:tc>
        <w:tc>
          <w:tcPr>
            <w:tcW w:w="135" w:type="dxa"/>
            <w:tcBorders/>
            <w:shd w:fill="CCEEFF" w:val="clear"/>
            <w:vAlign w:val="center"/>
          </w:tcPr>
          <w:p>
            <w:pPr>
              <w:pStyle w:val="TableContents"/>
              <w:spacing w:before="0" w:after="0"/>
              <w:ind w:left="0" w:right="0" w:hanging="0"/>
              <w:rPr/>
            </w:pPr>
            <w:r>
              <w:rPr/>
              <w:t> </w:t>
            </w:r>
          </w:p>
        </w:tc>
      </w:tr>
      <w:tr>
        <w:trPr/>
        <w:tc>
          <w:tcPr>
            <w:tcW w:w="333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135" w:type="dxa"/>
            <w:tcBorders/>
            <w:shd w:fill="FFFFFF" w:val="clear"/>
            <w:vAlign w:val="center"/>
          </w:tcPr>
          <w:p>
            <w:pPr>
              <w:pStyle w:val="TableContents"/>
              <w:spacing w:before="0" w:after="0"/>
              <w:ind w:left="0" w:right="0" w:hanging="0"/>
              <w:rPr/>
            </w:pPr>
            <w:r>
              <w:rPr/>
              <w:t> </w:t>
            </w:r>
          </w:p>
        </w:tc>
      </w:tr>
      <w:tr>
        <w:trPr/>
        <w:tc>
          <w:tcPr>
            <w:tcW w:w="3335" w:type="dxa"/>
            <w:tcBorders/>
            <w:shd w:fill="CCEEFF" w:val="clear"/>
            <w:vAlign w:val="center"/>
          </w:tcPr>
          <w:p>
            <w:pPr>
              <w:pStyle w:val="TableContents"/>
              <w:spacing w:before="0" w:after="0"/>
              <w:ind w:left="0" w:right="0" w:hanging="0"/>
              <w:jc w:val="left"/>
              <w:rPr/>
            </w:pPr>
            <w:r>
              <w:rPr>
                <w:rStyle w:val="StrongEmphasis"/>
                <w:rFonts w:ascii="times new roman" w:hAnsi="times new roman"/>
                <w:sz w:val="20"/>
              </w:rPr>
              <w:t>December 31, 2021</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135" w:type="dxa"/>
            <w:tcBorders/>
            <w:shd w:fill="CCEEFF" w:val="clear"/>
            <w:vAlign w:val="center"/>
          </w:tcPr>
          <w:p>
            <w:pPr>
              <w:pStyle w:val="TableContents"/>
              <w:spacing w:before="0" w:after="0"/>
              <w:ind w:left="0" w:right="0" w:hanging="0"/>
              <w:rPr/>
            </w:pPr>
            <w:r>
              <w:rPr/>
              <w:t> </w:t>
            </w:r>
          </w:p>
        </w:tc>
      </w:tr>
      <w:tr>
        <w:trPr/>
        <w:tc>
          <w:tcPr>
            <w:tcW w:w="3335" w:type="dxa"/>
            <w:tcBorders/>
            <w:shd w:fill="FFFF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Case-basis reserves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54,761,591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130" w:type="dxa"/>
            <w:tcBorders/>
            <w:shd w:fill="FFFFFF" w:val="clear"/>
            <w:vAlign w:val="center"/>
          </w:tcPr>
          <w:p>
            <w:pPr>
              <w:pStyle w:val="TableContents"/>
              <w:spacing w:before="0" w:after="283"/>
              <w:jc w:val="right"/>
              <w:rPr/>
            </w:pPr>
            <w:r>
              <w:rPr/>
              <w:t>7,839,767</w:t>
            </w:r>
          </w:p>
        </w:tc>
        <w:tc>
          <w:tcPr>
            <w:tcW w:w="135" w:type="dxa"/>
            <w:tcBorders/>
            <w:shd w:fill="FFFFFF" w:val="clear"/>
            <w:vAlign w:val="center"/>
          </w:tcPr>
          <w:p>
            <w:pPr>
              <w:pStyle w:val="TableContents"/>
              <w:spacing w:before="0" w:after="0"/>
              <w:ind w:left="0" w:right="0" w:hanging="0"/>
              <w:rPr/>
            </w:pPr>
            <w:r>
              <w:rPr/>
              <w:t> </w:t>
            </w:r>
          </w:p>
        </w:tc>
      </w:tr>
      <w:tr>
        <w:trPr/>
        <w:tc>
          <w:tcPr>
            <w:tcW w:w="3335" w:type="dxa"/>
            <w:tcBorders/>
            <w:shd w:fill="CCEE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Loss adjustment expenses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14,795,659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1,072,847</w:t>
            </w:r>
          </w:p>
        </w:tc>
        <w:tc>
          <w:tcPr>
            <w:tcW w:w="135" w:type="dxa"/>
            <w:tcBorders/>
            <w:shd w:fill="CCEEFF" w:val="clear"/>
            <w:vAlign w:val="center"/>
          </w:tcPr>
          <w:p>
            <w:pPr>
              <w:pStyle w:val="TableContents"/>
              <w:spacing w:before="0" w:after="0"/>
              <w:ind w:left="0" w:right="0" w:hanging="0"/>
              <w:rPr/>
            </w:pPr>
            <w:r>
              <w:rPr/>
              <w:t> </w:t>
            </w:r>
          </w:p>
        </w:tc>
      </w:tr>
      <w:tr>
        <w:trPr/>
        <w:tc>
          <w:tcPr>
            <w:tcW w:w="3335" w:type="dxa"/>
            <w:tcBorders/>
            <w:shd w:fill="FFFF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IBNR reserves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25,391,495</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FFFFFF" w:val="clear"/>
            <w:tcMar>
              <w:bottom w:w="28" w:type="dxa"/>
            </w:tcMar>
            <w:vAlign w:val="center"/>
          </w:tcPr>
          <w:p>
            <w:pPr>
              <w:pStyle w:val="TableContents"/>
              <w:spacing w:before="0" w:after="283"/>
              <w:jc w:val="right"/>
              <w:rPr/>
            </w:pPr>
            <w:r>
              <w:rPr/>
              <w:t>1,725,065</w:t>
            </w:r>
          </w:p>
        </w:tc>
        <w:tc>
          <w:tcPr>
            <w:tcW w:w="135" w:type="dxa"/>
            <w:tcBorders/>
            <w:shd w:fill="FFFFFF" w:val="clear"/>
            <w:vAlign w:val="center"/>
          </w:tcPr>
          <w:p>
            <w:pPr>
              <w:pStyle w:val="TableContents"/>
              <w:spacing w:before="0" w:after="0"/>
              <w:ind w:left="0" w:right="0" w:hanging="0"/>
              <w:rPr/>
            </w:pPr>
            <w:r>
              <w:rPr/>
              <w:t> </w:t>
            </w:r>
          </w:p>
        </w:tc>
      </w:tr>
      <w:tr>
        <w:trPr/>
        <w:tc>
          <w:tcPr>
            <w:tcW w:w="3335" w:type="dxa"/>
            <w:tcBorders/>
            <w:shd w:fill="CCEE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Recoverable on unpaid losses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10,637,679</w:t>
            </w:r>
          </w:p>
        </w:tc>
        <w:tc>
          <w:tcPr>
            <w:tcW w:w="135" w:type="dxa"/>
            <w:tcBorders/>
            <w:shd w:fill="CCEEFF" w:val="clear"/>
            <w:vAlign w:val="center"/>
          </w:tcPr>
          <w:p>
            <w:pPr>
              <w:pStyle w:val="TableContents"/>
              <w:spacing w:before="0" w:after="0"/>
              <w:ind w:left="0" w:right="0" w:hanging="0"/>
              <w:rPr/>
            </w:pPr>
            <w:r>
              <w:rPr/>
              <w:t> </w:t>
            </w:r>
          </w:p>
        </w:tc>
      </w:tr>
      <w:tr>
        <w:trPr/>
        <w:tc>
          <w:tcPr>
            <w:tcW w:w="3335" w:type="dxa"/>
            <w:tcBorders/>
            <w:shd w:fill="FFFF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Recoverable on paid losses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FFFFFF" w:val="clear"/>
            <w:tcMar>
              <w:bottom w:w="28" w:type="dxa"/>
            </w:tcMar>
            <w:vAlign w:val="center"/>
          </w:tcPr>
          <w:p>
            <w:pPr>
              <w:pStyle w:val="TableContents"/>
              <w:spacing w:before="0" w:after="283"/>
              <w:jc w:val="right"/>
              <w:rPr/>
            </w:pPr>
            <w:r>
              <w:rPr/>
              <w:t>6,496,059</w:t>
            </w:r>
          </w:p>
        </w:tc>
        <w:tc>
          <w:tcPr>
            <w:tcW w:w="135" w:type="dxa"/>
            <w:tcBorders/>
            <w:shd w:fill="FFFFFF" w:val="clear"/>
            <w:vAlign w:val="center"/>
          </w:tcPr>
          <w:p>
            <w:pPr>
              <w:pStyle w:val="TableContents"/>
              <w:spacing w:before="0" w:after="0"/>
              <w:ind w:left="0" w:right="0" w:hanging="0"/>
              <w:rPr/>
            </w:pPr>
            <w:r>
              <w:rPr/>
              <w:t> </w:t>
            </w:r>
          </w:p>
        </w:tc>
      </w:tr>
      <w:tr>
        <w:trPr/>
        <w:tc>
          <w:tcPr>
            <w:tcW w:w="3335" w:type="dxa"/>
            <w:tcBorders/>
            <w:shd w:fill="CCEE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Total loss and loss adjustment expenses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5" w:space="0" w:color="000000"/>
            </w:tcBorders>
            <w:shd w:fill="CCEEFF" w:val="clear"/>
            <w:tcMar>
              <w:bottom w:w="28" w:type="dxa"/>
            </w:tcMar>
            <w:vAlign w:val="center"/>
          </w:tcPr>
          <w:p>
            <w:pPr>
              <w:pStyle w:val="TableContents"/>
              <w:spacing w:before="0" w:after="283"/>
              <w:jc w:val="right"/>
              <w:rPr/>
            </w:pPr>
            <w:r>
              <w:rPr/>
              <w:t>94,948,745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17,133,738</w:t>
            </w:r>
          </w:p>
        </w:tc>
        <w:tc>
          <w:tcPr>
            <w:tcW w:w="135" w:type="dxa"/>
            <w:tcBorders/>
            <w:shd w:fill="CCEEFF" w:val="clear"/>
            <w:vAlign w:val="center"/>
          </w:tcPr>
          <w:p>
            <w:pPr>
              <w:pStyle w:val="TableContents"/>
              <w:spacing w:before="0" w:after="0"/>
              <w:ind w:left="0" w:right="0" w:hanging="0"/>
              <w:rPr/>
            </w:pPr>
            <w:r>
              <w:rPr/>
              <w:t> </w:t>
            </w:r>
          </w:p>
        </w:tc>
      </w:tr>
      <w:tr>
        <w:trPr/>
        <w:tc>
          <w:tcPr>
            <w:tcW w:w="3335" w:type="dxa"/>
            <w:tcBorders/>
            <w:shd w:fill="FFFF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Unearned premiums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23,158,700</w:t>
            </w:r>
          </w:p>
        </w:tc>
        <w:tc>
          <w:tcPr>
            <w:tcW w:w="135" w:type="dxa"/>
            <w:tcBorders/>
            <w:shd w:fill="FFFFFF" w:val="clear"/>
            <w:vAlign w:val="center"/>
          </w:tcPr>
          <w:p>
            <w:pPr>
              <w:pStyle w:val="TableContents"/>
              <w:spacing w:before="0" w:after="0"/>
              <w:ind w:left="0" w:right="0" w:hanging="0"/>
              <w:rPr/>
            </w:pPr>
            <w:r>
              <w:rPr/>
              <w:t> </w:t>
            </w:r>
          </w:p>
        </w:tc>
      </w:tr>
      <w:tr>
        <w:trPr/>
        <w:tc>
          <w:tcPr>
            <w:tcW w:w="3335" w:type="dxa"/>
            <w:tcBorders/>
            <w:shd w:fill="CCEE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Receivables - reinsurance contracts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35" w:type="dxa"/>
            <w:tcBorders/>
            <w:shd w:fill="CCEEFF" w:val="clear"/>
            <w:vAlign w:val="center"/>
          </w:tcPr>
          <w:p>
            <w:pPr>
              <w:pStyle w:val="TableContents"/>
              <w:spacing w:before="0" w:after="0"/>
              <w:ind w:left="0" w:right="0" w:hanging="0"/>
              <w:rPr/>
            </w:pPr>
            <w:r>
              <w:rPr/>
              <w:t> </w:t>
            </w:r>
          </w:p>
        </w:tc>
      </w:tr>
      <w:tr>
        <w:trPr/>
        <w:tc>
          <w:tcPr>
            <w:tcW w:w="3335" w:type="dxa"/>
            <w:tcBorders/>
            <w:shd w:fill="FFFF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Total reinsurance receivables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double" w:sz="5" w:space="0" w:color="000000"/>
            </w:tcBorders>
            <w:shd w:fill="FFFFFF" w:val="clear"/>
            <w:tcMar>
              <w:bottom w:w="28" w:type="dxa"/>
            </w:tcMar>
            <w:vAlign w:val="center"/>
          </w:tcPr>
          <w:p>
            <w:pPr>
              <w:pStyle w:val="TableContents"/>
              <w:spacing w:before="0" w:after="283"/>
              <w:rPr/>
            </w:pPr>
            <w:r>
              <w:rPr/>
              <w:t>$</w:t>
            </w:r>
          </w:p>
        </w:tc>
        <w:tc>
          <w:tcPr>
            <w:tcW w:w="1130" w:type="dxa"/>
            <w:tcBorders>
              <w:bottom w:val="double" w:sz="5" w:space="0" w:color="000000"/>
            </w:tcBorders>
            <w:shd w:fill="FFFFFF" w:val="clear"/>
            <w:tcMar>
              <w:bottom w:w="28" w:type="dxa"/>
            </w:tcMar>
            <w:vAlign w:val="center"/>
          </w:tcPr>
          <w:p>
            <w:pPr>
              <w:pStyle w:val="TableContents"/>
              <w:spacing w:before="0" w:after="283"/>
              <w:jc w:val="right"/>
              <w:rPr/>
            </w:pPr>
            <w:r>
              <w:rPr/>
              <w:t>40,292,438</w:t>
            </w:r>
          </w:p>
        </w:tc>
        <w:tc>
          <w:tcPr>
            <w:tcW w:w="135" w:type="dxa"/>
            <w:tcBorders/>
            <w:shd w:fill="FFFFFF" w:val="clear"/>
            <w:vAlign w:val="center"/>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20"/>
        </w:rPr>
      </w:pPr>
      <w:r>
        <w:rPr>
          <w:rFonts w:ascii="times new roman" w:hAnsi="times new roman"/>
          <w:sz w:val="20"/>
        </w:rPr>
        <w:t>The following table provides a reconciliation of the beginning and ending balances for unpaid losses and LAE:</w:t>
      </w:r>
    </w:p>
    <w:p>
      <w:pPr>
        <w:pStyle w:val="TextBody"/>
        <w:spacing w:before="0" w:after="0"/>
        <w:ind w:left="0" w:right="0" w:hanging="0"/>
        <w:rPr/>
      </w:pPr>
      <w:r>
        <w:rPr/>
        <w:t> </w:t>
      </w:r>
    </w:p>
    <w:tbl>
      <w:tblPr>
        <w:tblW w:w="6545" w:type="dxa"/>
        <w:jc w:val="left"/>
        <w:tblInd w:w="0" w:type="dxa"/>
        <w:tblCellMar>
          <w:top w:w="0" w:type="dxa"/>
          <w:left w:w="0" w:type="dxa"/>
          <w:bottom w:w="0" w:type="dxa"/>
          <w:right w:w="0" w:type="dxa"/>
        </w:tblCellMar>
      </w:tblPr>
      <w:tblGrid>
        <w:gridCol w:w="3230"/>
        <w:gridCol w:w="90"/>
        <w:gridCol w:w="170"/>
        <w:gridCol w:w="1250"/>
        <w:gridCol w:w="125"/>
        <w:gridCol w:w="90"/>
        <w:gridCol w:w="170"/>
        <w:gridCol w:w="1250"/>
        <w:gridCol w:w="170"/>
      </w:tblGrid>
      <w:tr>
        <w:trPr/>
        <w:tc>
          <w:tcPr>
            <w:tcW w:w="323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3055" w:type="dxa"/>
            <w:gridSpan w:val="6"/>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Years ended </w:t>
            </w:r>
          </w:p>
        </w:tc>
        <w:tc>
          <w:tcPr>
            <w:tcW w:w="170" w:type="dxa"/>
            <w:tcBorders/>
            <w:shd w:fill="auto" w:val="clear"/>
            <w:vAlign w:val="center"/>
          </w:tcPr>
          <w:p>
            <w:pPr>
              <w:pStyle w:val="TableContents"/>
              <w:spacing w:before="0" w:after="0"/>
              <w:ind w:left="0" w:right="0" w:hanging="0"/>
              <w:rPr/>
            </w:pPr>
            <w:r>
              <w:rPr>
                <w:rStyle w:val="StrongEmphasis"/>
              </w:rPr>
              <w:t> </w:t>
            </w:r>
          </w:p>
        </w:tc>
      </w:tr>
      <w:tr>
        <w:trPr/>
        <w:tc>
          <w:tcPr>
            <w:tcW w:w="323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3055" w:type="dxa"/>
            <w:gridSpan w:val="6"/>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w:t>
            </w:r>
          </w:p>
        </w:tc>
        <w:tc>
          <w:tcPr>
            <w:tcW w:w="170" w:type="dxa"/>
            <w:tcBorders/>
            <w:shd w:fill="auto" w:val="clear"/>
            <w:vAlign w:val="center"/>
          </w:tcPr>
          <w:p>
            <w:pPr>
              <w:pStyle w:val="TableContents"/>
              <w:spacing w:before="0" w:after="0"/>
              <w:ind w:left="0" w:right="0" w:hanging="0"/>
              <w:rPr/>
            </w:pPr>
            <w:r>
              <w:rPr>
                <w:rStyle w:val="StrongEmphasis"/>
              </w:rPr>
              <w:t> </w:t>
            </w:r>
          </w:p>
        </w:tc>
      </w:tr>
      <w:tr>
        <w:trPr/>
        <w:tc>
          <w:tcPr>
            <w:tcW w:w="323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42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2022</w:t>
            </w:r>
          </w:p>
        </w:tc>
        <w:tc>
          <w:tcPr>
            <w:tcW w:w="12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42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2021</w:t>
            </w:r>
          </w:p>
        </w:tc>
        <w:tc>
          <w:tcPr>
            <w:tcW w:w="170" w:type="dxa"/>
            <w:tcBorders/>
            <w:shd w:fill="auto" w:val="clear"/>
            <w:vAlign w:val="center"/>
          </w:tcPr>
          <w:p>
            <w:pPr>
              <w:pStyle w:val="TableContents"/>
              <w:spacing w:before="0" w:after="0"/>
              <w:ind w:left="0" w:right="0" w:hanging="0"/>
              <w:rPr/>
            </w:pPr>
            <w:r>
              <w:rPr/>
              <w:t> </w:t>
            </w:r>
          </w:p>
        </w:tc>
      </w:tr>
      <w:tr>
        <w:trPr/>
        <w:tc>
          <w:tcPr>
            <w:tcW w:w="323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1680" w:type="dxa"/>
            <w:gridSpan w:val="4"/>
            <w:tcBorders/>
            <w:shd w:fill="auto" w:val="clear"/>
            <w:vAlign w:val="center"/>
          </w:tcPr>
          <w:p>
            <w:pPr>
              <w:pStyle w:val="TableContents"/>
              <w:spacing w:before="0" w:after="0"/>
              <w:ind w:left="0" w:right="0" w:hanging="0"/>
              <w:rPr/>
            </w:pPr>
            <w:r>
              <w:rPr/>
              <w:t> </w:t>
            </w:r>
          </w:p>
        </w:tc>
      </w:tr>
      <w:tr>
        <w:trPr/>
        <w:tc>
          <w:tcPr>
            <w:tcW w:w="3230" w:type="dxa"/>
            <w:tcBorders/>
            <w:shd w:fill="CCEEFF" w:val="clear"/>
            <w:vAlign w:val="center"/>
          </w:tcPr>
          <w:p>
            <w:pPr>
              <w:pStyle w:val="TableContents"/>
              <w:spacing w:before="0" w:after="283"/>
              <w:rPr/>
            </w:pPr>
            <w:r>
              <w:rPr/>
              <w:t xml:space="preserve">Balance at beginning of period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94,948,745</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82,801,228</w:t>
            </w:r>
          </w:p>
        </w:tc>
        <w:tc>
          <w:tcPr>
            <w:tcW w:w="170" w:type="dxa"/>
            <w:tcBorders/>
            <w:shd w:fill="CCEEFF" w:val="clear"/>
            <w:vAlign w:val="center"/>
          </w:tcPr>
          <w:p>
            <w:pPr>
              <w:pStyle w:val="TableContents"/>
              <w:spacing w:before="0" w:after="0"/>
              <w:ind w:left="0" w:right="0" w:hanging="0"/>
              <w:rPr/>
            </w:pPr>
            <w:r>
              <w:rPr/>
              <w:t> </w:t>
            </w:r>
          </w:p>
        </w:tc>
      </w:tr>
      <w:tr>
        <w:trPr/>
        <w:tc>
          <w:tcPr>
            <w:tcW w:w="3230"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Less reinsurance recoverables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(10,637,679</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(20,154,251</w:t>
            </w:r>
          </w:p>
        </w:tc>
        <w:tc>
          <w:tcPr>
            <w:tcW w:w="170" w:type="dxa"/>
            <w:tcBorders/>
            <w:shd w:fill="FFFFFF" w:val="clear"/>
            <w:vAlign w:val="center"/>
          </w:tcPr>
          <w:p>
            <w:pPr>
              <w:pStyle w:val="TableContents"/>
              <w:spacing w:before="0" w:after="283"/>
              <w:rPr/>
            </w:pPr>
            <w:r>
              <w:rPr/>
              <w:t>)</w:t>
            </w:r>
          </w:p>
        </w:tc>
      </w:tr>
      <w:tr>
        <w:trPr/>
        <w:tc>
          <w:tcPr>
            <w:tcW w:w="3230" w:type="dxa"/>
            <w:tcBorders/>
            <w:shd w:fill="CCEEFF" w:val="clear"/>
            <w:vAlign w:val="center"/>
          </w:tcPr>
          <w:p>
            <w:pPr>
              <w:pStyle w:val="TableContents"/>
              <w:spacing w:before="0" w:after="283"/>
              <w:rPr/>
            </w:pPr>
            <w:r>
              <w:rPr/>
              <w:t xml:space="preserve">Net balance, beginning of period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84,311,066</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62,646,977</w:t>
            </w:r>
          </w:p>
        </w:tc>
        <w:tc>
          <w:tcPr>
            <w:tcW w:w="170" w:type="dxa"/>
            <w:tcBorders/>
            <w:shd w:fill="CCEEFF" w:val="clear"/>
            <w:vAlign w:val="center"/>
          </w:tcPr>
          <w:p>
            <w:pPr>
              <w:pStyle w:val="TableContents"/>
              <w:spacing w:before="0" w:after="0"/>
              <w:ind w:left="0" w:right="0" w:hanging="0"/>
              <w:rPr/>
            </w:pPr>
            <w:r>
              <w:rPr/>
              <w:t> </w:t>
            </w:r>
          </w:p>
        </w:tc>
      </w:tr>
      <w:tr>
        <w:trPr/>
        <w:tc>
          <w:tcPr>
            <w:tcW w:w="32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3230"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Incurred related to: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3230"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Current year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85,690,180</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101,987,855</w:t>
            </w:r>
          </w:p>
        </w:tc>
        <w:tc>
          <w:tcPr>
            <w:tcW w:w="170" w:type="dxa"/>
            <w:tcBorders/>
            <w:shd w:fill="FFFFFF" w:val="clear"/>
            <w:vAlign w:val="center"/>
          </w:tcPr>
          <w:p>
            <w:pPr>
              <w:pStyle w:val="TableContents"/>
              <w:spacing w:before="0" w:after="0"/>
              <w:ind w:left="0" w:right="0" w:hanging="0"/>
              <w:rPr/>
            </w:pPr>
            <w:r>
              <w:rPr/>
              <w:t> </w:t>
            </w:r>
          </w:p>
        </w:tc>
      </w:tr>
      <w:tr>
        <w:trPr/>
        <w:tc>
          <w:tcPr>
            <w:tcW w:w="3230"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Prior years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2,699,862</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(15,259</w:t>
            </w:r>
          </w:p>
        </w:tc>
        <w:tc>
          <w:tcPr>
            <w:tcW w:w="170" w:type="dxa"/>
            <w:tcBorders/>
            <w:shd w:fill="CCEEFF" w:val="clear"/>
            <w:vAlign w:val="center"/>
          </w:tcPr>
          <w:p>
            <w:pPr>
              <w:pStyle w:val="TableContents"/>
              <w:spacing w:before="0" w:after="283"/>
              <w:rPr/>
            </w:pPr>
            <w:r>
              <w:rPr/>
              <w:t>)</w:t>
            </w:r>
          </w:p>
        </w:tc>
      </w:tr>
      <w:tr>
        <w:trPr/>
        <w:tc>
          <w:tcPr>
            <w:tcW w:w="3230"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Total incurred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88,390,042</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101,972,596</w:t>
            </w:r>
          </w:p>
        </w:tc>
        <w:tc>
          <w:tcPr>
            <w:tcW w:w="170" w:type="dxa"/>
            <w:tcBorders/>
            <w:shd w:fill="FFFFFF" w:val="clear"/>
            <w:vAlign w:val="center"/>
          </w:tcPr>
          <w:p>
            <w:pPr>
              <w:pStyle w:val="TableContents"/>
              <w:spacing w:before="0" w:after="0"/>
              <w:ind w:left="0" w:right="0" w:hanging="0"/>
              <w:rPr/>
            </w:pPr>
            <w:r>
              <w:rPr/>
              <w:t> </w:t>
            </w:r>
          </w:p>
        </w:tc>
      </w:tr>
      <w:tr>
        <w:trPr/>
        <w:tc>
          <w:tcPr>
            <w:tcW w:w="32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r>
      <w:tr>
        <w:trPr/>
        <w:tc>
          <w:tcPr>
            <w:tcW w:w="3230"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Paid related to: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3230"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Current year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49,602,585</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60,171,695</w:t>
            </w:r>
          </w:p>
        </w:tc>
        <w:tc>
          <w:tcPr>
            <w:tcW w:w="170" w:type="dxa"/>
            <w:tcBorders/>
            <w:shd w:fill="CCEEFF" w:val="clear"/>
            <w:vAlign w:val="center"/>
          </w:tcPr>
          <w:p>
            <w:pPr>
              <w:pStyle w:val="TableContents"/>
              <w:spacing w:before="0" w:after="0"/>
              <w:ind w:left="0" w:right="0" w:hanging="0"/>
              <w:rPr/>
            </w:pPr>
            <w:r>
              <w:rPr/>
              <w:t> </w:t>
            </w:r>
          </w:p>
        </w:tc>
      </w:tr>
      <w:tr>
        <w:trPr/>
        <w:tc>
          <w:tcPr>
            <w:tcW w:w="3230"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Prior years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32,418,510</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20,136,812</w:t>
            </w:r>
          </w:p>
        </w:tc>
        <w:tc>
          <w:tcPr>
            <w:tcW w:w="170" w:type="dxa"/>
            <w:tcBorders/>
            <w:shd w:fill="FFFFFF" w:val="clear"/>
            <w:vAlign w:val="center"/>
          </w:tcPr>
          <w:p>
            <w:pPr>
              <w:pStyle w:val="TableContents"/>
              <w:spacing w:before="0" w:after="0"/>
              <w:ind w:left="0" w:right="0" w:hanging="0"/>
              <w:rPr/>
            </w:pPr>
            <w:r>
              <w:rPr/>
              <w:t> </w:t>
            </w:r>
          </w:p>
        </w:tc>
      </w:tr>
      <w:tr>
        <w:trPr/>
        <w:tc>
          <w:tcPr>
            <w:tcW w:w="3230"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Total paid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82,021,095</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CCEEFF" w:val="clear"/>
            <w:tcMar>
              <w:bottom w:w="28" w:type="dxa"/>
            </w:tcMar>
            <w:vAlign w:val="center"/>
          </w:tcPr>
          <w:p>
            <w:pPr>
              <w:pStyle w:val="TableContents"/>
              <w:spacing w:before="0" w:after="283"/>
              <w:jc w:val="right"/>
              <w:rPr/>
            </w:pPr>
            <w:r>
              <w:rPr/>
              <w:t>80,308,507</w:t>
            </w:r>
          </w:p>
        </w:tc>
        <w:tc>
          <w:tcPr>
            <w:tcW w:w="170" w:type="dxa"/>
            <w:tcBorders/>
            <w:shd w:fill="CCEEFF" w:val="clear"/>
            <w:vAlign w:val="center"/>
          </w:tcPr>
          <w:p>
            <w:pPr>
              <w:pStyle w:val="TableContents"/>
              <w:spacing w:before="0" w:after="0"/>
              <w:ind w:left="0" w:right="0" w:hanging="0"/>
              <w:rPr/>
            </w:pPr>
            <w:r>
              <w:rPr/>
              <w:t> </w:t>
            </w:r>
          </w:p>
        </w:tc>
      </w:tr>
      <w:tr>
        <w:trPr/>
        <w:tc>
          <w:tcPr>
            <w:tcW w:w="32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r>
      <w:tr>
        <w:trPr/>
        <w:tc>
          <w:tcPr>
            <w:tcW w:w="3230"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Net balance at end of period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90,680,013</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84,311,066</w:t>
            </w:r>
          </w:p>
        </w:tc>
        <w:tc>
          <w:tcPr>
            <w:tcW w:w="170" w:type="dxa"/>
            <w:tcBorders/>
            <w:shd w:fill="CCEEFF" w:val="clear"/>
            <w:vAlign w:val="center"/>
          </w:tcPr>
          <w:p>
            <w:pPr>
              <w:pStyle w:val="TableContents"/>
              <w:spacing w:before="0" w:after="0"/>
              <w:ind w:left="0" w:right="0" w:hanging="0"/>
              <w:rPr/>
            </w:pPr>
            <w:r>
              <w:rPr/>
              <w:t> </w:t>
            </w:r>
          </w:p>
        </w:tc>
      </w:tr>
      <w:tr>
        <w:trPr/>
        <w:tc>
          <w:tcPr>
            <w:tcW w:w="3230"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Add reinsurance recoverables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27,659,500</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50" w:type="dxa"/>
            <w:tcBorders>
              <w:bottom w:val="single" w:sz="2" w:space="0" w:color="000000"/>
            </w:tcBorders>
            <w:shd w:fill="FFFFFF" w:val="clear"/>
            <w:tcMar>
              <w:bottom w:w="28" w:type="dxa"/>
            </w:tcMar>
            <w:vAlign w:val="center"/>
          </w:tcPr>
          <w:p>
            <w:pPr>
              <w:pStyle w:val="TableContents"/>
              <w:spacing w:before="0" w:after="283"/>
              <w:jc w:val="right"/>
              <w:rPr/>
            </w:pPr>
            <w:r>
              <w:rPr/>
              <w:t>10,637,679</w:t>
            </w:r>
          </w:p>
        </w:tc>
        <w:tc>
          <w:tcPr>
            <w:tcW w:w="170" w:type="dxa"/>
            <w:tcBorders/>
            <w:shd w:fill="FFFFFF" w:val="clear"/>
            <w:vAlign w:val="center"/>
          </w:tcPr>
          <w:p>
            <w:pPr>
              <w:pStyle w:val="TableContents"/>
              <w:spacing w:before="0" w:after="0"/>
              <w:ind w:left="0" w:right="0" w:hanging="0"/>
              <w:rPr/>
            </w:pPr>
            <w:r>
              <w:rPr/>
              <w:t> </w:t>
            </w:r>
          </w:p>
        </w:tc>
      </w:tr>
      <w:tr>
        <w:trPr/>
        <w:tc>
          <w:tcPr>
            <w:tcW w:w="3230" w:type="dxa"/>
            <w:tcBorders/>
            <w:shd w:fill="CCEEFF" w:val="clear"/>
            <w:vAlign w:val="center"/>
          </w:tcPr>
          <w:p>
            <w:pPr>
              <w:pStyle w:val="TableContents"/>
              <w:spacing w:before="0" w:after="283"/>
              <w:rPr/>
            </w:pPr>
            <w:r>
              <w:rPr/>
              <w:t xml:space="preserve">Balance at end of period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5" w:space="0" w:color="000000"/>
            </w:tcBorders>
            <w:shd w:fill="CCEEFF" w:val="clear"/>
            <w:tcMar>
              <w:bottom w:w="28" w:type="dxa"/>
            </w:tcMar>
            <w:vAlign w:val="center"/>
          </w:tcPr>
          <w:p>
            <w:pPr>
              <w:pStyle w:val="TableContents"/>
              <w:spacing w:before="0" w:after="283"/>
              <w:jc w:val="right"/>
              <w:rPr/>
            </w:pPr>
            <w:r>
              <w:rPr/>
              <w:t>118,339,513</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1250" w:type="dxa"/>
            <w:tcBorders>
              <w:bottom w:val="double" w:sz="5" w:space="0" w:color="000000"/>
            </w:tcBorders>
            <w:shd w:fill="CCEEFF" w:val="clear"/>
            <w:tcMar>
              <w:bottom w:w="28" w:type="dxa"/>
            </w:tcMar>
            <w:vAlign w:val="center"/>
          </w:tcPr>
          <w:p>
            <w:pPr>
              <w:pStyle w:val="TableContents"/>
              <w:spacing w:before="0" w:after="283"/>
              <w:jc w:val="right"/>
              <w:rPr/>
            </w:pPr>
            <w:r>
              <w:rPr/>
              <w:t>94,948,745</w:t>
            </w:r>
          </w:p>
        </w:tc>
        <w:tc>
          <w:tcPr>
            <w:tcW w:w="170"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jc w:val="center"/>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F-38</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xml:space="preserve">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2022 AND 2021</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20"/>
        </w:rPr>
      </w:pPr>
      <w:r>
        <w:rPr>
          <w:rFonts w:ascii="times new roman" w:hAnsi="times new roman"/>
          <w:sz w:val="20"/>
        </w:rPr>
        <w:t>Incurred losses and LAE are net of reinsurance recoveries under reinsurance contracts of $39,658,365 and $968,220 for the years ended December 31, 2022 and 2021, respectively.</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Prior year incurred loss and LAE development is based upon estimates by line of business and accident year. Prior year loss and LAE development incurred during the years ended December 31, 2022 and 2021 was $2,699,862 unfavorable and 15,259 favorable, respectively.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Loss and LAE reserves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reserving process for loss and LAE reserves provides for the Company’s best estimate at a particular point in time of the ultimate unpaid cost of all losses and LAE incurred, including settlement and administration of losses, and is based on facts and circumstances then known including losses that have occurred but that have not yet been reported. The process relies on standard actuarial reserving methodologies, judgments relative to estimates of ultimate claim severity and frequency, the length of time before losses will develop to their ultimate level (‘tail’ factors), and the likelihood of changes in the law or other external factors that are beyond the Company’s control. Several actuarial reserving methodologies are used to estimate required loss reserves. The process produces carried reserves set by management based upon the actuaries’ best estimate and is the cumulative combination of the best estimates made by line of business, accident year, and loss and LAE. The amount of loss and LAE reserves for individual reported claims (the “case reserve”) is determined by the claims department and changes over time as new information is gathered.  Such information is critical to the review of appropriate IBNR reserves and includes a review of coverage applicability, comparative liability on the part of the insured, injury severity, property damage, replacement cost estimates, and any other information considered pertinent to estimating the exposure presented by the claim. The amounts of loss and LAE reserves for unreported claims and development on known claims (IBNR reserves) are determined using historical information aggregated by line of insurance as adjusted to current conditions. Since this process produces loss reserves set by management based upon the actuaries’ best estimate, there is no explicit or implicit provision for uncertainty in the carried loss reserves.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Due to the inherent uncertainty associated with the reserving process, the ultimate liability may differ, perhaps substantially, from the original estimate. Such estimates are regularly reviewed and updated and any resulting adjustments are included in the current period’s results. Reserves are closely monitored and are recomputed periodically using the most recent information on reported claims and a variety of statistical techniques. On at least a quarterly basis, the Company reviews by line of business existing reserves, new claims, changes to existing case reserves, and paid losses with respect to the current and prior periods. Several methods are used, varying by line of business and accident year, in order to select the estimated period-end loss reserves.  These methods include the following:</w:t>
      </w:r>
    </w:p>
    <w:p>
      <w:pPr>
        <w:pStyle w:val="TextBody"/>
        <w:spacing w:before="0" w:after="0"/>
        <w:ind w:left="0" w:right="0" w:hanging="0"/>
        <w:jc w:val="both"/>
        <w:rPr/>
      </w:pPr>
      <w:r>
        <w:rPr/>
        <w:t> </w:t>
      </w:r>
    </w:p>
    <w:p>
      <w:pPr>
        <w:pStyle w:val="TextBody"/>
        <w:spacing w:before="0" w:after="0"/>
        <w:ind w:left="720" w:right="0" w:hanging="0"/>
        <w:jc w:val="both"/>
        <w:rPr/>
      </w:pPr>
      <w:r>
        <w:rPr>
          <w:rStyle w:val="Emphasis"/>
          <w:rFonts w:ascii="times new roman" w:hAnsi="times new roman"/>
          <w:sz w:val="20"/>
        </w:rPr>
        <w:t>Paid Loss Development</w:t>
      </w:r>
      <w:r>
        <w:rPr>
          <w:rFonts w:ascii="times new roman" w:hAnsi="times new roman"/>
          <w:sz w:val="20"/>
        </w:rPr>
        <w:t xml:space="preserve"> – historical patterns of paid loss development are used to project future paid loss emergence in order to estimate required reserves.</w:t>
      </w:r>
    </w:p>
    <w:p>
      <w:pPr>
        <w:pStyle w:val="TextBody"/>
        <w:spacing w:before="0" w:after="0"/>
        <w:ind w:left="0" w:right="0" w:hanging="0"/>
        <w:jc w:val="both"/>
        <w:rPr/>
      </w:pPr>
      <w:r>
        <w:rPr/>
        <w:t> </w:t>
      </w:r>
    </w:p>
    <w:p>
      <w:pPr>
        <w:pStyle w:val="TextBody"/>
        <w:spacing w:before="0" w:after="0"/>
        <w:ind w:left="720" w:right="0" w:hanging="0"/>
        <w:jc w:val="both"/>
        <w:rPr/>
      </w:pPr>
      <w:r>
        <w:rPr>
          <w:rStyle w:val="Emphasis"/>
          <w:rFonts w:ascii="times new roman" w:hAnsi="times new roman"/>
          <w:sz w:val="20"/>
        </w:rPr>
        <w:t>Incurred Loss Development</w:t>
      </w:r>
      <w:r>
        <w:rPr>
          <w:rFonts w:ascii="times new roman" w:hAnsi="times new roman"/>
          <w:sz w:val="20"/>
        </w:rPr>
        <w:t xml:space="preserve"> – historical patterns of incurred loss development, reflecting both paid losses and changes in case reserves, are used to project future incurred loss emergence in order to estimate required reserves.</w:t>
      </w:r>
    </w:p>
    <w:p>
      <w:pPr>
        <w:pStyle w:val="TextBody"/>
        <w:spacing w:before="0" w:after="0"/>
        <w:ind w:left="0" w:right="0" w:hanging="0"/>
        <w:jc w:val="both"/>
        <w:rPr/>
      </w:pPr>
      <w:r>
        <w:rPr/>
        <w:t> </w:t>
      </w:r>
    </w:p>
    <w:p>
      <w:pPr>
        <w:pStyle w:val="TextBody"/>
        <w:spacing w:before="0" w:after="0"/>
        <w:ind w:left="720" w:right="0" w:hanging="0"/>
        <w:jc w:val="both"/>
        <w:rPr/>
      </w:pPr>
      <w:r>
        <w:rPr>
          <w:rStyle w:val="Emphasis"/>
          <w:rFonts w:ascii="times new roman" w:hAnsi="times new roman"/>
          <w:sz w:val="20"/>
        </w:rPr>
        <w:t>Paid Bornhuetter-Ferguson (“BF”)</w:t>
      </w:r>
      <w:r>
        <w:rPr>
          <w:rFonts w:ascii="times new roman" w:hAnsi="times new roman"/>
          <w:sz w:val="20"/>
        </w:rPr>
        <w:t xml:space="preserve"> – an estimated loss ratio for a particular accident year is determined, and is weighted against the portion of the accident year claims that have been paid, based on historical paid loss development patterns.  The estimate of required reserves assumes that the remaining unpaid portion of a particular accident year will pay out at a rate consistent with the estimated loss ratio for that year.  This method can be useful for situations where an unusually high or low amount of paid losses exists at the early stages of the claims development process.</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F-39</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2022 AND 2021</w:t>
      </w:r>
    </w:p>
    <w:p>
      <w:pPr>
        <w:pStyle w:val="TextBody"/>
        <w:spacing w:before="0" w:after="0"/>
        <w:ind w:left="0" w:right="0" w:hanging="0"/>
        <w:jc w:val="center"/>
        <w:rPr/>
      </w:pPr>
      <w:r>
        <w:rPr/>
        <w:t> </w:t>
      </w:r>
    </w:p>
    <w:p>
      <w:pPr>
        <w:pStyle w:val="TextBody"/>
        <w:spacing w:before="0" w:after="0"/>
        <w:ind w:left="720" w:right="0" w:hanging="0"/>
        <w:jc w:val="both"/>
        <w:rPr/>
      </w:pPr>
      <w:r>
        <w:rPr>
          <w:rStyle w:val="Emphasis"/>
          <w:rFonts w:ascii="times new roman" w:hAnsi="times new roman"/>
          <w:sz w:val="20"/>
        </w:rPr>
        <w:t>Incurred Bornhuetter-Ferguson (“BF”)</w:t>
      </w:r>
      <w:r>
        <w:rPr>
          <w:rFonts w:ascii="times new roman" w:hAnsi="times new roman"/>
          <w:sz w:val="20"/>
        </w:rPr>
        <w:t xml:space="preserve"> - an estimated loss ratio for a particular accident year is determined, and is weighted against the portion of the accident year claims that have been reported, based on historical incurred loss development patterns.  The estimate of required reserves assumes that the remaining unreported portion of a particular accident year will pay out at a rate consistent with the estimated loss ratio for that year.  This method can be useful for situations where an unusually high or low amount of reported losses exists at the early stages of the claims development process.</w:t>
      </w:r>
    </w:p>
    <w:p>
      <w:pPr>
        <w:pStyle w:val="TextBody"/>
        <w:spacing w:before="0" w:after="0"/>
        <w:ind w:left="0" w:right="0" w:hanging="0"/>
        <w:jc w:val="both"/>
        <w:rPr/>
      </w:pPr>
      <w:r>
        <w:rPr/>
        <w:t> </w:t>
      </w:r>
    </w:p>
    <w:p>
      <w:pPr>
        <w:pStyle w:val="TextBody"/>
        <w:spacing w:before="0" w:after="0"/>
        <w:ind w:left="720" w:right="0" w:hanging="0"/>
        <w:jc w:val="both"/>
        <w:rPr/>
      </w:pPr>
      <w:r>
        <w:rPr>
          <w:rStyle w:val="Emphasis"/>
          <w:rFonts w:ascii="times new roman" w:hAnsi="times new roman"/>
          <w:sz w:val="20"/>
        </w:rPr>
        <w:t xml:space="preserve">Incremental Claim-Based Methods </w:t>
      </w:r>
      <w:r>
        <w:rPr>
          <w:rFonts w:ascii="times new roman" w:hAnsi="times new roman"/>
          <w:sz w:val="20"/>
        </w:rPr>
        <w:t>– historical patterns of incremental incurred losses and paid LAE during various stages of development are reviewed and assumptions are made regarding average loss and LAE development applied to remaining claims inventory.  Such methods more properly reflect changes in the speed of claims closure and the relative adequacy of case reserve levels at various stages of development.  These methods may provide a more accurate estimate of IBNR for lines of business with relatively few remaining open claims but for which significant recent settlement activity has occurred.</w:t>
      </w:r>
    </w:p>
    <w:p>
      <w:pPr>
        <w:pStyle w:val="TextBody"/>
        <w:spacing w:before="0" w:after="0"/>
        <w:ind w:left="0" w:right="0" w:hanging="0"/>
        <w:jc w:val="both"/>
        <w:rPr/>
      </w:pPr>
      <w:r>
        <w:rPr/>
        <w:t> </w:t>
      </w:r>
    </w:p>
    <w:p>
      <w:pPr>
        <w:pStyle w:val="TextBody"/>
        <w:spacing w:before="0" w:after="0"/>
        <w:ind w:left="720" w:right="0" w:hanging="0"/>
        <w:jc w:val="both"/>
        <w:rPr/>
      </w:pPr>
      <w:r>
        <w:rPr>
          <w:rStyle w:val="Emphasis"/>
          <w:rFonts w:ascii="times new roman" w:hAnsi="times new roman"/>
          <w:sz w:val="20"/>
        </w:rPr>
        <w:t>Frequency / Severity Based Methods</w:t>
      </w:r>
      <w:r>
        <w:rPr>
          <w:rFonts w:ascii="times new roman" w:hAnsi="times new roman"/>
          <w:sz w:val="20"/>
        </w:rPr>
        <w:t xml:space="preserve"> – historical measurements of claim frequency and average paid claim size (severity) are reviewed for more mature accident years where a majority of claims have been reported and/or closed.  These historical averages are trended forward to more recent periods in order to estimate ultimate losses for newer accident years that are not yet fully developed.  These methods are useful for lines of business with slow and/or volatile loss development patterns, such as liability lines where information pertaining to individual cases may not be completely known for many years.  The claim frequency and severity information for older periods can then be used as reasonable measures for developing a range of estimates for more recent immature periods. </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Management’s best estimate of required reserves is generally based on an average of the methods above, with appropriate weighting of methods based on the line of business and accident year being projected. In some cases, additional methods or historical data from industry sources are employed to supplement the projections derived from the methods listed above.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Three key assumptions that materially affect the estimate of loss reserves are the loss ratio estimate for the current accident year used in the BF methods, the loss development factor selections used in the loss development methods, and the loss severity assumptions used in the frequency / severity method described above. The loss ratio estimates used in the BF methods are selected after reviewing historical accident year loss ratios adjusted for rate changes, trend, and mix of business.  The severity assumptions used in the frequency / severity method are determined by reviewing historical average claim severity for older more mature accident periods, trended forward to less mature accident periods.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COVID-19 has introduced additional uncertainty to recent claim trends. The Company reviews the carried reserves levels on a regular basis as additional information becomes available and makes adjustments in the periods in which such adjustments are determined to be necessary. The Company is not aware of any other claim trends that have emerged or that would cause future adverse development that have not already been contemplated in setting current carried reserves levels.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 New York State, lawsuits for negligence are subject to certain limitations and must be commenced within three years from the date of the accident or are otherwise barred. Accordingly, the Company’s exposure to unreported claims (“pure” IBNR) for accident dates of December 31, 2019 and prior is limited, although there remains the possibility of adverse development on reported claims (“case development” IBNR).  In certain rare circumstances states have retroactively revised a statute of limitations.  The Company is not aware of any such effort that would have a material impact on the Company’s results.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F-40</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2022 AND 2021</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is information about incurred and paid claims development as of December 31, 2022, net of reinsurance, as well as the cumulative reported claims by accident year and total IBNR reserves as of December 31, 2022 included in the net incurred loss and allocated expense amounts. The historical information regarding incurred and paid claims development for the years ended December 31, 2013 to December 31, 2021 is presented as supplementary unaudited information.</w:t>
      </w:r>
    </w:p>
    <w:p>
      <w:pPr>
        <w:pStyle w:val="TextBody"/>
        <w:spacing w:before="0" w:after="0"/>
        <w:ind w:left="0" w:right="0" w:hanging="0"/>
        <w:jc w:val="both"/>
        <w:rPr/>
      </w:pPr>
      <w:r>
        <w:rPr/>
        <w:t> </w:t>
      </w:r>
    </w:p>
    <w:tbl>
      <w:tblPr>
        <w:tblW w:w="13845" w:type="dxa"/>
        <w:jc w:val="left"/>
        <w:tblInd w:w="0" w:type="dxa"/>
        <w:tblCellMar>
          <w:top w:w="0" w:type="dxa"/>
          <w:left w:w="0" w:type="dxa"/>
          <w:bottom w:w="0" w:type="dxa"/>
          <w:right w:w="0" w:type="dxa"/>
        </w:tblCellMar>
      </w:tblPr>
      <w:tblGrid>
        <w:gridCol w:w="800"/>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830"/>
        <w:gridCol w:w="90"/>
        <w:gridCol w:w="90"/>
        <w:gridCol w:w="170"/>
        <w:gridCol w:w="710"/>
        <w:gridCol w:w="90"/>
        <w:gridCol w:w="90"/>
        <w:gridCol w:w="137"/>
        <w:gridCol w:w="903"/>
        <w:gridCol w:w="135"/>
      </w:tblGrid>
      <w:tr>
        <w:trPr/>
        <w:tc>
          <w:tcPr>
            <w:tcW w:w="2830" w:type="dxa"/>
            <w:gridSpan w:val="8"/>
            <w:tcBorders/>
            <w:shd w:fill="auto" w:val="clear"/>
            <w:vAlign w:val="center"/>
          </w:tcPr>
          <w:p>
            <w:pPr>
              <w:pStyle w:val="TableContents"/>
              <w:spacing w:before="0" w:after="0"/>
              <w:ind w:left="0" w:right="0" w:hanging="0"/>
              <w:rPr/>
            </w:pPr>
            <w:r>
              <w:rPr>
                <w:rStyle w:val="StrongEmphasis"/>
                <w:rFonts w:ascii="times new roman" w:hAnsi="times new roman"/>
                <w:sz w:val="20"/>
              </w:rPr>
              <w:t>All Lines of Business</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40" w:type="dxa"/>
            <w:gridSpan w:val="2"/>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0"/>
              <w:ind w:left="0" w:right="0" w:hanging="0"/>
              <w:rPr/>
            </w:pPr>
            <w:r>
              <w:rPr/>
              <w:t> </w:t>
            </w:r>
          </w:p>
        </w:tc>
      </w:tr>
      <w:tr>
        <w:trPr/>
        <w:tc>
          <w:tcPr>
            <w:tcW w:w="4950" w:type="dxa"/>
            <w:gridSpan w:val="16"/>
            <w:tcBorders/>
            <w:shd w:fill="auto" w:val="clear"/>
            <w:vAlign w:val="center"/>
          </w:tcPr>
          <w:p>
            <w:pPr>
              <w:pStyle w:val="TableContents"/>
              <w:spacing w:before="0" w:after="0"/>
              <w:ind w:left="0" w:right="0" w:hanging="0"/>
              <w:rPr/>
            </w:pPr>
            <w:r>
              <w:rPr>
                <w:rStyle w:val="Emphasis"/>
                <w:rFonts w:ascii="times new roman" w:hAnsi="times new roman"/>
                <w:sz w:val="20"/>
              </w:rPr>
              <w:t>(in thousands, except reported claims data)</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40" w:type="dxa"/>
            <w:gridSpan w:val="2"/>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0"/>
              <w:ind w:left="0" w:right="0" w:hanging="0"/>
              <w:rPr/>
            </w:pPr>
            <w:r>
              <w:rPr/>
              <w:t> </w:t>
            </w:r>
          </w:p>
        </w:tc>
      </w:tr>
      <w:tr>
        <w:trPr/>
        <w:tc>
          <w:tcPr>
            <w:tcW w:w="80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100" w:type="dxa"/>
            <w:gridSpan w:val="6"/>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As of</w:t>
            </w:r>
          </w:p>
        </w:tc>
        <w:tc>
          <w:tcPr>
            <w:tcW w:w="135" w:type="dxa"/>
            <w:tcBorders/>
            <w:shd w:fill="auto" w:val="clear"/>
            <w:vAlign w:val="center"/>
          </w:tcPr>
          <w:p>
            <w:pPr>
              <w:pStyle w:val="TableContents"/>
              <w:spacing w:before="0" w:after="0"/>
              <w:ind w:left="0" w:right="0" w:hanging="0"/>
              <w:rPr/>
            </w:pPr>
            <w:r>
              <w:rPr/>
              <w:t> </w:t>
            </w:r>
          </w:p>
        </w:tc>
      </w:tr>
      <w:tr>
        <w:trPr/>
        <w:tc>
          <w:tcPr>
            <w:tcW w:w="80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540" w:type="dxa"/>
            <w:gridSpan w:val="38"/>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Incurred Loss and Allocated Loss Adjustment Expenses, Net of Reinsurance</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100"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2022</w:t>
            </w:r>
          </w:p>
        </w:tc>
        <w:tc>
          <w:tcPr>
            <w:tcW w:w="135" w:type="dxa"/>
            <w:tcBorders/>
            <w:shd w:fill="auto" w:val="clear"/>
            <w:vAlign w:val="center"/>
          </w:tcPr>
          <w:p>
            <w:pPr>
              <w:pStyle w:val="TableContents"/>
              <w:spacing w:before="0" w:after="0"/>
              <w:ind w:left="0" w:right="0" w:hanging="0"/>
              <w:rPr/>
            </w:pPr>
            <w:r>
              <w:rPr/>
              <w:t> </w:t>
            </w:r>
          </w:p>
        </w:tc>
      </w:tr>
      <w:tr>
        <w:trPr/>
        <w:tc>
          <w:tcPr>
            <w:tcW w:w="80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360" w:type="dxa"/>
            <w:gridSpan w:val="34"/>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For the Years Ended December 31,</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0"/>
              <w:ind w:left="0" w:right="0" w:hanging="0"/>
              <w:jc w:val="center"/>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40" w:type="dxa"/>
            <w:gridSpan w:val="2"/>
            <w:vMerge w:val="restart"/>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Cumulative Number of Reported Claims by Accident Year</w:t>
            </w:r>
          </w:p>
        </w:tc>
        <w:tc>
          <w:tcPr>
            <w:tcW w:w="135" w:type="dxa"/>
            <w:tcBorders/>
            <w:shd w:fill="auto" w:val="clear"/>
            <w:vAlign w:val="center"/>
          </w:tcPr>
          <w:p>
            <w:pPr>
              <w:pStyle w:val="TableContents"/>
              <w:spacing w:before="0" w:after="0"/>
              <w:ind w:left="0" w:right="0" w:hanging="0"/>
              <w:rPr/>
            </w:pPr>
            <w:r>
              <w:rPr/>
              <w:t> </w:t>
            </w:r>
          </w:p>
        </w:tc>
      </w:tr>
      <w:tr>
        <w:trPr/>
        <w:tc>
          <w:tcPr>
            <w:tcW w:w="800"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Accident</w:t>
            </w:r>
          </w:p>
          <w:p>
            <w:pPr>
              <w:pStyle w:val="TableContents"/>
              <w:spacing w:before="0" w:after="0"/>
              <w:ind w:left="0" w:right="0" w:hanging="0"/>
              <w:jc w:val="center"/>
              <w:rPr/>
            </w:pPr>
            <w:r>
              <w:rPr>
                <w:rStyle w:val="StrongEmphasis"/>
              </w:rPr>
              <w:t> </w:t>
            </w:r>
            <w:r>
              <w:rPr>
                <w:rStyle w:val="StrongEmphasis"/>
                <w:rFonts w:ascii="times new roman" w:hAnsi="times new roman"/>
                <w:sz w:val="20"/>
              </w:rPr>
              <w:t>Year</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2013</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2014</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2015</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c>
          <w:tcPr>
            <w:tcW w:w="710"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2016</w:t>
            </w:r>
          </w:p>
        </w:tc>
        <w:tc>
          <w:tcPr>
            <w:tcW w:w="180" w:type="dxa"/>
            <w:gridSpan w:val="2"/>
            <w:tcBorders/>
            <w:shd w:fill="auto" w:val="clear"/>
            <w:vAlign w:val="center"/>
          </w:tcPr>
          <w:p>
            <w:pPr>
              <w:pStyle w:val="TableContents"/>
              <w:spacing w:before="0" w:after="0"/>
              <w:ind w:left="0" w:right="0" w:hanging="0"/>
              <w:jc w:val="center"/>
              <w:rPr/>
            </w:pPr>
            <w:r>
              <w:rPr/>
              <w:t> </w:t>
            </w:r>
          </w:p>
        </w:tc>
        <w:tc>
          <w:tcPr>
            <w:tcW w:w="170" w:type="dxa"/>
            <w:tcBorders/>
            <w:shd w:fill="auto" w:val="clear"/>
            <w:vAlign w:val="center"/>
          </w:tcPr>
          <w:p>
            <w:pPr>
              <w:pStyle w:val="TableContents"/>
              <w:spacing w:before="0" w:after="0"/>
              <w:ind w:left="0" w:right="0" w:hanging="0"/>
              <w:rPr/>
            </w:pPr>
            <w:r>
              <w:rPr/>
              <w:t> </w:t>
            </w:r>
          </w:p>
        </w:tc>
        <w:tc>
          <w:tcPr>
            <w:tcW w:w="71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p>
            <w:pPr>
              <w:pStyle w:val="TableContents"/>
              <w:spacing w:before="0" w:after="0"/>
              <w:ind w:left="0" w:right="0" w:hanging="0"/>
              <w:jc w:val="center"/>
              <w:rPr/>
            </w:pPr>
            <w:r>
              <w:rPr>
                <w:rStyle w:val="StrongEmphasis"/>
                <w:rFonts w:ascii="times new roman" w:hAnsi="times new roman"/>
                <w:sz w:val="20"/>
              </w:rPr>
              <w:t>2017</w:t>
            </w:r>
          </w:p>
        </w:tc>
        <w:tc>
          <w:tcPr>
            <w:tcW w:w="180" w:type="dxa"/>
            <w:gridSpan w:val="2"/>
            <w:tcBorders>
              <w:bottom w:val="single" w:sz="2"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0"/>
              <w:ind w:left="0" w:right="0" w:hanging="0"/>
              <w:rPr/>
            </w:pPr>
            <w:r>
              <w:rPr/>
              <w:t> </w:t>
            </w:r>
          </w:p>
        </w:tc>
        <w:tc>
          <w:tcPr>
            <w:tcW w:w="71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p>
            <w:pPr>
              <w:pStyle w:val="TableContents"/>
              <w:spacing w:before="0" w:after="0"/>
              <w:ind w:left="0" w:right="0" w:hanging="0"/>
              <w:jc w:val="center"/>
              <w:rPr/>
            </w:pPr>
            <w:r>
              <w:rPr>
                <w:rStyle w:val="StrongEmphasis"/>
                <w:rFonts w:ascii="times new roman" w:hAnsi="times new roman"/>
                <w:sz w:val="20"/>
              </w:rPr>
              <w:t>2018</w:t>
            </w:r>
          </w:p>
        </w:tc>
        <w:tc>
          <w:tcPr>
            <w:tcW w:w="180" w:type="dxa"/>
            <w:gridSpan w:val="2"/>
            <w:tcBorders/>
            <w:shd w:fill="auto" w:val="clear"/>
            <w:vAlign w:val="center"/>
          </w:tcPr>
          <w:p>
            <w:pPr>
              <w:pStyle w:val="TableContents"/>
              <w:spacing w:before="0" w:after="0"/>
              <w:ind w:left="0" w:right="0" w:hanging="0"/>
              <w:jc w:val="center"/>
              <w:rPr/>
            </w:pPr>
            <w:r>
              <w:rPr/>
              <w:t> </w:t>
            </w:r>
          </w:p>
        </w:tc>
        <w:tc>
          <w:tcPr>
            <w:tcW w:w="170" w:type="dxa"/>
            <w:tcBorders/>
            <w:shd w:fill="auto" w:val="clear"/>
            <w:vAlign w:val="center"/>
          </w:tcPr>
          <w:p>
            <w:pPr>
              <w:pStyle w:val="TableContents"/>
              <w:spacing w:before="0" w:after="0"/>
              <w:ind w:left="0" w:right="0" w:hanging="0"/>
              <w:rPr/>
            </w:pPr>
            <w:r>
              <w:rPr/>
              <w:t> </w:t>
            </w:r>
          </w:p>
        </w:tc>
        <w:tc>
          <w:tcPr>
            <w:tcW w:w="71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p>
            <w:pPr>
              <w:pStyle w:val="TableContents"/>
              <w:spacing w:before="0" w:after="0"/>
              <w:ind w:left="0" w:right="0" w:hanging="0"/>
              <w:jc w:val="center"/>
              <w:rPr/>
            </w:pPr>
            <w:r>
              <w:rPr>
                <w:rStyle w:val="StrongEmphasis"/>
                <w:rFonts w:ascii="times new roman" w:hAnsi="times new roman"/>
                <w:sz w:val="20"/>
              </w:rPr>
              <w:t>2019</w:t>
            </w:r>
          </w:p>
        </w:tc>
        <w:tc>
          <w:tcPr>
            <w:tcW w:w="180" w:type="dxa"/>
            <w:gridSpan w:val="2"/>
            <w:tcBorders/>
            <w:shd w:fill="auto" w:val="clear"/>
            <w:vAlign w:val="center"/>
          </w:tcPr>
          <w:p>
            <w:pPr>
              <w:pStyle w:val="TableContents"/>
              <w:spacing w:before="0" w:after="0"/>
              <w:ind w:left="0" w:right="0" w:hanging="0"/>
              <w:jc w:val="center"/>
              <w:rPr/>
            </w:pPr>
            <w:r>
              <w:rPr/>
              <w:t> </w:t>
            </w:r>
          </w:p>
        </w:tc>
        <w:tc>
          <w:tcPr>
            <w:tcW w:w="170" w:type="dxa"/>
            <w:tcBorders/>
            <w:shd w:fill="auto" w:val="clear"/>
            <w:vAlign w:val="center"/>
          </w:tcPr>
          <w:p>
            <w:pPr>
              <w:pStyle w:val="TableContents"/>
              <w:spacing w:before="0" w:after="0"/>
              <w:ind w:left="0" w:right="0" w:hanging="0"/>
              <w:rPr/>
            </w:pPr>
            <w:r>
              <w:rPr/>
              <w:t> </w:t>
            </w:r>
          </w:p>
        </w:tc>
        <w:tc>
          <w:tcPr>
            <w:tcW w:w="71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p>
            <w:pPr>
              <w:pStyle w:val="TableContents"/>
              <w:spacing w:before="0" w:after="0"/>
              <w:ind w:left="0" w:right="0" w:hanging="0"/>
              <w:jc w:val="center"/>
              <w:rPr/>
            </w:pPr>
            <w:r>
              <w:rPr>
                <w:rStyle w:val="StrongEmphasis"/>
                <w:rFonts w:ascii="times new roman" w:hAnsi="times new roman"/>
                <w:sz w:val="20"/>
              </w:rPr>
              <w:t>2020</w:t>
            </w:r>
          </w:p>
        </w:tc>
        <w:tc>
          <w:tcPr>
            <w:tcW w:w="180" w:type="dxa"/>
            <w:gridSpan w:val="2"/>
            <w:tcBorders/>
            <w:shd w:fill="auto" w:val="clear"/>
            <w:vAlign w:val="center"/>
          </w:tcPr>
          <w:p>
            <w:pPr>
              <w:pStyle w:val="TableContents"/>
              <w:spacing w:before="0" w:after="0"/>
              <w:ind w:left="0" w:right="0" w:hanging="0"/>
              <w:jc w:val="center"/>
              <w:rPr/>
            </w:pPr>
            <w:r>
              <w:rPr/>
              <w:t> </w:t>
            </w:r>
          </w:p>
        </w:tc>
        <w:tc>
          <w:tcPr>
            <w:tcW w:w="170" w:type="dxa"/>
            <w:tcBorders/>
            <w:shd w:fill="auto" w:val="clear"/>
            <w:vAlign w:val="center"/>
          </w:tcPr>
          <w:p>
            <w:pPr>
              <w:pStyle w:val="TableContents"/>
              <w:spacing w:before="0" w:after="0"/>
              <w:ind w:left="0" w:right="0" w:hanging="0"/>
              <w:rPr/>
            </w:pPr>
            <w:r>
              <w:rPr/>
              <w:t> </w:t>
            </w:r>
          </w:p>
        </w:tc>
        <w:tc>
          <w:tcPr>
            <w:tcW w:w="71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p>
            <w:pPr>
              <w:pStyle w:val="TableContents"/>
              <w:spacing w:before="0" w:after="0"/>
              <w:ind w:left="0" w:right="0" w:hanging="0"/>
              <w:jc w:val="center"/>
              <w:rPr/>
            </w:pPr>
            <w:r>
              <w:rPr>
                <w:rStyle w:val="StrongEmphasis"/>
                <w:rFonts w:ascii="times new roman" w:hAnsi="times new roman"/>
                <w:sz w:val="20"/>
              </w:rPr>
              <w:t>2021</w:t>
            </w:r>
          </w:p>
        </w:tc>
        <w:tc>
          <w:tcPr>
            <w:tcW w:w="180" w:type="dxa"/>
            <w:gridSpan w:val="2"/>
            <w:tcBorders/>
            <w:shd w:fill="auto" w:val="clear"/>
            <w:vAlign w:val="center"/>
          </w:tcPr>
          <w:p>
            <w:pPr>
              <w:pStyle w:val="TableContents"/>
              <w:spacing w:before="0" w:after="0"/>
              <w:ind w:left="0" w:right="0" w:hanging="0"/>
              <w:jc w:val="center"/>
              <w:rPr/>
            </w:pPr>
            <w:r>
              <w:rPr/>
              <w:t> </w:t>
            </w:r>
          </w:p>
        </w:tc>
        <w:tc>
          <w:tcPr>
            <w:tcW w:w="170" w:type="dxa"/>
            <w:tcBorders/>
            <w:shd w:fill="auto" w:val="clear"/>
            <w:vAlign w:val="center"/>
          </w:tcPr>
          <w:p>
            <w:pPr>
              <w:pStyle w:val="TableContents"/>
              <w:spacing w:before="0" w:after="0"/>
              <w:ind w:left="0" w:right="0" w:hanging="0"/>
              <w:rPr/>
            </w:pPr>
            <w:r>
              <w:rPr/>
              <w:t> </w:t>
            </w:r>
          </w:p>
        </w:tc>
        <w:tc>
          <w:tcPr>
            <w:tcW w:w="83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p>
            <w:pPr>
              <w:pStyle w:val="TableContents"/>
              <w:spacing w:before="0" w:after="0"/>
              <w:ind w:left="0" w:right="0" w:hanging="0"/>
              <w:jc w:val="center"/>
              <w:rPr/>
            </w:pPr>
            <w:r>
              <w:rPr>
                <w:rStyle w:val="StrongEmphasis"/>
                <w:rFonts w:ascii="times new roman" w:hAnsi="times new roman"/>
                <w:sz w:val="20"/>
              </w:rPr>
              <w:t>2022</w:t>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jc w:val="center"/>
              <w:rPr/>
            </w:pPr>
            <w:r>
              <w:rPr/>
              <w:t> </w:t>
            </w:r>
          </w:p>
        </w:tc>
        <w:tc>
          <w:tcPr>
            <w:tcW w:w="170" w:type="dxa"/>
            <w:tcBorders/>
            <w:shd w:fill="auto" w:val="clear"/>
            <w:vAlign w:val="center"/>
          </w:tcPr>
          <w:p>
            <w:pPr>
              <w:pStyle w:val="TableContents"/>
              <w:spacing w:before="0" w:after="283"/>
              <w:rPr>
                <w:sz w:val="4"/>
                <w:szCs w:val="4"/>
              </w:rPr>
            </w:pPr>
            <w:r>
              <w:rPr>
                <w:sz w:val="4"/>
                <w:szCs w:val="4"/>
              </w:rPr>
            </w:r>
          </w:p>
        </w:tc>
        <w:tc>
          <w:tcPr>
            <w:tcW w:w="710"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IBNR</w:t>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040" w:type="dxa"/>
            <w:gridSpan w:val="2"/>
            <w:vMerge w:val="continue"/>
            <w:tcBorders>
              <w:bottom w:val="single" w:sz="2" w:space="0" w:color="000000"/>
            </w:tcBorders>
            <w:shd w:fill="auto" w:val="clear"/>
            <w:tcMar>
              <w:bottom w:w="28" w:type="dxa"/>
            </w:tcMar>
            <w:vAlign w:val="center"/>
          </w:tcPr>
          <w:p>
            <w:pPr>
              <w:pStyle w:val="Normal"/>
              <w:rPr/>
            </w:pPr>
            <w:r>
              <w:rPr/>
            </w:r>
          </w:p>
        </w:tc>
        <w:tc>
          <w:tcPr>
            <w:tcW w:w="135" w:type="dxa"/>
            <w:tcBorders/>
            <w:shd w:fill="auto" w:val="clear"/>
            <w:vAlign w:val="center"/>
          </w:tcPr>
          <w:p>
            <w:pPr>
              <w:pStyle w:val="TableContents"/>
              <w:spacing w:before="0" w:after="0"/>
              <w:ind w:left="0" w:right="0" w:hanging="0"/>
              <w:rPr/>
            </w:pPr>
            <w:r>
              <w:rPr/>
              <w:t> </w:t>
            </w:r>
          </w:p>
        </w:tc>
      </w:tr>
      <w:tr>
        <w:trPr/>
        <w:tc>
          <w:tcPr>
            <w:tcW w:w="80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360" w:type="dxa"/>
            <w:gridSpan w:val="34"/>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(Unaudited 2013 - 2021)</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40" w:type="dxa"/>
            <w:gridSpan w:val="2"/>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0"/>
              <w:ind w:left="0" w:right="0" w:hanging="0"/>
              <w:rPr/>
            </w:pPr>
            <w:r>
              <w:rPr/>
              <w:t> </w:t>
            </w:r>
          </w:p>
        </w:tc>
      </w:tr>
      <w:tr>
        <w:trPr/>
        <w:tc>
          <w:tcPr>
            <w:tcW w:w="80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40" w:type="dxa"/>
            <w:gridSpan w:val="2"/>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800"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2013</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jc w:val="right"/>
              <w:rPr/>
            </w:pPr>
            <w:r>
              <w:rPr/>
              <w:t>10,728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jc w:val="right"/>
              <w:rPr/>
            </w:pPr>
            <w:r>
              <w:rPr/>
              <w:t>9,745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jc w:val="right"/>
              <w:rPr/>
            </w:pPr>
            <w:r>
              <w:rPr/>
              <w:t>9,424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jc w:val="right"/>
              <w:rPr/>
            </w:pPr>
            <w:r>
              <w:rPr/>
              <w:t>9,621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jc w:val="right"/>
              <w:rPr/>
            </w:pPr>
            <w:r>
              <w:rPr/>
              <w:t>10,061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jc w:val="right"/>
              <w:rPr/>
            </w:pPr>
            <w:r>
              <w:rPr/>
              <w:t>10,089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jc w:val="right"/>
              <w:rPr/>
            </w:pPr>
            <w:r>
              <w:rPr/>
              <w:t>10,607</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jc w:val="right"/>
              <w:rPr/>
            </w:pPr>
            <w:r>
              <w:rPr/>
              <w:t>10,495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jc w:val="right"/>
              <w:rPr/>
            </w:pPr>
            <w:r>
              <w:rPr/>
              <w:t>10,529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830" w:type="dxa"/>
            <w:tcBorders/>
            <w:shd w:fill="CCEEFF" w:val="clear"/>
            <w:vAlign w:val="center"/>
          </w:tcPr>
          <w:p>
            <w:pPr>
              <w:pStyle w:val="TableContents"/>
              <w:spacing w:before="0" w:after="283"/>
              <w:jc w:val="right"/>
              <w:rPr/>
            </w:pPr>
            <w:r>
              <w:rPr/>
              <w:t>10,492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jc w:val="right"/>
              <w:rPr/>
            </w:pPr>
            <w:r>
              <w:rPr/>
              <w:t>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37" w:type="dxa"/>
            <w:tcBorders/>
            <w:shd w:fill="CCEEFF" w:val="clear"/>
            <w:vAlign w:val="center"/>
          </w:tcPr>
          <w:p>
            <w:pPr>
              <w:pStyle w:val="TableContents"/>
              <w:spacing w:before="0" w:after="0"/>
              <w:ind w:left="0" w:right="0" w:hanging="0"/>
              <w:rPr/>
            </w:pPr>
            <w:r>
              <w:rPr/>
              <w:t> </w:t>
            </w:r>
          </w:p>
        </w:tc>
        <w:tc>
          <w:tcPr>
            <w:tcW w:w="903" w:type="dxa"/>
            <w:tcBorders/>
            <w:shd w:fill="CCEEFF" w:val="clear"/>
            <w:vAlign w:val="center"/>
          </w:tcPr>
          <w:p>
            <w:pPr>
              <w:pStyle w:val="TableContents"/>
              <w:spacing w:before="0" w:after="283"/>
              <w:jc w:val="right"/>
              <w:rPr/>
            </w:pPr>
            <w:r>
              <w:rPr/>
              <w:t>1,564</w:t>
            </w:r>
          </w:p>
        </w:tc>
        <w:tc>
          <w:tcPr>
            <w:tcW w:w="135" w:type="dxa"/>
            <w:tcBorders/>
            <w:shd w:fill="CCEEFF" w:val="clear"/>
            <w:vAlign w:val="center"/>
          </w:tcPr>
          <w:p>
            <w:pPr>
              <w:pStyle w:val="TableContents"/>
              <w:spacing w:before="0" w:after="0"/>
              <w:ind w:left="0" w:right="0" w:hanging="0"/>
              <w:rPr/>
            </w:pPr>
            <w:r>
              <w:rPr/>
              <w:t> </w:t>
            </w:r>
          </w:p>
        </w:tc>
      </w:tr>
      <w:tr>
        <w:trPr/>
        <w:tc>
          <w:tcPr>
            <w:tcW w:w="800" w:type="dxa"/>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2014</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14,193</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14,260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14,218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14,564</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15,023</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16,381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16,428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16,434</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16,486</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24</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37" w:type="dxa"/>
            <w:tcBorders/>
            <w:shd w:fill="FFFFFF" w:val="clear"/>
            <w:vAlign w:val="center"/>
          </w:tcPr>
          <w:p>
            <w:pPr>
              <w:pStyle w:val="TableContents"/>
              <w:spacing w:before="0" w:after="0"/>
              <w:ind w:left="0" w:right="0" w:hanging="0"/>
              <w:rPr/>
            </w:pPr>
            <w:r>
              <w:rPr/>
              <w:t> </w:t>
            </w:r>
          </w:p>
        </w:tc>
        <w:tc>
          <w:tcPr>
            <w:tcW w:w="903" w:type="dxa"/>
            <w:tcBorders/>
            <w:shd w:fill="FFFFFF" w:val="clear"/>
            <w:vAlign w:val="center"/>
          </w:tcPr>
          <w:p>
            <w:pPr>
              <w:pStyle w:val="TableContents"/>
              <w:spacing w:before="0" w:after="283"/>
              <w:jc w:val="right"/>
              <w:rPr/>
            </w:pPr>
            <w:r>
              <w:rPr/>
              <w:t>2,138</w:t>
            </w:r>
          </w:p>
        </w:tc>
        <w:tc>
          <w:tcPr>
            <w:tcW w:w="135" w:type="dxa"/>
            <w:tcBorders/>
            <w:shd w:fill="FFFFFF" w:val="clear"/>
            <w:vAlign w:val="center"/>
          </w:tcPr>
          <w:p>
            <w:pPr>
              <w:pStyle w:val="TableContents"/>
              <w:spacing w:before="0" w:after="0"/>
              <w:ind w:left="0" w:right="0" w:hanging="0"/>
              <w:rPr/>
            </w:pPr>
            <w:r>
              <w:rPr/>
              <w:t> </w:t>
            </w:r>
          </w:p>
        </w:tc>
      </w:tr>
      <w:tr>
        <w:trPr/>
        <w:tc>
          <w:tcPr>
            <w:tcW w:w="800"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2015</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22,340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21,994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22,148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22,491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23,386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23,291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23,528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23,533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230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37" w:type="dxa"/>
            <w:tcBorders/>
            <w:shd w:fill="CCEEFF" w:val="clear"/>
            <w:vAlign w:val="center"/>
          </w:tcPr>
          <w:p>
            <w:pPr>
              <w:pStyle w:val="TableContents"/>
              <w:spacing w:before="0" w:after="0"/>
              <w:ind w:left="0" w:right="0" w:hanging="0"/>
              <w:rPr/>
            </w:pPr>
            <w:r>
              <w:rPr/>
              <w:t> </w:t>
            </w:r>
          </w:p>
        </w:tc>
        <w:tc>
          <w:tcPr>
            <w:tcW w:w="903" w:type="dxa"/>
            <w:tcBorders/>
            <w:shd w:fill="CCEEFF" w:val="clear"/>
            <w:vAlign w:val="center"/>
          </w:tcPr>
          <w:p>
            <w:pPr>
              <w:pStyle w:val="TableContents"/>
              <w:spacing w:before="0" w:after="283"/>
              <w:jc w:val="right"/>
              <w:rPr/>
            </w:pPr>
            <w:r>
              <w:rPr/>
              <w:t>2,559</w:t>
            </w:r>
          </w:p>
        </w:tc>
        <w:tc>
          <w:tcPr>
            <w:tcW w:w="135" w:type="dxa"/>
            <w:tcBorders/>
            <w:shd w:fill="CCEEFF" w:val="clear"/>
            <w:vAlign w:val="center"/>
          </w:tcPr>
          <w:p>
            <w:pPr>
              <w:pStyle w:val="TableContents"/>
              <w:spacing w:before="0" w:after="0"/>
              <w:ind w:left="0" w:right="0" w:hanging="0"/>
              <w:rPr/>
            </w:pPr>
            <w:r>
              <w:rPr/>
              <w:t> </w:t>
            </w:r>
          </w:p>
        </w:tc>
      </w:tr>
      <w:tr>
        <w:trPr/>
        <w:tc>
          <w:tcPr>
            <w:tcW w:w="800" w:type="dxa"/>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2016</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26,062</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24,941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24,789</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27,887</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27,966</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27,417</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27,352</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297</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37" w:type="dxa"/>
            <w:tcBorders/>
            <w:shd w:fill="FFFFFF" w:val="clear"/>
            <w:vAlign w:val="center"/>
          </w:tcPr>
          <w:p>
            <w:pPr>
              <w:pStyle w:val="TableContents"/>
              <w:spacing w:before="0" w:after="0"/>
              <w:ind w:left="0" w:right="0" w:hanging="0"/>
              <w:rPr/>
            </w:pPr>
            <w:r>
              <w:rPr/>
              <w:t> </w:t>
            </w:r>
          </w:p>
        </w:tc>
        <w:tc>
          <w:tcPr>
            <w:tcW w:w="903" w:type="dxa"/>
            <w:tcBorders/>
            <w:shd w:fill="FFFFFF" w:val="clear"/>
            <w:vAlign w:val="center"/>
          </w:tcPr>
          <w:p>
            <w:pPr>
              <w:pStyle w:val="TableContents"/>
              <w:spacing w:before="0" w:after="283"/>
              <w:jc w:val="right"/>
              <w:rPr/>
            </w:pPr>
            <w:r>
              <w:rPr/>
              <w:t>2,881</w:t>
            </w:r>
          </w:p>
        </w:tc>
        <w:tc>
          <w:tcPr>
            <w:tcW w:w="135" w:type="dxa"/>
            <w:tcBorders/>
            <w:shd w:fill="FFFFFF" w:val="clear"/>
            <w:vAlign w:val="center"/>
          </w:tcPr>
          <w:p>
            <w:pPr>
              <w:pStyle w:val="TableContents"/>
              <w:spacing w:before="0" w:after="0"/>
              <w:ind w:left="0" w:right="0" w:hanging="0"/>
              <w:rPr/>
            </w:pPr>
            <w:r>
              <w:rPr/>
              <w:t> </w:t>
            </w:r>
          </w:p>
        </w:tc>
      </w:tr>
      <w:tr>
        <w:trPr/>
        <w:tc>
          <w:tcPr>
            <w:tcW w:w="800"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2017</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31,605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32,169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35,304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36,160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36,532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36,502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375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37" w:type="dxa"/>
            <w:tcBorders/>
            <w:shd w:fill="CCEEFF" w:val="clear"/>
            <w:vAlign w:val="center"/>
          </w:tcPr>
          <w:p>
            <w:pPr>
              <w:pStyle w:val="TableContents"/>
              <w:spacing w:before="0" w:after="0"/>
              <w:ind w:left="0" w:right="0" w:hanging="0"/>
              <w:rPr/>
            </w:pPr>
            <w:r>
              <w:rPr/>
              <w:t> </w:t>
            </w:r>
          </w:p>
        </w:tc>
        <w:tc>
          <w:tcPr>
            <w:tcW w:w="903" w:type="dxa"/>
            <w:tcBorders/>
            <w:shd w:fill="CCEEFF" w:val="clear"/>
            <w:vAlign w:val="center"/>
          </w:tcPr>
          <w:p>
            <w:pPr>
              <w:pStyle w:val="TableContents"/>
              <w:spacing w:before="0" w:after="283"/>
              <w:jc w:val="right"/>
              <w:rPr/>
            </w:pPr>
            <w:r>
              <w:rPr/>
              <w:t>3,398</w:t>
            </w:r>
          </w:p>
        </w:tc>
        <w:tc>
          <w:tcPr>
            <w:tcW w:w="135" w:type="dxa"/>
            <w:tcBorders/>
            <w:shd w:fill="CCEEFF" w:val="clear"/>
            <w:vAlign w:val="center"/>
          </w:tcPr>
          <w:p>
            <w:pPr>
              <w:pStyle w:val="TableContents"/>
              <w:spacing w:before="0" w:after="0"/>
              <w:ind w:left="0" w:right="0" w:hanging="0"/>
              <w:rPr/>
            </w:pPr>
            <w:r>
              <w:rPr/>
              <w:t> </w:t>
            </w:r>
          </w:p>
        </w:tc>
      </w:tr>
      <w:tr>
        <w:trPr/>
        <w:tc>
          <w:tcPr>
            <w:tcW w:w="800" w:type="dxa"/>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2018</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54,455</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56,351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58,441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59,404</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61,237</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1,100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37" w:type="dxa"/>
            <w:tcBorders/>
            <w:shd w:fill="FFFFFF" w:val="clear"/>
            <w:vAlign w:val="center"/>
          </w:tcPr>
          <w:p>
            <w:pPr>
              <w:pStyle w:val="TableContents"/>
              <w:spacing w:before="0" w:after="0"/>
              <w:ind w:left="0" w:right="0" w:hanging="0"/>
              <w:rPr/>
            </w:pPr>
            <w:r>
              <w:rPr/>
              <w:t> </w:t>
            </w:r>
          </w:p>
        </w:tc>
        <w:tc>
          <w:tcPr>
            <w:tcW w:w="903" w:type="dxa"/>
            <w:tcBorders/>
            <w:shd w:fill="FFFFFF" w:val="clear"/>
            <w:vAlign w:val="center"/>
          </w:tcPr>
          <w:p>
            <w:pPr>
              <w:pStyle w:val="TableContents"/>
              <w:spacing w:before="0" w:after="283"/>
              <w:jc w:val="right"/>
              <w:rPr/>
            </w:pPr>
            <w:r>
              <w:rPr/>
              <w:t>4,230</w:t>
            </w:r>
          </w:p>
        </w:tc>
        <w:tc>
          <w:tcPr>
            <w:tcW w:w="135" w:type="dxa"/>
            <w:tcBorders/>
            <w:shd w:fill="FFFFFF" w:val="clear"/>
            <w:vAlign w:val="center"/>
          </w:tcPr>
          <w:p>
            <w:pPr>
              <w:pStyle w:val="TableContents"/>
              <w:spacing w:before="0" w:after="0"/>
              <w:ind w:left="0" w:right="0" w:hanging="0"/>
              <w:rPr/>
            </w:pPr>
            <w:r>
              <w:rPr/>
              <w:t> </w:t>
            </w:r>
          </w:p>
        </w:tc>
      </w:tr>
      <w:tr>
        <w:trPr/>
        <w:tc>
          <w:tcPr>
            <w:tcW w:w="800"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2019</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75,092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72,368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71,544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71,964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2,431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37" w:type="dxa"/>
            <w:tcBorders/>
            <w:shd w:fill="CCEEFF" w:val="clear"/>
            <w:vAlign w:val="center"/>
          </w:tcPr>
          <w:p>
            <w:pPr>
              <w:pStyle w:val="TableContents"/>
              <w:spacing w:before="0" w:after="0"/>
              <w:ind w:left="0" w:right="0" w:hanging="0"/>
              <w:rPr/>
            </w:pPr>
            <w:r>
              <w:rPr/>
              <w:t> </w:t>
            </w:r>
          </w:p>
        </w:tc>
        <w:tc>
          <w:tcPr>
            <w:tcW w:w="903" w:type="dxa"/>
            <w:tcBorders/>
            <w:shd w:fill="CCEEFF" w:val="clear"/>
            <w:vAlign w:val="center"/>
          </w:tcPr>
          <w:p>
            <w:pPr>
              <w:pStyle w:val="TableContents"/>
              <w:spacing w:before="0" w:after="283"/>
              <w:jc w:val="right"/>
              <w:rPr/>
            </w:pPr>
            <w:r>
              <w:rPr/>
              <w:t>4,497</w:t>
            </w:r>
          </w:p>
        </w:tc>
        <w:tc>
          <w:tcPr>
            <w:tcW w:w="135" w:type="dxa"/>
            <w:tcBorders/>
            <w:shd w:fill="CCEEFF" w:val="clear"/>
            <w:vAlign w:val="center"/>
          </w:tcPr>
          <w:p>
            <w:pPr>
              <w:pStyle w:val="TableContents"/>
              <w:spacing w:before="0" w:after="0"/>
              <w:ind w:left="0" w:right="0" w:hanging="0"/>
              <w:rPr/>
            </w:pPr>
            <w:r>
              <w:rPr/>
              <w:t> </w:t>
            </w:r>
          </w:p>
        </w:tc>
      </w:tr>
      <w:tr>
        <w:trPr/>
        <w:tc>
          <w:tcPr>
            <w:tcW w:w="800" w:type="dxa"/>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2020</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63,083</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62,833</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63,217</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2,568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37" w:type="dxa"/>
            <w:tcBorders/>
            <w:shd w:fill="FFFFFF" w:val="clear"/>
            <w:vAlign w:val="center"/>
          </w:tcPr>
          <w:p>
            <w:pPr>
              <w:pStyle w:val="TableContents"/>
              <w:spacing w:before="0" w:after="0"/>
              <w:ind w:left="0" w:right="0" w:hanging="0"/>
              <w:rPr/>
            </w:pPr>
            <w:r>
              <w:rPr/>
              <w:t> </w:t>
            </w:r>
          </w:p>
        </w:tc>
        <w:tc>
          <w:tcPr>
            <w:tcW w:w="903" w:type="dxa"/>
            <w:tcBorders/>
            <w:shd w:fill="FFFFFF" w:val="clear"/>
            <w:vAlign w:val="center"/>
          </w:tcPr>
          <w:p>
            <w:pPr>
              <w:pStyle w:val="TableContents"/>
              <w:spacing w:before="0" w:after="283"/>
              <w:jc w:val="right"/>
              <w:rPr/>
            </w:pPr>
            <w:r>
              <w:rPr/>
              <w:t>5,869</w:t>
            </w:r>
          </w:p>
        </w:tc>
        <w:tc>
          <w:tcPr>
            <w:tcW w:w="135" w:type="dxa"/>
            <w:tcBorders/>
            <w:shd w:fill="FFFFFF" w:val="clear"/>
            <w:vAlign w:val="center"/>
          </w:tcPr>
          <w:p>
            <w:pPr>
              <w:pStyle w:val="TableContents"/>
              <w:spacing w:before="0" w:after="0"/>
              <w:ind w:left="0" w:right="0" w:hanging="0"/>
              <w:rPr/>
            </w:pPr>
            <w:r>
              <w:rPr/>
              <w:t> </w:t>
            </w:r>
          </w:p>
        </w:tc>
      </w:tr>
      <w:tr>
        <w:trPr/>
        <w:tc>
          <w:tcPr>
            <w:tcW w:w="800"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2021</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96,425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96,673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7,863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37" w:type="dxa"/>
            <w:tcBorders/>
            <w:shd w:fill="CCEEFF" w:val="clear"/>
            <w:vAlign w:val="center"/>
          </w:tcPr>
          <w:p>
            <w:pPr>
              <w:pStyle w:val="TableContents"/>
              <w:spacing w:before="0" w:after="0"/>
              <w:ind w:left="0" w:right="0" w:hanging="0"/>
              <w:rPr/>
            </w:pPr>
            <w:r>
              <w:rPr/>
              <w:t> </w:t>
            </w:r>
          </w:p>
        </w:tc>
        <w:tc>
          <w:tcPr>
            <w:tcW w:w="903" w:type="dxa"/>
            <w:tcBorders/>
            <w:shd w:fill="CCEEFF" w:val="clear"/>
            <w:vAlign w:val="center"/>
          </w:tcPr>
          <w:p>
            <w:pPr>
              <w:pStyle w:val="TableContents"/>
              <w:spacing w:before="0" w:after="283"/>
              <w:jc w:val="right"/>
              <w:rPr/>
            </w:pPr>
            <w:r>
              <w:rPr/>
              <w:t>5,786</w:t>
            </w:r>
          </w:p>
        </w:tc>
        <w:tc>
          <w:tcPr>
            <w:tcW w:w="135" w:type="dxa"/>
            <w:tcBorders/>
            <w:shd w:fill="CCEEFF" w:val="clear"/>
            <w:vAlign w:val="center"/>
          </w:tcPr>
          <w:p>
            <w:pPr>
              <w:pStyle w:val="TableContents"/>
              <w:spacing w:before="0" w:after="0"/>
              <w:ind w:left="0" w:right="0" w:hanging="0"/>
              <w:rPr/>
            </w:pPr>
            <w:r>
              <w:rPr/>
              <w:t> </w:t>
            </w:r>
          </w:p>
        </w:tc>
      </w:tr>
      <w:tr>
        <w:trPr/>
        <w:tc>
          <w:tcPr>
            <w:tcW w:w="800" w:type="dxa"/>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2022</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79,835</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21,076</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37" w:type="dxa"/>
            <w:tcBorders/>
            <w:shd w:fill="FFFFFF" w:val="clear"/>
            <w:vAlign w:val="center"/>
          </w:tcPr>
          <w:p>
            <w:pPr>
              <w:pStyle w:val="TableContents"/>
              <w:spacing w:before="0" w:after="0"/>
              <w:ind w:left="0" w:right="0" w:hanging="0"/>
              <w:rPr/>
            </w:pPr>
            <w:r>
              <w:rPr/>
              <w:t> </w:t>
            </w:r>
          </w:p>
        </w:tc>
        <w:tc>
          <w:tcPr>
            <w:tcW w:w="903" w:type="dxa"/>
            <w:tcBorders/>
            <w:shd w:fill="FFFFFF" w:val="clear"/>
            <w:vAlign w:val="center"/>
          </w:tcPr>
          <w:p>
            <w:pPr>
              <w:pStyle w:val="TableContents"/>
              <w:spacing w:before="0" w:after="283"/>
              <w:jc w:val="right"/>
              <w:rPr/>
            </w:pPr>
            <w:r>
              <w:rPr/>
              <w:t>4,414</w:t>
            </w:r>
          </w:p>
        </w:tc>
        <w:tc>
          <w:tcPr>
            <w:tcW w:w="135" w:type="dxa"/>
            <w:tcBorders/>
            <w:shd w:fill="FFFFFF" w:val="clear"/>
            <w:vAlign w:val="center"/>
          </w:tcPr>
          <w:p>
            <w:pPr>
              <w:pStyle w:val="TableContents"/>
              <w:spacing w:before="0" w:after="0"/>
              <w:ind w:left="0" w:right="0" w:hanging="0"/>
              <w:rPr/>
            </w:pPr>
            <w:r>
              <w:rPr/>
              <w:t> </w:t>
            </w:r>
          </w:p>
        </w:tc>
      </w:tr>
      <w:tr>
        <w:trPr/>
        <w:tc>
          <w:tcPr>
            <w:tcW w:w="80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880" w:type="dxa"/>
            <w:gridSpan w:val="2"/>
            <w:tcBorders/>
            <w:shd w:fill="CCEEFF" w:val="clear"/>
            <w:vAlign w:val="center"/>
          </w:tcPr>
          <w:p>
            <w:pPr>
              <w:pStyle w:val="TableContents"/>
              <w:spacing w:before="0" w:after="0"/>
              <w:ind w:left="0" w:right="0" w:hanging="0"/>
              <w:jc w:val="right"/>
              <w:rPr/>
            </w:pPr>
            <w:r>
              <w:rPr>
                <w:rStyle w:val="StrongEmphasis"/>
              </w:rPr>
              <w:t> </w:t>
            </w:r>
            <w:r>
              <w:rPr>
                <w:rStyle w:val="StrongEmphasis"/>
                <w:rFonts w:ascii="times new roman" w:hAnsi="times new roman"/>
                <w:sz w:val="20"/>
              </w:rPr>
              <w:t xml:space="preserve">Total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283"/>
              <w:rPr/>
            </w:pPr>
            <w:r>
              <w:rPr/>
              <w:t>$</w:t>
            </w:r>
          </w:p>
        </w:tc>
        <w:tc>
          <w:tcPr>
            <w:tcW w:w="830" w:type="dxa"/>
            <w:tcBorders>
              <w:bottom w:val="single" w:sz="2" w:space="0" w:color="000000"/>
            </w:tcBorders>
            <w:shd w:fill="CCEEFF" w:val="clear"/>
            <w:tcMar>
              <w:bottom w:w="28" w:type="dxa"/>
            </w:tcMar>
            <w:vAlign w:val="center"/>
          </w:tcPr>
          <w:p>
            <w:pPr>
              <w:pStyle w:val="TableContents"/>
              <w:spacing w:before="0" w:after="283"/>
              <w:jc w:val="right"/>
              <w:rPr/>
            </w:pPr>
            <w:r>
              <w:rPr/>
              <w:t>487,291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37" w:type="dxa"/>
            <w:tcBorders/>
            <w:shd w:fill="CCEEFF" w:val="clear"/>
            <w:vAlign w:val="center"/>
          </w:tcPr>
          <w:p>
            <w:pPr>
              <w:pStyle w:val="TableContents"/>
              <w:spacing w:before="0" w:after="0"/>
              <w:ind w:left="0" w:right="0" w:hanging="0"/>
              <w:rPr/>
            </w:pPr>
            <w:r>
              <w:rPr/>
              <w:t> </w:t>
            </w:r>
          </w:p>
        </w:tc>
        <w:tc>
          <w:tcPr>
            <w:tcW w:w="903" w:type="dxa"/>
            <w:tcBorders/>
            <w:shd w:fill="CCEEFF" w:val="clear"/>
            <w:vAlign w:val="center"/>
          </w:tcPr>
          <w:p>
            <w:pPr>
              <w:pStyle w:val="TableContents"/>
              <w:spacing w:before="0" w:after="0"/>
              <w:ind w:left="0" w:right="0" w:hanging="0"/>
              <w:rPr/>
            </w:pPr>
            <w:r>
              <w:rPr/>
              <w:t> </w:t>
            </w:r>
          </w:p>
        </w:tc>
        <w:tc>
          <w:tcPr>
            <w:tcW w:w="135"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rPr/>
      </w:pPr>
      <w:r>
        <w:rPr/>
        <w:t xml:space="preserve">  </w:t>
      </w:r>
    </w:p>
    <w:tbl>
      <w:tblPr>
        <w:tblW w:w="11325" w:type="dxa"/>
        <w:jc w:val="left"/>
        <w:tblInd w:w="0" w:type="dxa"/>
        <w:tblCellMar>
          <w:top w:w="0" w:type="dxa"/>
          <w:left w:w="0" w:type="dxa"/>
          <w:bottom w:w="0" w:type="dxa"/>
          <w:right w:w="0" w:type="dxa"/>
        </w:tblCellMar>
      </w:tblPr>
      <w:tblGrid>
        <w:gridCol w:w="800"/>
        <w:gridCol w:w="90"/>
        <w:gridCol w:w="170"/>
        <w:gridCol w:w="590"/>
        <w:gridCol w:w="90"/>
        <w:gridCol w:w="90"/>
        <w:gridCol w:w="170"/>
        <w:gridCol w:w="59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710"/>
        <w:gridCol w:w="90"/>
        <w:gridCol w:w="90"/>
        <w:gridCol w:w="170"/>
        <w:gridCol w:w="830"/>
        <w:gridCol w:w="135"/>
      </w:tblGrid>
      <w:tr>
        <w:trPr/>
        <w:tc>
          <w:tcPr>
            <w:tcW w:w="2590" w:type="dxa"/>
            <w:gridSpan w:val="8"/>
            <w:tcBorders/>
            <w:shd w:fill="auto" w:val="clear"/>
            <w:vAlign w:val="center"/>
          </w:tcPr>
          <w:p>
            <w:pPr>
              <w:pStyle w:val="TableContents"/>
              <w:spacing w:before="0" w:after="0"/>
              <w:ind w:left="0" w:right="0" w:hanging="0"/>
              <w:rPr/>
            </w:pPr>
            <w:r>
              <w:rPr>
                <w:rStyle w:val="StrongEmphasis"/>
                <w:rFonts w:ascii="times new roman" w:hAnsi="times new roman"/>
                <w:sz w:val="20"/>
              </w:rPr>
              <w:t>All Lines of Business</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0"/>
              <w:ind w:left="0" w:right="0" w:hanging="0"/>
              <w:rPr/>
            </w:pPr>
            <w:r>
              <w:rPr/>
              <w:t> </w:t>
            </w:r>
          </w:p>
        </w:tc>
      </w:tr>
      <w:tr>
        <w:trPr/>
        <w:tc>
          <w:tcPr>
            <w:tcW w:w="1650" w:type="dxa"/>
            <w:gridSpan w:val="4"/>
            <w:tcBorders/>
            <w:shd w:fill="auto" w:val="clear"/>
            <w:vAlign w:val="center"/>
          </w:tcPr>
          <w:p>
            <w:pPr>
              <w:pStyle w:val="TableContents"/>
              <w:spacing w:before="0" w:after="0"/>
              <w:ind w:left="0" w:right="0" w:hanging="0"/>
              <w:rPr/>
            </w:pPr>
            <w:r>
              <w:rPr>
                <w:rStyle w:val="Emphasis"/>
                <w:rFonts w:ascii="times new roman" w:hAnsi="times new roman"/>
                <w:sz w:val="20"/>
              </w:rPr>
              <w:t>(in thousands)</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6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0"/>
              <w:ind w:left="0" w:right="0" w:hanging="0"/>
              <w:rPr/>
            </w:pPr>
            <w:r>
              <w:rPr/>
              <w:t> </w:t>
            </w:r>
          </w:p>
        </w:tc>
      </w:tr>
      <w:tr>
        <w:trPr/>
        <w:tc>
          <w:tcPr>
            <w:tcW w:w="80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300" w:type="dxa"/>
            <w:gridSpan w:val="38"/>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Cumulative Paid Loss and Allocated Loss Adjustment Expenses, Net of Reinsurance</w:t>
            </w:r>
          </w:p>
        </w:tc>
        <w:tc>
          <w:tcPr>
            <w:tcW w:w="135" w:type="dxa"/>
            <w:tcBorders/>
            <w:shd w:fill="auto" w:val="clear"/>
            <w:vAlign w:val="center"/>
          </w:tcPr>
          <w:p>
            <w:pPr>
              <w:pStyle w:val="TableContents"/>
              <w:spacing w:before="0" w:after="0"/>
              <w:ind w:left="0" w:right="0" w:hanging="0"/>
              <w:rPr/>
            </w:pPr>
            <w:r>
              <w:rPr/>
              <w:t> </w:t>
            </w:r>
          </w:p>
        </w:tc>
      </w:tr>
      <w:tr>
        <w:trPr/>
        <w:tc>
          <w:tcPr>
            <w:tcW w:w="80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120" w:type="dxa"/>
            <w:gridSpan w:val="34"/>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For the Years Ended December 31,</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0"/>
              <w:ind w:left="0" w:right="0" w:hanging="0"/>
              <w:rPr/>
            </w:pPr>
            <w:r>
              <w:rPr/>
              <w:t> </w:t>
            </w:r>
          </w:p>
        </w:tc>
      </w:tr>
      <w:tr>
        <w:trPr/>
        <w:tc>
          <w:tcPr>
            <w:tcW w:w="800"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Accident</w:t>
            </w:r>
          </w:p>
          <w:p>
            <w:pPr>
              <w:pStyle w:val="TableContents"/>
              <w:spacing w:before="0" w:after="0"/>
              <w:ind w:left="0" w:right="0" w:hanging="0"/>
              <w:jc w:val="center"/>
              <w:rPr/>
            </w:pPr>
            <w:r>
              <w:rPr>
                <w:rStyle w:val="StrongEmphasis"/>
              </w:rPr>
              <w:t> </w:t>
            </w:r>
            <w:r>
              <w:rPr>
                <w:rStyle w:val="StrongEmphasis"/>
                <w:rFonts w:ascii="times new roman" w:hAnsi="times new roman"/>
                <w:sz w:val="20"/>
              </w:rPr>
              <w:t>Year</w:t>
            </w:r>
          </w:p>
        </w:tc>
        <w:tc>
          <w:tcPr>
            <w:tcW w:w="90" w:type="dxa"/>
            <w:tcBorders/>
            <w:shd w:fill="auto" w:val="clear"/>
            <w:vAlign w:val="center"/>
          </w:tcPr>
          <w:p>
            <w:pPr>
              <w:pStyle w:val="TableContents"/>
              <w:spacing w:before="0" w:after="0"/>
              <w:ind w:left="0" w:right="0" w:hanging="0"/>
              <w:rPr/>
            </w:pPr>
            <w:r>
              <w:rPr/>
              <w:t> </w:t>
            </w:r>
          </w:p>
        </w:tc>
        <w:tc>
          <w:tcPr>
            <w:tcW w:w="7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2013</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2014</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2015</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2016</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2017</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2018</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2019</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2020</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2021</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2022</w:t>
            </w:r>
          </w:p>
        </w:tc>
        <w:tc>
          <w:tcPr>
            <w:tcW w:w="135" w:type="dxa"/>
            <w:tcBorders/>
            <w:shd w:fill="auto" w:val="clear"/>
            <w:vAlign w:val="center"/>
          </w:tcPr>
          <w:p>
            <w:pPr>
              <w:pStyle w:val="TableContents"/>
              <w:spacing w:before="0" w:after="0"/>
              <w:ind w:left="0" w:right="0" w:hanging="0"/>
              <w:rPr/>
            </w:pPr>
            <w:r>
              <w:rPr/>
              <w:t> </w:t>
            </w:r>
          </w:p>
        </w:tc>
      </w:tr>
      <w:tr>
        <w:trPr/>
        <w:tc>
          <w:tcPr>
            <w:tcW w:w="80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120" w:type="dxa"/>
            <w:gridSpan w:val="34"/>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(Unaudited 2013 - 2021)</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0"/>
              <w:ind w:left="0" w:right="0" w:hanging="0"/>
              <w:rPr/>
            </w:pPr>
            <w:r>
              <w:rPr/>
              <w:t> </w:t>
            </w:r>
          </w:p>
        </w:tc>
      </w:tr>
      <w:tr>
        <w:trPr/>
        <w:tc>
          <w:tcPr>
            <w:tcW w:w="80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6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6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88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000" w:type="dxa"/>
            <w:gridSpan w:val="2"/>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800"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2013</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590" w:type="dxa"/>
            <w:tcBorders/>
            <w:shd w:fill="CCEEFF" w:val="clear"/>
            <w:vAlign w:val="center"/>
          </w:tcPr>
          <w:p>
            <w:pPr>
              <w:pStyle w:val="TableContents"/>
              <w:spacing w:before="0" w:after="283"/>
              <w:jc w:val="right"/>
              <w:rPr/>
            </w:pPr>
            <w:r>
              <w:rPr/>
              <w:t>3,405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590" w:type="dxa"/>
            <w:tcBorders/>
            <w:shd w:fill="CCEEFF" w:val="clear"/>
            <w:vAlign w:val="center"/>
          </w:tcPr>
          <w:p>
            <w:pPr>
              <w:pStyle w:val="TableContents"/>
              <w:spacing w:before="0" w:after="283"/>
              <w:jc w:val="right"/>
              <w:rPr/>
            </w:pPr>
            <w:r>
              <w:rPr/>
              <w:t>5,303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jc w:val="right"/>
              <w:rPr/>
            </w:pPr>
            <w:r>
              <w:rPr/>
              <w:t>6,633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jc w:val="right"/>
              <w:rPr/>
            </w:pPr>
            <w:r>
              <w:rPr/>
              <w:t>7,591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jc w:val="right"/>
              <w:rPr/>
            </w:pPr>
            <w:r>
              <w:rPr/>
              <w:t>8,407</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jc w:val="right"/>
              <w:rPr/>
            </w:pPr>
            <w:r>
              <w:rPr/>
              <w:t>9,056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jc w:val="right"/>
              <w:rPr/>
            </w:pPr>
            <w:r>
              <w:rPr/>
              <w:t>9,717</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jc w:val="right"/>
              <w:rPr/>
            </w:pPr>
            <w:r>
              <w:rPr/>
              <w:t>10,016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710" w:type="dxa"/>
            <w:tcBorders/>
            <w:shd w:fill="CCEEFF" w:val="clear"/>
            <w:vAlign w:val="center"/>
          </w:tcPr>
          <w:p>
            <w:pPr>
              <w:pStyle w:val="TableContents"/>
              <w:spacing w:before="0" w:after="283"/>
              <w:jc w:val="right"/>
              <w:rPr/>
            </w:pPr>
            <w:r>
              <w:rPr/>
              <w:t>10,392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830" w:type="dxa"/>
            <w:tcBorders/>
            <w:shd w:fill="CCEEFF" w:val="clear"/>
            <w:vAlign w:val="center"/>
          </w:tcPr>
          <w:p>
            <w:pPr>
              <w:pStyle w:val="TableContents"/>
              <w:spacing w:before="0" w:after="283"/>
              <w:jc w:val="right"/>
              <w:rPr/>
            </w:pPr>
            <w:r>
              <w:rPr/>
              <w:t>10,471</w:t>
            </w:r>
          </w:p>
        </w:tc>
        <w:tc>
          <w:tcPr>
            <w:tcW w:w="135" w:type="dxa"/>
            <w:tcBorders/>
            <w:shd w:fill="CCEEFF" w:val="clear"/>
            <w:vAlign w:val="center"/>
          </w:tcPr>
          <w:p>
            <w:pPr>
              <w:pStyle w:val="TableContents"/>
              <w:spacing w:before="0" w:after="0"/>
              <w:ind w:left="0" w:right="0" w:hanging="0"/>
              <w:rPr/>
            </w:pPr>
            <w:r>
              <w:rPr/>
              <w:t> </w:t>
            </w:r>
          </w:p>
        </w:tc>
      </w:tr>
      <w:tr>
        <w:trPr/>
        <w:tc>
          <w:tcPr>
            <w:tcW w:w="800" w:type="dxa"/>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2014</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283"/>
              <w:jc w:val="right"/>
              <w:rPr/>
            </w:pPr>
            <w:r>
              <w:rPr/>
              <w:t>5,710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9,429</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10,738</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11,770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13,819</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14,901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15,491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15,770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16,120</w:t>
            </w:r>
          </w:p>
        </w:tc>
        <w:tc>
          <w:tcPr>
            <w:tcW w:w="135" w:type="dxa"/>
            <w:tcBorders/>
            <w:shd w:fill="FFFFFF" w:val="clear"/>
            <w:vAlign w:val="center"/>
          </w:tcPr>
          <w:p>
            <w:pPr>
              <w:pStyle w:val="TableContents"/>
              <w:spacing w:before="0" w:after="0"/>
              <w:ind w:left="0" w:right="0" w:hanging="0"/>
              <w:rPr/>
            </w:pPr>
            <w:r>
              <w:rPr/>
              <w:t> </w:t>
            </w:r>
          </w:p>
        </w:tc>
      </w:tr>
      <w:tr>
        <w:trPr/>
        <w:tc>
          <w:tcPr>
            <w:tcW w:w="800"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2015</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12,295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16,181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18,266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19,984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21,067</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22,104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22,318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22,473</w:t>
            </w:r>
          </w:p>
        </w:tc>
        <w:tc>
          <w:tcPr>
            <w:tcW w:w="135" w:type="dxa"/>
            <w:tcBorders/>
            <w:shd w:fill="CCEEFF" w:val="clear"/>
            <w:vAlign w:val="center"/>
          </w:tcPr>
          <w:p>
            <w:pPr>
              <w:pStyle w:val="TableContents"/>
              <w:spacing w:before="0" w:after="0"/>
              <w:ind w:left="0" w:right="0" w:hanging="0"/>
              <w:rPr/>
            </w:pPr>
            <w:r>
              <w:rPr/>
              <w:t> </w:t>
            </w:r>
          </w:p>
        </w:tc>
      </w:tr>
      <w:tr>
        <w:trPr/>
        <w:tc>
          <w:tcPr>
            <w:tcW w:w="800" w:type="dxa"/>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2016</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15,364</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19,001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21,106</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23,974</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25,234</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25,750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26,382</w:t>
            </w:r>
          </w:p>
        </w:tc>
        <w:tc>
          <w:tcPr>
            <w:tcW w:w="135" w:type="dxa"/>
            <w:tcBorders/>
            <w:shd w:fill="FFFFFF" w:val="clear"/>
            <w:vAlign w:val="center"/>
          </w:tcPr>
          <w:p>
            <w:pPr>
              <w:pStyle w:val="TableContents"/>
              <w:spacing w:before="0" w:after="0"/>
              <w:ind w:left="0" w:right="0" w:hanging="0"/>
              <w:rPr/>
            </w:pPr>
            <w:r>
              <w:rPr/>
              <w:t> </w:t>
            </w:r>
          </w:p>
        </w:tc>
      </w:tr>
      <w:tr>
        <w:trPr/>
        <w:tc>
          <w:tcPr>
            <w:tcW w:w="800"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2017</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16,704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24,820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28,693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31,393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32,529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33,522</w:t>
            </w:r>
          </w:p>
        </w:tc>
        <w:tc>
          <w:tcPr>
            <w:tcW w:w="135" w:type="dxa"/>
            <w:tcBorders/>
            <w:shd w:fill="CCEEFF" w:val="clear"/>
            <w:vAlign w:val="center"/>
          </w:tcPr>
          <w:p>
            <w:pPr>
              <w:pStyle w:val="TableContents"/>
              <w:spacing w:before="0" w:after="0"/>
              <w:ind w:left="0" w:right="0" w:hanging="0"/>
              <w:rPr/>
            </w:pPr>
            <w:r>
              <w:rPr/>
              <w:t> </w:t>
            </w:r>
          </w:p>
        </w:tc>
      </w:tr>
      <w:tr>
        <w:trPr/>
        <w:tc>
          <w:tcPr>
            <w:tcW w:w="800" w:type="dxa"/>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2018</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32,383</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44,516</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50,553</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52,025</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54,424</w:t>
            </w:r>
          </w:p>
        </w:tc>
        <w:tc>
          <w:tcPr>
            <w:tcW w:w="135" w:type="dxa"/>
            <w:tcBorders/>
            <w:shd w:fill="FFFFFF" w:val="clear"/>
            <w:vAlign w:val="center"/>
          </w:tcPr>
          <w:p>
            <w:pPr>
              <w:pStyle w:val="TableContents"/>
              <w:spacing w:before="0" w:after="0"/>
              <w:ind w:left="0" w:right="0" w:hanging="0"/>
              <w:rPr/>
            </w:pPr>
            <w:r>
              <w:rPr/>
              <w:t> </w:t>
            </w:r>
          </w:p>
        </w:tc>
      </w:tr>
      <w:tr>
        <w:trPr/>
        <w:tc>
          <w:tcPr>
            <w:tcW w:w="800"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2019</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40,933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54,897</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58,055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60,374</w:t>
            </w:r>
          </w:p>
        </w:tc>
        <w:tc>
          <w:tcPr>
            <w:tcW w:w="135" w:type="dxa"/>
            <w:tcBorders/>
            <w:shd w:fill="CCEEFF" w:val="clear"/>
            <w:vAlign w:val="center"/>
          </w:tcPr>
          <w:p>
            <w:pPr>
              <w:pStyle w:val="TableContents"/>
              <w:spacing w:before="0" w:after="0"/>
              <w:ind w:left="0" w:right="0" w:hanging="0"/>
              <w:rPr/>
            </w:pPr>
            <w:r>
              <w:rPr/>
              <w:t> </w:t>
            </w:r>
          </w:p>
        </w:tc>
      </w:tr>
      <w:tr>
        <w:trPr/>
        <w:tc>
          <w:tcPr>
            <w:tcW w:w="800" w:type="dxa"/>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2020</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39,045</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283"/>
              <w:jc w:val="right"/>
              <w:rPr/>
            </w:pPr>
            <w:r>
              <w:rPr/>
              <w:t>50,719</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283"/>
              <w:jc w:val="right"/>
              <w:rPr/>
            </w:pPr>
            <w:r>
              <w:rPr/>
              <w:t>53,432</w:t>
            </w:r>
          </w:p>
        </w:tc>
        <w:tc>
          <w:tcPr>
            <w:tcW w:w="135" w:type="dxa"/>
            <w:tcBorders/>
            <w:shd w:fill="FFFFFF" w:val="clear"/>
            <w:vAlign w:val="center"/>
          </w:tcPr>
          <w:p>
            <w:pPr>
              <w:pStyle w:val="TableContents"/>
              <w:spacing w:before="0" w:after="0"/>
              <w:ind w:left="0" w:right="0" w:hanging="0"/>
              <w:rPr/>
            </w:pPr>
            <w:r>
              <w:rPr/>
              <w:t> </w:t>
            </w:r>
          </w:p>
        </w:tc>
      </w:tr>
      <w:tr>
        <w:trPr/>
        <w:tc>
          <w:tcPr>
            <w:tcW w:w="800"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2021</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283"/>
              <w:jc w:val="right"/>
              <w:rPr/>
            </w:pPr>
            <w:r>
              <w:rPr/>
              <w:t>56,282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77,756</w:t>
            </w:r>
          </w:p>
        </w:tc>
        <w:tc>
          <w:tcPr>
            <w:tcW w:w="135" w:type="dxa"/>
            <w:tcBorders/>
            <w:shd w:fill="CCEEFF" w:val="clear"/>
            <w:vAlign w:val="center"/>
          </w:tcPr>
          <w:p>
            <w:pPr>
              <w:pStyle w:val="TableContents"/>
              <w:spacing w:before="0" w:after="0"/>
              <w:ind w:left="0" w:right="0" w:hanging="0"/>
              <w:rPr/>
            </w:pPr>
            <w:r>
              <w:rPr/>
              <w:t> </w:t>
            </w:r>
          </w:p>
        </w:tc>
      </w:tr>
      <w:tr>
        <w:trPr/>
        <w:tc>
          <w:tcPr>
            <w:tcW w:w="800" w:type="dxa"/>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2022</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45,856</w:t>
            </w:r>
          </w:p>
        </w:tc>
        <w:tc>
          <w:tcPr>
            <w:tcW w:w="135" w:type="dxa"/>
            <w:tcBorders/>
            <w:shd w:fill="FFFFFF" w:val="clear"/>
            <w:vAlign w:val="center"/>
          </w:tcPr>
          <w:p>
            <w:pPr>
              <w:pStyle w:val="TableContents"/>
              <w:spacing w:before="0" w:after="0"/>
              <w:ind w:left="0" w:right="0" w:hanging="0"/>
              <w:rPr/>
            </w:pPr>
            <w:r>
              <w:rPr/>
              <w:t> </w:t>
            </w:r>
          </w:p>
        </w:tc>
      </w:tr>
      <w:tr>
        <w:trPr/>
        <w:tc>
          <w:tcPr>
            <w:tcW w:w="80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880" w:type="dxa"/>
            <w:gridSpan w:val="2"/>
            <w:tcBorders/>
            <w:shd w:fill="CCEEFF" w:val="clear"/>
            <w:vAlign w:val="center"/>
          </w:tcPr>
          <w:p>
            <w:pPr>
              <w:pStyle w:val="TableContents"/>
              <w:spacing w:before="0" w:after="0"/>
              <w:ind w:left="0" w:right="0" w:hanging="0"/>
              <w:jc w:val="right"/>
              <w:rPr/>
            </w:pPr>
            <w:r>
              <w:rPr>
                <w:rStyle w:val="StrongEmphasis"/>
                <w:rFonts w:ascii="times new roman" w:hAnsi="times new roman"/>
                <w:sz w:val="20"/>
              </w:rPr>
              <w:t>Total</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single" w:sz="2" w:space="0" w:color="000000"/>
            </w:tcBorders>
            <w:shd w:fill="CCEEFF" w:val="clear"/>
            <w:tcMar>
              <w:bottom w:w="28" w:type="dxa"/>
            </w:tcMar>
            <w:vAlign w:val="center"/>
          </w:tcPr>
          <w:p>
            <w:pPr>
              <w:pStyle w:val="TableContents"/>
              <w:spacing w:before="0" w:after="283"/>
              <w:rPr/>
            </w:pPr>
            <w:r>
              <w:rPr/>
              <w:t>$</w:t>
            </w:r>
          </w:p>
        </w:tc>
        <w:tc>
          <w:tcPr>
            <w:tcW w:w="830" w:type="dxa"/>
            <w:tcBorders>
              <w:bottom w:val="single" w:sz="2" w:space="0" w:color="000000"/>
            </w:tcBorders>
            <w:shd w:fill="CCEEFF" w:val="clear"/>
            <w:tcMar>
              <w:bottom w:w="28" w:type="dxa"/>
            </w:tcMar>
            <w:vAlign w:val="center"/>
          </w:tcPr>
          <w:p>
            <w:pPr>
              <w:pStyle w:val="TableContents"/>
              <w:spacing w:before="0" w:after="283"/>
              <w:jc w:val="right"/>
              <w:rPr/>
            </w:pPr>
            <w:r>
              <w:rPr/>
              <w:t>400,811</w:t>
            </w:r>
          </w:p>
        </w:tc>
        <w:tc>
          <w:tcPr>
            <w:tcW w:w="135" w:type="dxa"/>
            <w:tcBorders/>
            <w:shd w:fill="CCEEFF" w:val="clear"/>
            <w:vAlign w:val="center"/>
          </w:tcPr>
          <w:p>
            <w:pPr>
              <w:pStyle w:val="TableContents"/>
              <w:spacing w:before="0" w:after="0"/>
              <w:ind w:left="0" w:right="0" w:hanging="0"/>
              <w:rPr/>
            </w:pPr>
            <w:r>
              <w:rPr/>
              <w:t> </w:t>
            </w:r>
          </w:p>
        </w:tc>
      </w:tr>
      <w:tr>
        <w:trPr/>
        <w:tc>
          <w:tcPr>
            <w:tcW w:w="80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71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830" w:type="dxa"/>
            <w:tcBorders/>
            <w:shd w:fill="FFFFFF" w:val="clear"/>
            <w:vAlign w:val="center"/>
          </w:tcPr>
          <w:p>
            <w:pPr>
              <w:pStyle w:val="TableContents"/>
              <w:spacing w:before="0" w:after="0"/>
              <w:ind w:left="0" w:right="0" w:hanging="0"/>
              <w:rPr/>
            </w:pPr>
            <w:r>
              <w:rPr/>
              <w:t> </w:t>
            </w:r>
          </w:p>
        </w:tc>
        <w:tc>
          <w:tcPr>
            <w:tcW w:w="135" w:type="dxa"/>
            <w:tcBorders/>
            <w:shd w:fill="FFFFFF" w:val="clear"/>
            <w:vAlign w:val="center"/>
          </w:tcPr>
          <w:p>
            <w:pPr>
              <w:pStyle w:val="TableContents"/>
              <w:spacing w:before="0" w:after="0"/>
              <w:ind w:left="0" w:right="0" w:hanging="0"/>
              <w:rPr/>
            </w:pPr>
            <w:r>
              <w:rPr/>
              <w:t> </w:t>
            </w:r>
          </w:p>
        </w:tc>
      </w:tr>
      <w:tr>
        <w:trPr/>
        <w:tc>
          <w:tcPr>
            <w:tcW w:w="10010" w:type="dxa"/>
            <w:gridSpan w:val="36"/>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Net liability for unpaid loss and allocated loss adjustment expenses for the accident years presented</w:t>
            </w:r>
          </w:p>
        </w:tc>
        <w:tc>
          <w:tcPr>
            <w:tcW w:w="90" w:type="dxa"/>
            <w:tcBorders/>
            <w:shd w:fill="CCEEFF" w:val="clear"/>
            <w:vAlign w:val="center"/>
          </w:tcPr>
          <w:p>
            <w:pPr>
              <w:pStyle w:val="TableContents"/>
              <w:spacing w:before="0" w:after="283"/>
              <w:rPr>
                <w:sz w:val="4"/>
                <w:szCs w:val="4"/>
              </w:rPr>
            </w:pPr>
            <w:r>
              <w:rPr>
                <w:sz w:val="4"/>
                <w:szCs w:val="4"/>
              </w:rPr>
            </w:r>
          </w:p>
        </w:tc>
        <w:tc>
          <w:tcPr>
            <w:tcW w:w="90" w:type="dxa"/>
            <w:tcBorders/>
            <w:shd w:fill="CCEEFF" w:val="clear"/>
            <w:vAlign w:val="center"/>
          </w:tcPr>
          <w:p>
            <w:pPr>
              <w:pStyle w:val="TableContents"/>
              <w:spacing w:before="0" w:after="283"/>
              <w:rPr>
                <w:sz w:val="4"/>
                <w:szCs w:val="4"/>
              </w:rPr>
            </w:pPr>
            <w:r>
              <w:rPr>
                <w:sz w:val="4"/>
                <w:szCs w:val="4"/>
              </w:rPr>
            </w:r>
          </w:p>
        </w:tc>
        <w:tc>
          <w:tcPr>
            <w:tcW w:w="170" w:type="dxa"/>
            <w:tcBorders/>
            <w:shd w:fill="CCEEFF" w:val="clear"/>
            <w:vAlign w:val="center"/>
          </w:tcPr>
          <w:p>
            <w:pPr>
              <w:pStyle w:val="TableContents"/>
              <w:spacing w:before="0" w:after="283"/>
              <w:rPr/>
            </w:pPr>
            <w:r>
              <w:rPr/>
              <w:t>$</w:t>
            </w:r>
          </w:p>
        </w:tc>
        <w:tc>
          <w:tcPr>
            <w:tcW w:w="830"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86,480</w:t>
            </w:r>
          </w:p>
        </w:tc>
        <w:tc>
          <w:tcPr>
            <w:tcW w:w="135" w:type="dxa"/>
            <w:tcBorders/>
            <w:shd w:fill="CCEEFF" w:val="clear"/>
            <w:vAlign w:val="center"/>
          </w:tcPr>
          <w:p>
            <w:pPr>
              <w:pStyle w:val="TableContents"/>
              <w:spacing w:before="0" w:after="0"/>
              <w:ind w:left="0" w:right="0" w:hanging="0"/>
              <w:rPr/>
            </w:pPr>
            <w:r>
              <w:rPr/>
              <w:t> </w:t>
            </w:r>
          </w:p>
        </w:tc>
      </w:tr>
      <w:tr>
        <w:trPr/>
        <w:tc>
          <w:tcPr>
            <w:tcW w:w="10010" w:type="dxa"/>
            <w:gridSpan w:val="36"/>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All outstanding liabilities before 2013, net of reinsurance</w:t>
            </w:r>
          </w:p>
        </w:tc>
        <w:tc>
          <w:tcPr>
            <w:tcW w:w="90" w:type="dxa"/>
            <w:tcBorders/>
            <w:shd w:fill="FFFFFF" w:val="clear"/>
            <w:vAlign w:val="center"/>
          </w:tcPr>
          <w:p>
            <w:pPr>
              <w:pStyle w:val="TableContents"/>
              <w:spacing w:before="0" w:after="283"/>
              <w:rPr>
                <w:sz w:val="4"/>
                <w:szCs w:val="4"/>
              </w:rPr>
            </w:pPr>
            <w:r>
              <w:rPr>
                <w:sz w:val="4"/>
                <w:szCs w:val="4"/>
              </w:rPr>
            </w:r>
          </w:p>
        </w:tc>
        <w:tc>
          <w:tcPr>
            <w:tcW w:w="90" w:type="dxa"/>
            <w:tcBorders/>
            <w:shd w:fill="FFFFFF" w:val="clear"/>
            <w:vAlign w:val="center"/>
          </w:tcPr>
          <w:p>
            <w:pPr>
              <w:pStyle w:val="TableContents"/>
              <w:spacing w:before="0" w:after="283"/>
              <w:rPr>
                <w:sz w:val="4"/>
                <w:szCs w:val="4"/>
              </w:rPr>
            </w:pPr>
            <w:r>
              <w:rPr>
                <w:sz w:val="4"/>
                <w:szCs w:val="4"/>
              </w:rPr>
            </w:r>
          </w:p>
        </w:tc>
        <w:tc>
          <w:tcPr>
            <w:tcW w:w="170" w:type="dxa"/>
            <w:tcBorders>
              <w:bottom w:val="single" w:sz="2" w:space="0" w:color="000000"/>
            </w:tcBorders>
            <w:shd w:fill="FFFFFF" w:val="clear"/>
            <w:tcMar>
              <w:bottom w:w="28" w:type="dxa"/>
            </w:tcMar>
            <w:vAlign w:val="center"/>
          </w:tcPr>
          <w:p>
            <w:pPr>
              <w:pStyle w:val="TableContents"/>
              <w:spacing w:before="0" w:after="283"/>
              <w:rPr>
                <w:sz w:val="4"/>
                <w:szCs w:val="4"/>
              </w:rPr>
            </w:pPr>
            <w:r>
              <w:rPr>
                <w:sz w:val="4"/>
                <w:szCs w:val="4"/>
              </w:rPr>
            </w:r>
          </w:p>
        </w:tc>
        <w:tc>
          <w:tcPr>
            <w:tcW w:w="830" w:type="dxa"/>
            <w:tcBorders>
              <w:bottom w:val="single" w:sz="2" w:space="0" w:color="000000"/>
            </w:tcBorders>
            <w:shd w:fill="FFFF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259</w:t>
            </w:r>
          </w:p>
        </w:tc>
        <w:tc>
          <w:tcPr>
            <w:tcW w:w="135" w:type="dxa"/>
            <w:tcBorders/>
            <w:shd w:fill="FFFFFF" w:val="clear"/>
            <w:vAlign w:val="center"/>
          </w:tcPr>
          <w:p>
            <w:pPr>
              <w:pStyle w:val="TableContents"/>
              <w:spacing w:before="0" w:after="0"/>
              <w:ind w:left="0" w:right="0" w:hanging="0"/>
              <w:rPr/>
            </w:pPr>
            <w:r>
              <w:rPr/>
              <w:t> </w:t>
            </w:r>
          </w:p>
        </w:tc>
      </w:tr>
      <w:tr>
        <w:trPr/>
        <w:tc>
          <w:tcPr>
            <w:tcW w:w="10010" w:type="dxa"/>
            <w:gridSpan w:val="36"/>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Liabilities for loss and allocated loss adjustment expenses, net of reinsurance</w:t>
            </w:r>
          </w:p>
        </w:tc>
        <w:tc>
          <w:tcPr>
            <w:tcW w:w="90" w:type="dxa"/>
            <w:tcBorders/>
            <w:shd w:fill="CCEEFF" w:val="clear"/>
            <w:vAlign w:val="center"/>
          </w:tcPr>
          <w:p>
            <w:pPr>
              <w:pStyle w:val="TableContents"/>
              <w:spacing w:before="0" w:after="283"/>
              <w:rPr>
                <w:sz w:val="4"/>
                <w:szCs w:val="4"/>
              </w:rPr>
            </w:pPr>
            <w:r>
              <w:rPr>
                <w:sz w:val="4"/>
                <w:szCs w:val="4"/>
              </w:rPr>
            </w:r>
          </w:p>
        </w:tc>
        <w:tc>
          <w:tcPr>
            <w:tcW w:w="90" w:type="dxa"/>
            <w:tcBorders/>
            <w:shd w:fill="CCEEFF" w:val="clear"/>
            <w:vAlign w:val="center"/>
          </w:tcPr>
          <w:p>
            <w:pPr>
              <w:pStyle w:val="TableContents"/>
              <w:spacing w:before="0" w:after="283"/>
              <w:rPr>
                <w:sz w:val="4"/>
                <w:szCs w:val="4"/>
              </w:rPr>
            </w:pPr>
            <w:r>
              <w:rPr>
                <w:sz w:val="4"/>
                <w:szCs w:val="4"/>
              </w:rPr>
            </w:r>
          </w:p>
        </w:tc>
        <w:tc>
          <w:tcPr>
            <w:tcW w:w="170" w:type="dxa"/>
            <w:tcBorders>
              <w:bottom w:val="double" w:sz="6" w:space="0" w:color="000000"/>
            </w:tcBorders>
            <w:shd w:fill="CCEEFF" w:val="clear"/>
            <w:tcMar>
              <w:bottom w:w="28" w:type="dxa"/>
            </w:tcMar>
            <w:vAlign w:val="center"/>
          </w:tcPr>
          <w:p>
            <w:pPr>
              <w:pStyle w:val="TableContents"/>
              <w:spacing w:before="0" w:after="283"/>
              <w:rPr/>
            </w:pPr>
            <w:r>
              <w:rPr/>
              <w:t>$</w:t>
            </w:r>
          </w:p>
        </w:tc>
        <w:tc>
          <w:tcPr>
            <w:tcW w:w="83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86,740</w:t>
            </w:r>
          </w:p>
        </w:tc>
        <w:tc>
          <w:tcPr>
            <w:tcW w:w="135"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pPr>
      <w:r>
        <w:rPr>
          <w:rStyle w:val="Emphasis"/>
          <w:rFonts w:ascii="times new roman" w:hAnsi="times new roman"/>
          <w:sz w:val="20"/>
        </w:rPr>
        <w:t>(Components may not sum to totals due to rounding)</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Reported claim counts are measured on an occurrence or per event basis.  A single claim occurrence could result in more than one loss type or claimant; however, the Company counts claims at the occurrence level as a single claim regardless of the number of claimants or claim features involved.</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F-41</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2022 AND 2021</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reconciliation of the net incurred and paid claims development tables to the liability for loss and LAE reserves in the consolidated balance sheet is as follows:</w:t>
      </w:r>
    </w:p>
    <w:p>
      <w:pPr>
        <w:pStyle w:val="TextBody"/>
        <w:spacing w:before="0" w:after="0"/>
        <w:ind w:left="0" w:right="0" w:hanging="0"/>
        <w:jc w:val="both"/>
        <w:rPr/>
      </w:pPr>
      <w:r>
        <w:rPr/>
        <w:t> </w:t>
      </w:r>
    </w:p>
    <w:tbl>
      <w:tblPr>
        <w:tblW w:w="8184" w:type="dxa"/>
        <w:jc w:val="left"/>
        <w:tblInd w:w="0" w:type="dxa"/>
        <w:tblCellMar>
          <w:top w:w="0" w:type="dxa"/>
          <w:left w:w="0" w:type="dxa"/>
          <w:bottom w:w="0" w:type="dxa"/>
          <w:right w:w="0" w:type="dxa"/>
        </w:tblCellMar>
      </w:tblPr>
      <w:tblGrid>
        <w:gridCol w:w="6290"/>
        <w:gridCol w:w="90"/>
        <w:gridCol w:w="283"/>
        <w:gridCol w:w="1386"/>
        <w:gridCol w:w="135"/>
      </w:tblGrid>
      <w:tr>
        <w:trPr/>
        <w:tc>
          <w:tcPr>
            <w:tcW w:w="8184" w:type="dxa"/>
            <w:gridSpan w:val="5"/>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Reconciliation of the Disclosure of Incurred and Paid Loss Development</w:t>
            </w:r>
          </w:p>
        </w:tc>
      </w:tr>
      <w:tr>
        <w:trPr/>
        <w:tc>
          <w:tcPr>
            <w:tcW w:w="8184" w:type="dxa"/>
            <w:gridSpan w:val="5"/>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to the Liability for Loss and LAE Reserves</w:t>
            </w:r>
          </w:p>
        </w:tc>
      </w:tr>
      <w:tr>
        <w:trPr/>
        <w:tc>
          <w:tcPr>
            <w:tcW w:w="62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669" w:type="dxa"/>
            <w:gridSpan w:val="2"/>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0"/>
              <w:ind w:left="0" w:right="0" w:hanging="0"/>
              <w:rPr/>
            </w:pPr>
            <w:r>
              <w:rPr/>
              <w:t> </w:t>
            </w:r>
          </w:p>
        </w:tc>
      </w:tr>
      <w:tr>
        <w:trPr/>
        <w:tc>
          <w:tcPr>
            <w:tcW w:w="62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669"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As of</w:t>
            </w:r>
          </w:p>
        </w:tc>
        <w:tc>
          <w:tcPr>
            <w:tcW w:w="135" w:type="dxa"/>
            <w:tcBorders/>
            <w:shd w:fill="auto" w:val="clear"/>
            <w:vAlign w:val="center"/>
          </w:tcPr>
          <w:p>
            <w:pPr>
              <w:pStyle w:val="TableContents"/>
              <w:spacing w:before="0" w:after="0"/>
              <w:ind w:left="0" w:right="0" w:hanging="0"/>
              <w:rPr/>
            </w:pPr>
            <w:r>
              <w:rPr>
                <w:rStyle w:val="StrongEmphasis"/>
              </w:rPr>
              <w:t> </w:t>
            </w:r>
          </w:p>
        </w:tc>
      </w:tr>
      <w:tr>
        <w:trPr/>
        <w:tc>
          <w:tcPr>
            <w:tcW w:w="6290" w:type="dxa"/>
            <w:tcBorders>
              <w:bottom w:val="single" w:sz="2" w:space="0" w:color="000000"/>
            </w:tcBorders>
            <w:shd w:fill="auto" w:val="clear"/>
            <w:tcMar>
              <w:bottom w:w="28" w:type="dxa"/>
            </w:tcMar>
            <w:vAlign w:val="center"/>
          </w:tcPr>
          <w:p>
            <w:pPr>
              <w:pStyle w:val="TableContents"/>
              <w:spacing w:before="0" w:after="283"/>
              <w:rPr/>
            </w:pPr>
            <w:r>
              <w:rPr>
                <w:rStyle w:val="StrongEmphasis"/>
              </w:rPr>
              <w:t>(</w:t>
            </w:r>
            <w:r>
              <w:rPr>
                <w:rStyle w:val="Emphasis"/>
              </w:rPr>
              <w:t>in thousands)</w:t>
            </w:r>
          </w:p>
        </w:tc>
        <w:tc>
          <w:tcPr>
            <w:tcW w:w="90" w:type="dxa"/>
            <w:tcBorders/>
            <w:shd w:fill="auto" w:val="clear"/>
            <w:vAlign w:val="center"/>
          </w:tcPr>
          <w:p>
            <w:pPr>
              <w:pStyle w:val="TableContents"/>
              <w:spacing w:before="0" w:after="0"/>
              <w:ind w:left="0" w:right="0" w:hanging="0"/>
              <w:rPr/>
            </w:pPr>
            <w:r>
              <w:rPr>
                <w:rStyle w:val="StrongEmphasis"/>
              </w:rPr>
              <w:t> </w:t>
            </w:r>
          </w:p>
        </w:tc>
        <w:tc>
          <w:tcPr>
            <w:tcW w:w="166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2022</w:t>
            </w:r>
          </w:p>
        </w:tc>
        <w:tc>
          <w:tcPr>
            <w:tcW w:w="135" w:type="dxa"/>
            <w:tcBorders/>
            <w:shd w:fill="auto" w:val="clear"/>
            <w:vAlign w:val="center"/>
          </w:tcPr>
          <w:p>
            <w:pPr>
              <w:pStyle w:val="TableContents"/>
              <w:spacing w:before="0" w:after="0"/>
              <w:ind w:left="0" w:right="0" w:hanging="0"/>
              <w:rPr/>
            </w:pPr>
            <w:r>
              <w:rPr/>
              <w:t> </w:t>
            </w:r>
          </w:p>
        </w:tc>
      </w:tr>
      <w:tr>
        <w:trPr/>
        <w:tc>
          <w:tcPr>
            <w:tcW w:w="6290"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Liabilities for allocated loss and loss adjustment expenses, net of reinsurance</w:t>
            </w:r>
          </w:p>
        </w:tc>
        <w:tc>
          <w:tcPr>
            <w:tcW w:w="90" w:type="dxa"/>
            <w:tcBorders/>
            <w:shd w:fill="CCEEFF" w:val="clear"/>
            <w:vAlign w:val="center"/>
          </w:tcPr>
          <w:p>
            <w:pPr>
              <w:pStyle w:val="TableContents"/>
              <w:spacing w:before="0" w:after="0"/>
              <w:ind w:left="0" w:right="0" w:hanging="0"/>
              <w:rPr/>
            </w:pPr>
            <w:r>
              <w:rPr/>
              <w:t> </w:t>
            </w:r>
          </w:p>
        </w:tc>
        <w:tc>
          <w:tcPr>
            <w:tcW w:w="283" w:type="dxa"/>
            <w:tcBorders/>
            <w:shd w:fill="CCEEFF" w:val="clear"/>
            <w:vAlign w:val="center"/>
          </w:tcPr>
          <w:p>
            <w:pPr>
              <w:pStyle w:val="TableContents"/>
              <w:spacing w:before="0" w:after="283"/>
              <w:rPr/>
            </w:pPr>
            <w:r>
              <w:rPr/>
              <w:t>$</w:t>
            </w:r>
          </w:p>
        </w:tc>
        <w:tc>
          <w:tcPr>
            <w:tcW w:w="1386" w:type="dxa"/>
            <w:tcBorders/>
            <w:shd w:fill="CCEEFF" w:val="clear"/>
            <w:vAlign w:val="center"/>
          </w:tcPr>
          <w:p>
            <w:pPr>
              <w:pStyle w:val="TableContents"/>
              <w:spacing w:before="0" w:after="283"/>
              <w:jc w:val="right"/>
              <w:rPr/>
            </w:pPr>
            <w:r>
              <w:rPr/>
              <w:t>86,740</w:t>
            </w:r>
          </w:p>
        </w:tc>
        <w:tc>
          <w:tcPr>
            <w:tcW w:w="135" w:type="dxa"/>
            <w:tcBorders/>
            <w:shd w:fill="CCEEFF" w:val="clear"/>
            <w:vAlign w:val="center"/>
          </w:tcPr>
          <w:p>
            <w:pPr>
              <w:pStyle w:val="TableContents"/>
              <w:spacing w:before="0" w:after="0"/>
              <w:ind w:left="0" w:right="0" w:hanging="0"/>
              <w:rPr/>
            </w:pPr>
            <w:r>
              <w:rPr/>
              <w:t> </w:t>
            </w:r>
          </w:p>
        </w:tc>
      </w:tr>
      <w:tr>
        <w:trPr/>
        <w:tc>
          <w:tcPr>
            <w:tcW w:w="6290"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Total reinsurance recoverable on unpaid losses</w:t>
            </w:r>
          </w:p>
        </w:tc>
        <w:tc>
          <w:tcPr>
            <w:tcW w:w="90" w:type="dxa"/>
            <w:tcBorders/>
            <w:shd w:fill="FFFFFF" w:val="clear"/>
            <w:vAlign w:val="center"/>
          </w:tcPr>
          <w:p>
            <w:pPr>
              <w:pStyle w:val="TableContents"/>
              <w:spacing w:before="0" w:after="0"/>
              <w:ind w:left="0" w:right="0" w:hanging="0"/>
              <w:rPr/>
            </w:pPr>
            <w:r>
              <w:rPr/>
              <w:t> </w:t>
            </w:r>
          </w:p>
        </w:tc>
        <w:tc>
          <w:tcPr>
            <w:tcW w:w="283" w:type="dxa"/>
            <w:tcBorders/>
            <w:shd w:fill="FFFFFF" w:val="clear"/>
            <w:vAlign w:val="center"/>
          </w:tcPr>
          <w:p>
            <w:pPr>
              <w:pStyle w:val="TableContents"/>
              <w:spacing w:before="0" w:after="0"/>
              <w:ind w:left="0" w:right="0" w:hanging="0"/>
              <w:rPr/>
            </w:pPr>
            <w:r>
              <w:rPr/>
              <w:t> </w:t>
            </w:r>
          </w:p>
        </w:tc>
        <w:tc>
          <w:tcPr>
            <w:tcW w:w="1386" w:type="dxa"/>
            <w:tcBorders/>
            <w:shd w:fill="FFFFFF" w:val="clear"/>
            <w:vAlign w:val="center"/>
          </w:tcPr>
          <w:p>
            <w:pPr>
              <w:pStyle w:val="TableContents"/>
              <w:spacing w:before="0" w:after="283"/>
              <w:jc w:val="right"/>
              <w:rPr/>
            </w:pPr>
            <w:r>
              <w:rPr/>
              <w:t>27,660</w:t>
            </w:r>
          </w:p>
        </w:tc>
        <w:tc>
          <w:tcPr>
            <w:tcW w:w="135" w:type="dxa"/>
            <w:tcBorders/>
            <w:shd w:fill="FFFFFF" w:val="clear"/>
            <w:vAlign w:val="center"/>
          </w:tcPr>
          <w:p>
            <w:pPr>
              <w:pStyle w:val="TableContents"/>
              <w:spacing w:before="0" w:after="0"/>
              <w:ind w:left="0" w:right="0" w:hanging="0"/>
              <w:rPr/>
            </w:pPr>
            <w:r>
              <w:rPr/>
              <w:t> </w:t>
            </w:r>
          </w:p>
        </w:tc>
      </w:tr>
      <w:tr>
        <w:trPr/>
        <w:tc>
          <w:tcPr>
            <w:tcW w:w="6290"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Unallocated loss adjustment expenses</w:t>
            </w:r>
          </w:p>
        </w:tc>
        <w:tc>
          <w:tcPr>
            <w:tcW w:w="90" w:type="dxa"/>
            <w:tcBorders/>
            <w:shd w:fill="CCEEFF" w:val="clear"/>
            <w:vAlign w:val="center"/>
          </w:tcPr>
          <w:p>
            <w:pPr>
              <w:pStyle w:val="TableContents"/>
              <w:spacing w:before="0" w:after="0"/>
              <w:ind w:left="0" w:right="0" w:hanging="0"/>
              <w:rPr/>
            </w:pPr>
            <w:r>
              <w:rPr/>
              <w:t> </w:t>
            </w:r>
          </w:p>
        </w:tc>
        <w:tc>
          <w:tcPr>
            <w:tcW w:w="283"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386" w:type="dxa"/>
            <w:tcBorders>
              <w:bottom w:val="single" w:sz="2" w:space="0" w:color="000000"/>
            </w:tcBorders>
            <w:shd w:fill="CCEEFF" w:val="clear"/>
            <w:tcMar>
              <w:bottom w:w="28" w:type="dxa"/>
            </w:tcMar>
            <w:vAlign w:val="center"/>
          </w:tcPr>
          <w:p>
            <w:pPr>
              <w:pStyle w:val="TableContents"/>
              <w:spacing w:before="0" w:after="283"/>
              <w:jc w:val="right"/>
              <w:rPr/>
            </w:pPr>
            <w:r>
              <w:rPr/>
              <w:t>3,940</w:t>
            </w:r>
          </w:p>
        </w:tc>
        <w:tc>
          <w:tcPr>
            <w:tcW w:w="135" w:type="dxa"/>
            <w:tcBorders/>
            <w:shd w:fill="CCEEFF" w:val="clear"/>
            <w:vAlign w:val="center"/>
          </w:tcPr>
          <w:p>
            <w:pPr>
              <w:pStyle w:val="TableContents"/>
              <w:spacing w:before="0" w:after="0"/>
              <w:ind w:left="0" w:right="0" w:hanging="0"/>
              <w:rPr/>
            </w:pPr>
            <w:r>
              <w:rPr/>
              <w:t> </w:t>
            </w:r>
          </w:p>
        </w:tc>
      </w:tr>
      <w:tr>
        <w:trPr/>
        <w:tc>
          <w:tcPr>
            <w:tcW w:w="6290" w:type="dxa"/>
            <w:tcBorders/>
            <w:shd w:fill="FFFFFF" w:val="clear"/>
            <w:vAlign w:val="center"/>
          </w:tcPr>
          <w:p>
            <w:pPr>
              <w:pStyle w:val="TableContents"/>
              <w:spacing w:before="0" w:after="283"/>
              <w:rPr/>
            </w:pPr>
            <w:r>
              <w:rPr/>
              <w:t>Total gross liability for loss and LAE reserves</w:t>
            </w:r>
          </w:p>
        </w:tc>
        <w:tc>
          <w:tcPr>
            <w:tcW w:w="90" w:type="dxa"/>
            <w:tcBorders/>
            <w:shd w:fill="FFFFFF" w:val="clear"/>
            <w:vAlign w:val="center"/>
          </w:tcPr>
          <w:p>
            <w:pPr>
              <w:pStyle w:val="TableContents"/>
              <w:spacing w:before="0" w:after="0"/>
              <w:ind w:left="0" w:right="0" w:hanging="0"/>
              <w:rPr/>
            </w:pPr>
            <w:r>
              <w:rPr/>
              <w:t> </w:t>
            </w:r>
          </w:p>
        </w:tc>
        <w:tc>
          <w:tcPr>
            <w:tcW w:w="283" w:type="dxa"/>
            <w:tcBorders>
              <w:bottom w:val="double" w:sz="5" w:space="0" w:color="000000"/>
            </w:tcBorders>
            <w:shd w:fill="FFFFFF" w:val="clear"/>
            <w:tcMar>
              <w:bottom w:w="28" w:type="dxa"/>
            </w:tcMar>
            <w:vAlign w:val="center"/>
          </w:tcPr>
          <w:p>
            <w:pPr>
              <w:pStyle w:val="TableContents"/>
              <w:spacing w:before="0" w:after="283"/>
              <w:rPr/>
            </w:pPr>
            <w:r>
              <w:rPr/>
              <w:t>$</w:t>
            </w:r>
          </w:p>
        </w:tc>
        <w:tc>
          <w:tcPr>
            <w:tcW w:w="1386" w:type="dxa"/>
            <w:tcBorders>
              <w:bottom w:val="double" w:sz="5" w:space="0" w:color="000000"/>
            </w:tcBorders>
            <w:shd w:fill="FFFFFF" w:val="clear"/>
            <w:tcMar>
              <w:bottom w:w="28" w:type="dxa"/>
            </w:tcMar>
            <w:vAlign w:val="center"/>
          </w:tcPr>
          <w:p>
            <w:pPr>
              <w:pStyle w:val="TableContents"/>
              <w:spacing w:before="0" w:after="283"/>
              <w:jc w:val="right"/>
              <w:rPr/>
            </w:pPr>
            <w:r>
              <w:rPr/>
              <w:t>118,340</w:t>
            </w:r>
          </w:p>
        </w:tc>
        <w:tc>
          <w:tcPr>
            <w:tcW w:w="135" w:type="dxa"/>
            <w:tcBorders/>
            <w:shd w:fill="FFFF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is supplementary unaudited information about average historical claims duration as of December 31, 2022:</w:t>
      </w:r>
    </w:p>
    <w:p>
      <w:pPr>
        <w:pStyle w:val="TextBody"/>
        <w:spacing w:before="0" w:after="0"/>
        <w:ind w:left="0" w:right="0" w:hanging="0"/>
        <w:jc w:val="both"/>
        <w:rPr/>
      </w:pPr>
      <w:r>
        <w:rPr/>
        <w:t> </w:t>
      </w:r>
    </w:p>
    <w:tbl>
      <w:tblPr>
        <w:tblW w:w="10140" w:type="dxa"/>
        <w:jc w:val="left"/>
        <w:tblInd w:w="0" w:type="dxa"/>
        <w:tblCellMar>
          <w:top w:w="0" w:type="dxa"/>
          <w:left w:w="0" w:type="dxa"/>
          <w:bottom w:w="28" w:type="dxa"/>
          <w:right w:w="0" w:type="dxa"/>
        </w:tblCellMar>
      </w:tblPr>
      <w:tblGrid>
        <w:gridCol w:w="2105"/>
        <w:gridCol w:w="90"/>
        <w:gridCol w:w="90"/>
        <w:gridCol w:w="470"/>
        <w:gridCol w:w="245"/>
        <w:gridCol w:w="90"/>
        <w:gridCol w:w="90"/>
        <w:gridCol w:w="470"/>
        <w:gridCol w:w="245"/>
        <w:gridCol w:w="90"/>
        <w:gridCol w:w="90"/>
        <w:gridCol w:w="350"/>
        <w:gridCol w:w="245"/>
        <w:gridCol w:w="90"/>
        <w:gridCol w:w="90"/>
        <w:gridCol w:w="350"/>
        <w:gridCol w:w="245"/>
        <w:gridCol w:w="90"/>
        <w:gridCol w:w="90"/>
        <w:gridCol w:w="350"/>
        <w:gridCol w:w="245"/>
        <w:gridCol w:w="90"/>
        <w:gridCol w:w="90"/>
        <w:gridCol w:w="350"/>
        <w:gridCol w:w="245"/>
        <w:gridCol w:w="90"/>
        <w:gridCol w:w="90"/>
        <w:gridCol w:w="350"/>
        <w:gridCol w:w="245"/>
        <w:gridCol w:w="90"/>
        <w:gridCol w:w="90"/>
        <w:gridCol w:w="350"/>
        <w:gridCol w:w="245"/>
        <w:gridCol w:w="90"/>
        <w:gridCol w:w="90"/>
        <w:gridCol w:w="350"/>
        <w:gridCol w:w="245"/>
        <w:gridCol w:w="90"/>
        <w:gridCol w:w="90"/>
        <w:gridCol w:w="350"/>
        <w:gridCol w:w="290"/>
      </w:tblGrid>
      <w:tr>
        <w:trPr/>
        <w:tc>
          <w:tcPr>
            <w:tcW w:w="9850" w:type="dxa"/>
            <w:gridSpan w:val="40"/>
            <w:tcBorders>
              <w:bottom w:val="single" w:sz="4"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Average Annual Percentage Payout of Incurred Loss and Allocated Loss Adjustment Expenses by Age, Net of</w:t>
            </w:r>
          </w:p>
          <w:p>
            <w:pPr>
              <w:pStyle w:val="TableContents"/>
              <w:spacing w:before="0" w:after="0"/>
              <w:ind w:left="0" w:right="0" w:hanging="0"/>
              <w:jc w:val="center"/>
              <w:rPr/>
            </w:pPr>
            <w:r>
              <w:rPr>
                <w:rStyle w:val="StrongEmphasis"/>
                <w:rFonts w:ascii="times new roman" w:hAnsi="times new roman"/>
                <w:sz w:val="20"/>
              </w:rPr>
              <w:t>Reinsurance</w:t>
            </w:r>
          </w:p>
        </w:tc>
        <w:tc>
          <w:tcPr>
            <w:tcW w:w="290" w:type="dxa"/>
            <w:tcBorders/>
            <w:shd w:fill="auto" w:val="clear"/>
            <w:tcMar>
              <w:bottom w:w="0" w:type="dxa"/>
            </w:tcMar>
            <w:vAlign w:val="center"/>
          </w:tcPr>
          <w:p>
            <w:pPr>
              <w:pStyle w:val="TableContents"/>
              <w:spacing w:before="0" w:after="0"/>
              <w:ind w:left="0" w:right="0" w:hanging="0"/>
              <w:rPr/>
            </w:pPr>
            <w:r>
              <w:rPr/>
              <w:t> </w:t>
            </w:r>
          </w:p>
        </w:tc>
      </w:tr>
      <w:tr>
        <w:trPr/>
        <w:tc>
          <w:tcPr>
            <w:tcW w:w="2105" w:type="dxa"/>
            <w:tcBorders/>
            <w:shd w:fill="CCEEFF" w:val="clear"/>
            <w:tcMar>
              <w:bottom w:w="0" w:type="dxa"/>
            </w:tcMar>
            <w:vAlign w:val="center"/>
          </w:tcPr>
          <w:p>
            <w:pPr>
              <w:pStyle w:val="TableContents"/>
              <w:spacing w:before="0" w:after="283"/>
              <w:rPr/>
            </w:pPr>
            <w:r>
              <w:rPr/>
              <w:t>Years</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470" w:type="dxa"/>
            <w:tcBorders/>
            <w:shd w:fill="CCEEFF" w:val="clear"/>
            <w:tcMar>
              <w:bottom w:w="0" w:type="dxa"/>
            </w:tcMar>
            <w:vAlign w:val="center"/>
          </w:tcPr>
          <w:p>
            <w:pPr>
              <w:pStyle w:val="TableContents"/>
              <w:spacing w:before="0" w:after="283"/>
              <w:jc w:val="right"/>
              <w:rPr/>
            </w:pPr>
            <w:r>
              <w:rPr/>
              <w:t>1</w:t>
            </w:r>
          </w:p>
        </w:tc>
        <w:tc>
          <w:tcPr>
            <w:tcW w:w="24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470" w:type="dxa"/>
            <w:tcBorders/>
            <w:shd w:fill="CCEEFF" w:val="clear"/>
            <w:tcMar>
              <w:bottom w:w="0" w:type="dxa"/>
            </w:tcMar>
            <w:vAlign w:val="center"/>
          </w:tcPr>
          <w:p>
            <w:pPr>
              <w:pStyle w:val="TableContents"/>
              <w:spacing w:before="0" w:after="283"/>
              <w:jc w:val="right"/>
              <w:rPr/>
            </w:pPr>
            <w:r>
              <w:rPr/>
              <w:t>2</w:t>
            </w:r>
          </w:p>
        </w:tc>
        <w:tc>
          <w:tcPr>
            <w:tcW w:w="24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350" w:type="dxa"/>
            <w:tcBorders/>
            <w:shd w:fill="CCEEFF" w:val="clear"/>
            <w:tcMar>
              <w:bottom w:w="0" w:type="dxa"/>
            </w:tcMar>
            <w:vAlign w:val="center"/>
          </w:tcPr>
          <w:p>
            <w:pPr>
              <w:pStyle w:val="TableContents"/>
              <w:spacing w:before="0" w:after="283"/>
              <w:jc w:val="right"/>
              <w:rPr/>
            </w:pPr>
            <w:r>
              <w:rPr/>
              <w:t>3</w:t>
            </w:r>
          </w:p>
        </w:tc>
        <w:tc>
          <w:tcPr>
            <w:tcW w:w="24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350" w:type="dxa"/>
            <w:tcBorders/>
            <w:shd w:fill="CCEEFF" w:val="clear"/>
            <w:tcMar>
              <w:bottom w:w="0" w:type="dxa"/>
            </w:tcMar>
            <w:vAlign w:val="center"/>
          </w:tcPr>
          <w:p>
            <w:pPr>
              <w:pStyle w:val="TableContents"/>
              <w:spacing w:before="0" w:after="283"/>
              <w:jc w:val="right"/>
              <w:rPr/>
            </w:pPr>
            <w:r>
              <w:rPr/>
              <w:t>4</w:t>
            </w:r>
          </w:p>
        </w:tc>
        <w:tc>
          <w:tcPr>
            <w:tcW w:w="24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350" w:type="dxa"/>
            <w:tcBorders/>
            <w:shd w:fill="CCEEFF" w:val="clear"/>
            <w:tcMar>
              <w:bottom w:w="0" w:type="dxa"/>
            </w:tcMar>
            <w:vAlign w:val="center"/>
          </w:tcPr>
          <w:p>
            <w:pPr>
              <w:pStyle w:val="TableContents"/>
              <w:spacing w:before="0" w:after="283"/>
              <w:jc w:val="right"/>
              <w:rPr/>
            </w:pPr>
            <w:r>
              <w:rPr/>
              <w:t>5</w:t>
            </w:r>
          </w:p>
        </w:tc>
        <w:tc>
          <w:tcPr>
            <w:tcW w:w="24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350" w:type="dxa"/>
            <w:tcBorders/>
            <w:shd w:fill="CCEEFF" w:val="clear"/>
            <w:tcMar>
              <w:bottom w:w="0" w:type="dxa"/>
            </w:tcMar>
            <w:vAlign w:val="center"/>
          </w:tcPr>
          <w:p>
            <w:pPr>
              <w:pStyle w:val="TableContents"/>
              <w:spacing w:before="0" w:after="283"/>
              <w:jc w:val="right"/>
              <w:rPr/>
            </w:pPr>
            <w:r>
              <w:rPr/>
              <w:t>6</w:t>
            </w:r>
          </w:p>
        </w:tc>
        <w:tc>
          <w:tcPr>
            <w:tcW w:w="24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350" w:type="dxa"/>
            <w:tcBorders/>
            <w:shd w:fill="CCEEFF" w:val="clear"/>
            <w:tcMar>
              <w:bottom w:w="0" w:type="dxa"/>
            </w:tcMar>
            <w:vAlign w:val="center"/>
          </w:tcPr>
          <w:p>
            <w:pPr>
              <w:pStyle w:val="TableContents"/>
              <w:spacing w:before="0" w:after="283"/>
              <w:jc w:val="right"/>
              <w:rPr/>
            </w:pPr>
            <w:r>
              <w:rPr/>
              <w:t>7</w:t>
            </w:r>
          </w:p>
        </w:tc>
        <w:tc>
          <w:tcPr>
            <w:tcW w:w="24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350" w:type="dxa"/>
            <w:tcBorders/>
            <w:shd w:fill="CCEEFF" w:val="clear"/>
            <w:tcMar>
              <w:bottom w:w="0" w:type="dxa"/>
            </w:tcMar>
            <w:vAlign w:val="center"/>
          </w:tcPr>
          <w:p>
            <w:pPr>
              <w:pStyle w:val="TableContents"/>
              <w:spacing w:before="0" w:after="283"/>
              <w:jc w:val="right"/>
              <w:rPr/>
            </w:pPr>
            <w:r>
              <w:rPr/>
              <w:t>8</w:t>
            </w:r>
          </w:p>
        </w:tc>
        <w:tc>
          <w:tcPr>
            <w:tcW w:w="24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350" w:type="dxa"/>
            <w:tcBorders/>
            <w:shd w:fill="CCEEFF" w:val="clear"/>
            <w:tcMar>
              <w:bottom w:w="0" w:type="dxa"/>
            </w:tcMar>
            <w:vAlign w:val="center"/>
          </w:tcPr>
          <w:p>
            <w:pPr>
              <w:pStyle w:val="TableContents"/>
              <w:spacing w:before="0" w:after="283"/>
              <w:jc w:val="right"/>
              <w:rPr/>
            </w:pPr>
            <w:r>
              <w:rPr/>
              <w:t>9</w:t>
            </w:r>
          </w:p>
        </w:tc>
        <w:tc>
          <w:tcPr>
            <w:tcW w:w="24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350" w:type="dxa"/>
            <w:tcBorders/>
            <w:shd w:fill="CCEEFF" w:val="clear"/>
            <w:tcMar>
              <w:bottom w:w="0" w:type="dxa"/>
            </w:tcMar>
            <w:vAlign w:val="center"/>
          </w:tcPr>
          <w:p>
            <w:pPr>
              <w:pStyle w:val="TableContents"/>
              <w:spacing w:before="0" w:after="283"/>
              <w:jc w:val="right"/>
              <w:rPr/>
            </w:pPr>
            <w:r>
              <w:rPr/>
              <w:t>10</w:t>
            </w:r>
          </w:p>
        </w:tc>
        <w:tc>
          <w:tcPr>
            <w:tcW w:w="290" w:type="dxa"/>
            <w:tcBorders/>
            <w:shd w:fill="CCEEFF" w:val="clear"/>
            <w:tcMar>
              <w:bottom w:w="0" w:type="dxa"/>
            </w:tcMar>
            <w:vAlign w:val="center"/>
          </w:tcPr>
          <w:p>
            <w:pPr>
              <w:pStyle w:val="TableContents"/>
              <w:spacing w:before="0" w:after="0"/>
              <w:ind w:left="0" w:right="0" w:hanging="0"/>
              <w:rPr/>
            </w:pPr>
            <w:r>
              <w:rPr/>
              <w:t> </w:t>
            </w:r>
          </w:p>
        </w:tc>
      </w:tr>
      <w:tr>
        <w:trPr/>
        <w:tc>
          <w:tcPr>
            <w:tcW w:w="2105" w:type="dxa"/>
            <w:tcBorders/>
            <w:shd w:fill="FFFFFF" w:val="clear"/>
            <w:tcMar>
              <w:bottom w:w="0" w:type="dxa"/>
            </w:tcMar>
            <w:vAlign w:val="center"/>
          </w:tcPr>
          <w:p>
            <w:pPr>
              <w:pStyle w:val="TableContents"/>
              <w:spacing w:before="0" w:after="283"/>
              <w:rPr/>
            </w:pPr>
            <w:r>
              <w:rPr/>
              <w:t>All Lines of Business</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470" w:type="dxa"/>
            <w:tcBorders/>
            <w:shd w:fill="FFFFFF" w:val="clear"/>
            <w:tcMar>
              <w:bottom w:w="0" w:type="dxa"/>
            </w:tcMar>
            <w:vAlign w:val="center"/>
          </w:tcPr>
          <w:p>
            <w:pPr>
              <w:pStyle w:val="TableContents"/>
              <w:spacing w:before="0" w:after="283"/>
              <w:jc w:val="right"/>
              <w:rPr/>
            </w:pPr>
            <w:r>
              <w:rPr/>
              <w:t>50.8</w:t>
            </w:r>
          </w:p>
        </w:tc>
        <w:tc>
          <w:tcPr>
            <w:tcW w:w="24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470" w:type="dxa"/>
            <w:tcBorders/>
            <w:shd w:fill="FFFFFF" w:val="clear"/>
            <w:tcMar>
              <w:bottom w:w="0" w:type="dxa"/>
            </w:tcMar>
            <w:vAlign w:val="center"/>
          </w:tcPr>
          <w:p>
            <w:pPr>
              <w:pStyle w:val="TableContents"/>
              <w:spacing w:before="0" w:after="283"/>
              <w:jc w:val="right"/>
              <w:rPr/>
            </w:pPr>
            <w:r>
              <w:rPr/>
              <w:t>19.2</w:t>
            </w:r>
          </w:p>
        </w:tc>
        <w:tc>
          <w:tcPr>
            <w:tcW w:w="24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350" w:type="dxa"/>
            <w:tcBorders/>
            <w:shd w:fill="FFFFFF" w:val="clear"/>
            <w:tcMar>
              <w:bottom w:w="0" w:type="dxa"/>
            </w:tcMar>
            <w:vAlign w:val="center"/>
          </w:tcPr>
          <w:p>
            <w:pPr>
              <w:pStyle w:val="TableContents"/>
              <w:spacing w:before="0" w:after="283"/>
              <w:jc w:val="right"/>
              <w:rPr/>
            </w:pPr>
            <w:r>
              <w:rPr/>
              <w:t>8.3</w:t>
            </w:r>
          </w:p>
        </w:tc>
        <w:tc>
          <w:tcPr>
            <w:tcW w:w="24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350" w:type="dxa"/>
            <w:tcBorders/>
            <w:shd w:fill="FFFFFF" w:val="clear"/>
            <w:tcMar>
              <w:bottom w:w="0" w:type="dxa"/>
            </w:tcMar>
            <w:vAlign w:val="center"/>
          </w:tcPr>
          <w:p>
            <w:pPr>
              <w:pStyle w:val="TableContents"/>
              <w:spacing w:before="0" w:after="283"/>
              <w:jc w:val="right"/>
              <w:rPr/>
            </w:pPr>
            <w:r>
              <w:rPr/>
              <w:t>6.6</w:t>
            </w:r>
          </w:p>
        </w:tc>
        <w:tc>
          <w:tcPr>
            <w:tcW w:w="24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350" w:type="dxa"/>
            <w:tcBorders/>
            <w:shd w:fill="FFFFFF" w:val="clear"/>
            <w:tcMar>
              <w:bottom w:w="0" w:type="dxa"/>
            </w:tcMar>
            <w:vAlign w:val="center"/>
          </w:tcPr>
          <w:p>
            <w:pPr>
              <w:pStyle w:val="TableContents"/>
              <w:spacing w:before="0" w:after="283"/>
              <w:jc w:val="right"/>
              <w:rPr/>
            </w:pPr>
            <w:r>
              <w:rPr/>
              <w:t>6.1</w:t>
            </w:r>
          </w:p>
        </w:tc>
        <w:tc>
          <w:tcPr>
            <w:tcW w:w="24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350" w:type="dxa"/>
            <w:tcBorders/>
            <w:shd w:fill="FFFFFF" w:val="clear"/>
            <w:tcMar>
              <w:bottom w:w="0" w:type="dxa"/>
            </w:tcMar>
            <w:vAlign w:val="center"/>
          </w:tcPr>
          <w:p>
            <w:pPr>
              <w:pStyle w:val="TableContents"/>
              <w:spacing w:before="0" w:after="283"/>
              <w:jc w:val="right"/>
              <w:rPr/>
            </w:pPr>
            <w:r>
              <w:rPr/>
              <w:t>4.4</w:t>
            </w:r>
          </w:p>
        </w:tc>
        <w:tc>
          <w:tcPr>
            <w:tcW w:w="24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350" w:type="dxa"/>
            <w:tcBorders/>
            <w:shd w:fill="FFFFFF" w:val="clear"/>
            <w:tcMar>
              <w:bottom w:w="0" w:type="dxa"/>
            </w:tcMar>
            <w:vAlign w:val="center"/>
          </w:tcPr>
          <w:p>
            <w:pPr>
              <w:pStyle w:val="TableContents"/>
              <w:spacing w:before="0" w:after="283"/>
              <w:jc w:val="right"/>
              <w:rPr/>
            </w:pPr>
            <w:r>
              <w:rPr/>
              <w:t>3.3</w:t>
            </w:r>
          </w:p>
        </w:tc>
        <w:tc>
          <w:tcPr>
            <w:tcW w:w="24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350" w:type="dxa"/>
            <w:tcBorders/>
            <w:shd w:fill="FFFFFF" w:val="clear"/>
            <w:tcMar>
              <w:bottom w:w="0" w:type="dxa"/>
            </w:tcMar>
            <w:vAlign w:val="center"/>
          </w:tcPr>
          <w:p>
            <w:pPr>
              <w:pStyle w:val="TableContents"/>
              <w:spacing w:before="0" w:after="283"/>
              <w:jc w:val="right"/>
              <w:rPr/>
            </w:pPr>
            <w:r>
              <w:rPr/>
              <w:t>1.7</w:t>
            </w:r>
          </w:p>
        </w:tc>
        <w:tc>
          <w:tcPr>
            <w:tcW w:w="24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350" w:type="dxa"/>
            <w:tcBorders/>
            <w:shd w:fill="FFFFFF" w:val="clear"/>
            <w:tcMar>
              <w:bottom w:w="0" w:type="dxa"/>
            </w:tcMar>
            <w:vAlign w:val="center"/>
          </w:tcPr>
          <w:p>
            <w:pPr>
              <w:pStyle w:val="TableContents"/>
              <w:spacing w:before="0" w:after="283"/>
              <w:jc w:val="right"/>
              <w:rPr/>
            </w:pPr>
            <w:r>
              <w:rPr/>
              <w:t>2.9</w:t>
            </w:r>
          </w:p>
        </w:tc>
        <w:tc>
          <w:tcPr>
            <w:tcW w:w="24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350" w:type="dxa"/>
            <w:tcBorders/>
            <w:shd w:fill="FFFFFF" w:val="clear"/>
            <w:tcMar>
              <w:bottom w:w="0" w:type="dxa"/>
            </w:tcMar>
            <w:vAlign w:val="center"/>
          </w:tcPr>
          <w:p>
            <w:pPr>
              <w:pStyle w:val="TableContents"/>
              <w:spacing w:before="0" w:after="283"/>
              <w:jc w:val="right"/>
              <w:rPr/>
            </w:pPr>
            <w:r>
              <w:rPr/>
              <w:t>0.8</w:t>
            </w:r>
          </w:p>
        </w:tc>
        <w:tc>
          <w:tcPr>
            <w:tcW w:w="290" w:type="dxa"/>
            <w:tcBorders/>
            <w:shd w:fill="FFFFFF" w:val="clear"/>
            <w:tcMar>
              <w:bottom w:w="0" w:type="dxa"/>
            </w:tcMar>
            <w:vAlign w:val="center"/>
          </w:tcPr>
          <w:p>
            <w:pPr>
              <w:pStyle w:val="TableContents"/>
              <w:spacing w:before="0" w:after="283"/>
              <w:rPr/>
            </w:pPr>
            <w:r>
              <w:rPr/>
              <w:t>%</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percentages in the above table do not add up to 100 because the percentages represent averages across all accident years at each development stage.</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Note 12 – Stockholders’ Equity</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Dividends Declared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Dividends declared and paid on Common Stock were $1,277,066 and $1,694,148 for the years ended December 31, 2022 and 2021, respectively. On November 11, 2022, the Company’s Board of Directors determined to suspend regular quarterly dividends due to restrictions that may be imposed in connection with the 2017 Notes refinancing and the need to retain cash to pay a portion of 2017 Notes that were due on December 30, 2022. Future dividend policy will be subject to the discretion of the Company’s Board of Directors.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Stock Options</w:t>
      </w:r>
    </w:p>
    <w:p>
      <w:pPr>
        <w:pStyle w:val="TextBody"/>
        <w:spacing w:before="0" w:after="0"/>
        <w:ind w:left="0" w:right="0" w:hanging="0"/>
        <w:jc w:val="both"/>
        <w:rPr/>
      </w:pPr>
      <w:r>
        <w:rPr/>
        <w:t> </w:t>
      </w:r>
    </w:p>
    <w:p>
      <w:pPr>
        <w:pStyle w:val="TextBody"/>
        <w:spacing w:before="0" w:after="0"/>
        <w:ind w:left="0" w:right="0" w:hanging="0"/>
        <w:rPr>
          <w:rFonts w:ascii="times new roman" w:hAnsi="times new roman"/>
          <w:sz w:val="20"/>
        </w:rPr>
      </w:pPr>
      <w:r>
        <w:rPr>
          <w:rFonts w:ascii="times new roman" w:hAnsi="times new roman"/>
          <w:sz w:val="20"/>
        </w:rPr>
        <w:t>Effective August 12, 2014, the Company adopted the 2014 Equity Participation Plan (the “2014 Plan”) pursuant to which a maximum of 700,000 shares of Common Stock of the Company were initially authorized to be issued pursuant to the grant of incentive stock options, non-statutory stock options, stock appreciation rights, restricted stock and stock bonuses.  Incentive stock options granted under the 2014 Plan expire no later than ten years from the date of grant (except no later than five years for a grant to a 10% stockholder). Non-statutory stock options granted under the 2014 Plan expire no later than ten years from the date of grant.  The Board of Directors or the Compensation Committee determines the vesting provisions for stock awards granted under the 2014 Plan, subject to the provisions of the 2014 Plan.  On August 5, 2020, the Company’s stockholders approved amendments to the 2014 Plan, including an increase in the maximum number of shares of Common Stock of the Company that are authorized to be issued pursuant to the 2014 Plan to 1,400,000.</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F-42</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2022 AND 2021</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results of operations for the years ended December 31, 2022 and 2021 include stock-based compensation expense for stock options totaling approximately $9,000 and $55,000, respectively. Stock-based compensation expense related to stock options for the years ended December 31, 2022 and 2021 is net of estimated forfeitures of approximately 18% and 16%, respectively. Such amounts have been included in the consolidated statements of operations and comprehensive income (loss) within other operating expenses.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No options were granted during the year ended December 31, 2022. The fair value of stock options at the grant date are estimated using the Black-Scholes option-pricing model. The Black-Scholes option - 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the Company’s stock options.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 summary of stock option activity under the Company’s 2014 Plan for the year ended December 31, 2022 is as follows:</w:t>
      </w:r>
    </w:p>
    <w:p>
      <w:pPr>
        <w:pStyle w:val="TextBody"/>
        <w:spacing w:before="0" w:after="0"/>
        <w:ind w:left="0" w:right="0" w:hanging="0"/>
        <w:jc w:val="both"/>
        <w:rPr/>
      </w:pPr>
      <w:r>
        <w:rPr/>
        <w:t> </w:t>
      </w:r>
    </w:p>
    <w:tbl>
      <w:tblPr>
        <w:tblW w:w="10205" w:type="dxa"/>
        <w:jc w:val="left"/>
        <w:tblInd w:w="0" w:type="dxa"/>
        <w:tblCellMar>
          <w:top w:w="0" w:type="dxa"/>
          <w:left w:w="0" w:type="dxa"/>
          <w:bottom w:w="28" w:type="dxa"/>
          <w:right w:w="0" w:type="dxa"/>
        </w:tblCellMar>
      </w:tblPr>
      <w:tblGrid>
        <w:gridCol w:w="2525"/>
        <w:gridCol w:w="90"/>
        <w:gridCol w:w="116"/>
        <w:gridCol w:w="1071"/>
        <w:gridCol w:w="90"/>
        <w:gridCol w:w="90"/>
        <w:gridCol w:w="553"/>
        <w:gridCol w:w="1534"/>
        <w:gridCol w:w="90"/>
        <w:gridCol w:w="90"/>
        <w:gridCol w:w="380"/>
        <w:gridCol w:w="2004"/>
        <w:gridCol w:w="90"/>
        <w:gridCol w:w="90"/>
        <w:gridCol w:w="720"/>
        <w:gridCol w:w="531"/>
        <w:gridCol w:w="141"/>
      </w:tblGrid>
      <w:tr>
        <w:trPr/>
        <w:tc>
          <w:tcPr>
            <w:tcW w:w="2525" w:type="dxa"/>
            <w:tcBorders>
              <w:bottom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Stock Options</w:t>
            </w:r>
          </w:p>
        </w:tc>
        <w:tc>
          <w:tcPr>
            <w:tcW w:w="90" w:type="dxa"/>
            <w:tcBorders/>
            <w:shd w:fill="auto" w:val="clear"/>
            <w:tcMar>
              <w:bottom w:w="0" w:type="dxa"/>
            </w:tcMar>
            <w:vAlign w:val="center"/>
          </w:tcPr>
          <w:p>
            <w:pPr>
              <w:pStyle w:val="TableContents"/>
              <w:spacing w:before="0" w:after="0"/>
              <w:ind w:left="0" w:right="0" w:hanging="0"/>
              <w:rPr/>
            </w:pPr>
            <w:r>
              <w:rPr>
                <w:rStyle w:val="StrongEmphasis"/>
              </w:rPr>
              <w:t> </w:t>
            </w:r>
          </w:p>
        </w:tc>
        <w:tc>
          <w:tcPr>
            <w:tcW w:w="1187"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Number of Shares</w:t>
            </w:r>
          </w:p>
        </w:tc>
        <w:tc>
          <w:tcPr>
            <w:tcW w:w="90" w:type="dxa"/>
            <w:tcBorders/>
            <w:shd w:fill="auto" w:val="clear"/>
            <w:tcMar>
              <w:bottom w:w="0" w:type="dxa"/>
            </w:tcMar>
            <w:vAlign w:val="center"/>
          </w:tcPr>
          <w:p>
            <w:pPr>
              <w:pStyle w:val="TableContents"/>
              <w:spacing w:before="0" w:after="0"/>
              <w:ind w:left="0" w:right="0" w:hanging="0"/>
              <w:rPr/>
            </w:pPr>
            <w:r>
              <w:rPr>
                <w:rStyle w:val="StrongEmphasis"/>
              </w:rPr>
              <w:t> </w:t>
            </w:r>
          </w:p>
        </w:tc>
        <w:tc>
          <w:tcPr>
            <w:tcW w:w="90" w:type="dxa"/>
            <w:tcBorders/>
            <w:shd w:fill="auto" w:val="clear"/>
            <w:tcMar>
              <w:bottom w:w="0" w:type="dxa"/>
            </w:tcMar>
            <w:vAlign w:val="center"/>
          </w:tcPr>
          <w:p>
            <w:pPr>
              <w:pStyle w:val="TableContents"/>
              <w:spacing w:before="0" w:after="0"/>
              <w:ind w:left="0" w:right="0" w:hanging="0"/>
              <w:rPr/>
            </w:pPr>
            <w:r>
              <w:rPr>
                <w:rStyle w:val="StrongEmphasis"/>
              </w:rPr>
              <w:t> </w:t>
            </w:r>
          </w:p>
        </w:tc>
        <w:tc>
          <w:tcPr>
            <w:tcW w:w="2087"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Weighted Average Exercise Price per Share </w:t>
            </w:r>
          </w:p>
        </w:tc>
        <w:tc>
          <w:tcPr>
            <w:tcW w:w="90" w:type="dxa"/>
            <w:tcBorders/>
            <w:shd w:fill="auto" w:val="clear"/>
            <w:tcMar>
              <w:bottom w:w="0" w:type="dxa"/>
            </w:tcMar>
            <w:vAlign w:val="center"/>
          </w:tcPr>
          <w:p>
            <w:pPr>
              <w:pStyle w:val="TableContents"/>
              <w:spacing w:before="0" w:after="0"/>
              <w:ind w:left="0" w:right="0" w:hanging="0"/>
              <w:rPr/>
            </w:pPr>
            <w:r>
              <w:rPr>
                <w:rStyle w:val="StrongEmphasis"/>
              </w:rPr>
              <w:t> </w:t>
            </w:r>
          </w:p>
        </w:tc>
        <w:tc>
          <w:tcPr>
            <w:tcW w:w="90" w:type="dxa"/>
            <w:tcBorders/>
            <w:shd w:fill="auto" w:val="clear"/>
            <w:tcMar>
              <w:bottom w:w="0" w:type="dxa"/>
            </w:tcMar>
            <w:vAlign w:val="center"/>
          </w:tcPr>
          <w:p>
            <w:pPr>
              <w:pStyle w:val="TableContents"/>
              <w:spacing w:before="0" w:after="0"/>
              <w:ind w:left="0" w:right="0" w:hanging="0"/>
              <w:rPr/>
            </w:pPr>
            <w:r>
              <w:rPr>
                <w:rStyle w:val="StrongEmphasis"/>
              </w:rPr>
              <w:t> </w:t>
            </w:r>
          </w:p>
        </w:tc>
        <w:tc>
          <w:tcPr>
            <w:tcW w:w="2384"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Weighted Average Remaining Contractual Term </w:t>
            </w:r>
          </w:p>
        </w:tc>
        <w:tc>
          <w:tcPr>
            <w:tcW w:w="90" w:type="dxa"/>
            <w:tcBorders/>
            <w:shd w:fill="auto" w:val="clear"/>
            <w:tcMar>
              <w:bottom w:w="0" w:type="dxa"/>
            </w:tcMar>
            <w:vAlign w:val="center"/>
          </w:tcPr>
          <w:p>
            <w:pPr>
              <w:pStyle w:val="TableContents"/>
              <w:spacing w:before="0" w:after="0"/>
              <w:ind w:left="0" w:right="0" w:hanging="0"/>
              <w:rPr/>
            </w:pPr>
            <w:r>
              <w:rPr>
                <w:rStyle w:val="StrongEmphasis"/>
              </w:rPr>
              <w:t> </w:t>
            </w:r>
          </w:p>
        </w:tc>
        <w:tc>
          <w:tcPr>
            <w:tcW w:w="90" w:type="dxa"/>
            <w:tcBorders/>
            <w:shd w:fill="auto" w:val="clear"/>
            <w:tcMar>
              <w:bottom w:w="0" w:type="dxa"/>
            </w:tcMar>
            <w:vAlign w:val="center"/>
          </w:tcPr>
          <w:p>
            <w:pPr>
              <w:pStyle w:val="TableContents"/>
              <w:spacing w:before="0" w:after="0"/>
              <w:ind w:left="0" w:right="0" w:hanging="0"/>
              <w:rPr/>
            </w:pPr>
            <w:r>
              <w:rPr>
                <w:rStyle w:val="StrongEmphasis"/>
              </w:rPr>
              <w:t> </w:t>
            </w:r>
          </w:p>
        </w:tc>
        <w:tc>
          <w:tcPr>
            <w:tcW w:w="1251"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Aggregate Intrinsic</w:t>
            </w:r>
          </w:p>
          <w:p>
            <w:pPr>
              <w:pStyle w:val="TableContents"/>
              <w:spacing w:before="0" w:after="0"/>
              <w:ind w:left="0" w:right="0" w:hanging="0"/>
              <w:jc w:val="center"/>
              <w:rPr/>
            </w:pPr>
            <w:r>
              <w:rPr>
                <w:rStyle w:val="StrongEmphasis"/>
              </w:rPr>
              <w:t> </w:t>
            </w:r>
            <w:r>
              <w:rPr>
                <w:rStyle w:val="StrongEmphasis"/>
                <w:rFonts w:ascii="times new roman" w:hAnsi="times new roman"/>
                <w:sz w:val="20"/>
              </w:rPr>
              <w:t>Value</w:t>
            </w:r>
            <w:r>
              <w:rPr>
                <w:rFonts w:ascii="times new roman" w:hAnsi="times new roman"/>
                <w:sz w:val="20"/>
              </w:rPr>
              <w:t xml:space="preserve"> </w:t>
            </w:r>
          </w:p>
        </w:tc>
        <w:tc>
          <w:tcPr>
            <w:tcW w:w="141" w:type="dxa"/>
            <w:tcBorders/>
            <w:shd w:fill="auto" w:val="clear"/>
            <w:tcMar>
              <w:bottom w:w="0" w:type="dxa"/>
            </w:tcMar>
            <w:vAlign w:val="center"/>
          </w:tcPr>
          <w:p>
            <w:pPr>
              <w:pStyle w:val="TableContents"/>
              <w:spacing w:before="0" w:after="0"/>
              <w:ind w:left="0" w:right="0" w:hanging="0"/>
              <w:rPr/>
            </w:pPr>
            <w:r>
              <w:rPr/>
              <w:t> </w:t>
            </w:r>
          </w:p>
        </w:tc>
      </w:tr>
      <w:tr>
        <w:trPr/>
        <w:tc>
          <w:tcPr>
            <w:tcW w:w="25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187" w:type="dxa"/>
            <w:gridSpan w:val="2"/>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2087" w:type="dxa"/>
            <w:gridSpan w:val="2"/>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2384" w:type="dxa"/>
            <w:gridSpan w:val="2"/>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251" w:type="dxa"/>
            <w:gridSpan w:val="2"/>
            <w:tcBorders/>
            <w:shd w:fill="auto" w:val="clear"/>
            <w:tcMar>
              <w:bottom w:w="0" w:type="dxa"/>
            </w:tcMar>
            <w:vAlign w:val="center"/>
          </w:tcPr>
          <w:p>
            <w:pPr>
              <w:pStyle w:val="TableContents"/>
              <w:spacing w:before="0" w:after="0"/>
              <w:ind w:left="0" w:right="0" w:hanging="0"/>
              <w:rPr/>
            </w:pPr>
            <w:r>
              <w:rPr/>
              <w:t> </w:t>
            </w:r>
          </w:p>
        </w:tc>
        <w:tc>
          <w:tcPr>
            <w:tcW w:w="141" w:type="dxa"/>
            <w:tcBorders/>
            <w:shd w:fill="auto" w:val="clear"/>
            <w:tcMar>
              <w:bottom w:w="0" w:type="dxa"/>
            </w:tcMar>
            <w:vAlign w:val="center"/>
          </w:tcPr>
          <w:p>
            <w:pPr>
              <w:pStyle w:val="TableContents"/>
              <w:spacing w:before="0" w:after="0"/>
              <w:ind w:left="0" w:right="0" w:hanging="0"/>
              <w:rPr/>
            </w:pPr>
            <w:r>
              <w:rPr/>
              <w:t> </w:t>
            </w:r>
          </w:p>
        </w:tc>
      </w:tr>
      <w:tr>
        <w:trPr/>
        <w:tc>
          <w:tcPr>
            <w:tcW w:w="2525" w:type="dxa"/>
            <w:tcBorders/>
            <w:shd w:fill="CCEEFF"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Outstanding at January 1, 2022</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16" w:type="dxa"/>
            <w:tcBorders/>
            <w:shd w:fill="CCEEFF" w:val="clear"/>
            <w:tcMar>
              <w:bottom w:w="0" w:type="dxa"/>
            </w:tcMar>
            <w:vAlign w:val="center"/>
          </w:tcPr>
          <w:p>
            <w:pPr>
              <w:pStyle w:val="TableContents"/>
              <w:spacing w:before="0" w:after="0"/>
              <w:ind w:left="0" w:right="0" w:hanging="0"/>
              <w:rPr/>
            </w:pPr>
            <w:r>
              <w:rPr/>
              <w:t> </w:t>
            </w:r>
          </w:p>
        </w:tc>
        <w:tc>
          <w:tcPr>
            <w:tcW w:w="1071" w:type="dxa"/>
            <w:tcBorders/>
            <w:shd w:fill="CCEEFF" w:val="clear"/>
            <w:tcMar>
              <w:bottom w:w="0" w:type="dxa"/>
            </w:tcMar>
            <w:vAlign w:val="center"/>
          </w:tcPr>
          <w:p>
            <w:pPr>
              <w:pStyle w:val="TableContents"/>
              <w:spacing w:before="0" w:after="283"/>
              <w:jc w:val="right"/>
              <w:rPr/>
            </w:pPr>
            <w:r>
              <w:rPr/>
              <w:t>107,201</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553" w:type="dxa"/>
            <w:tcBorders/>
            <w:shd w:fill="CCEEFF" w:val="clear"/>
            <w:tcMar>
              <w:bottom w:w="0" w:type="dxa"/>
            </w:tcMar>
            <w:vAlign w:val="center"/>
          </w:tcPr>
          <w:p>
            <w:pPr>
              <w:pStyle w:val="TableContents"/>
              <w:spacing w:before="0" w:after="283"/>
              <w:rPr/>
            </w:pPr>
            <w:r>
              <w:rPr/>
              <w:t>$</w:t>
            </w:r>
          </w:p>
        </w:tc>
        <w:tc>
          <w:tcPr>
            <w:tcW w:w="1534" w:type="dxa"/>
            <w:tcBorders/>
            <w:shd w:fill="CCEEFF" w:val="clear"/>
            <w:tcMar>
              <w:bottom w:w="0" w:type="dxa"/>
            </w:tcMar>
            <w:vAlign w:val="center"/>
          </w:tcPr>
          <w:p>
            <w:pPr>
              <w:pStyle w:val="TableContents"/>
              <w:spacing w:before="0" w:after="283"/>
              <w:jc w:val="right"/>
              <w:rPr/>
            </w:pPr>
            <w:r>
              <w:rPr/>
              <w:t>8.31</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380" w:type="dxa"/>
            <w:tcBorders/>
            <w:shd w:fill="CCEEFF" w:val="clear"/>
            <w:tcMar>
              <w:bottom w:w="0" w:type="dxa"/>
            </w:tcMar>
            <w:vAlign w:val="center"/>
          </w:tcPr>
          <w:p>
            <w:pPr>
              <w:pStyle w:val="TableContents"/>
              <w:spacing w:before="0" w:after="0"/>
              <w:ind w:left="0" w:right="0" w:hanging="0"/>
              <w:rPr/>
            </w:pPr>
            <w:r>
              <w:rPr/>
              <w:t> </w:t>
            </w:r>
          </w:p>
        </w:tc>
        <w:tc>
          <w:tcPr>
            <w:tcW w:w="2004" w:type="dxa"/>
            <w:tcBorders/>
            <w:shd w:fill="CCEEFF" w:val="clear"/>
            <w:tcMar>
              <w:bottom w:w="0" w:type="dxa"/>
            </w:tcMar>
            <w:vAlign w:val="center"/>
          </w:tcPr>
          <w:p>
            <w:pPr>
              <w:pStyle w:val="TableContents"/>
              <w:spacing w:before="0" w:after="283"/>
              <w:jc w:val="right"/>
              <w:rPr/>
            </w:pPr>
            <w:r>
              <w:rPr/>
              <w:t>2.92</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20" w:type="dxa"/>
            <w:tcBorders/>
            <w:shd w:fill="CCEEFF" w:val="clear"/>
            <w:tcMar>
              <w:bottom w:w="0" w:type="dxa"/>
            </w:tcMar>
            <w:vAlign w:val="center"/>
          </w:tcPr>
          <w:p>
            <w:pPr>
              <w:pStyle w:val="TableContents"/>
              <w:spacing w:before="0" w:after="283"/>
              <w:rPr/>
            </w:pPr>
            <w:r>
              <w:rPr/>
              <w:t>$</w:t>
            </w:r>
          </w:p>
        </w:tc>
        <w:tc>
          <w:tcPr>
            <w:tcW w:w="531" w:type="dxa"/>
            <w:tcBorders/>
            <w:shd w:fill="CCEEFF" w:val="clear"/>
            <w:tcMar>
              <w:bottom w:w="0" w:type="dxa"/>
            </w:tcMar>
            <w:vAlign w:val="center"/>
          </w:tcPr>
          <w:p>
            <w:pPr>
              <w:pStyle w:val="TableContents"/>
              <w:spacing w:before="0" w:after="283"/>
              <w:jc w:val="right"/>
              <w:rPr/>
            </w:pPr>
            <w:r>
              <w:rPr/>
              <w:t>-</w:t>
            </w:r>
          </w:p>
        </w:tc>
        <w:tc>
          <w:tcPr>
            <w:tcW w:w="141" w:type="dxa"/>
            <w:tcBorders/>
            <w:shd w:fill="CCEEFF" w:val="clear"/>
            <w:tcMar>
              <w:bottom w:w="0" w:type="dxa"/>
            </w:tcMar>
            <w:vAlign w:val="center"/>
          </w:tcPr>
          <w:p>
            <w:pPr>
              <w:pStyle w:val="TableContents"/>
              <w:spacing w:before="0" w:after="0"/>
              <w:ind w:left="0" w:right="0" w:hanging="0"/>
              <w:rPr/>
            </w:pPr>
            <w:r>
              <w:rPr/>
              <w:t> </w:t>
            </w:r>
          </w:p>
        </w:tc>
      </w:tr>
      <w:tr>
        <w:trPr/>
        <w:tc>
          <w:tcPr>
            <w:tcW w:w="25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16" w:type="dxa"/>
            <w:tcBorders/>
            <w:shd w:fill="FFFFFF" w:val="clear"/>
            <w:tcMar>
              <w:bottom w:w="0" w:type="dxa"/>
            </w:tcMar>
            <w:vAlign w:val="center"/>
          </w:tcPr>
          <w:p>
            <w:pPr>
              <w:pStyle w:val="TableContents"/>
              <w:spacing w:before="0" w:after="0"/>
              <w:ind w:left="0" w:right="0" w:hanging="0"/>
              <w:rPr/>
            </w:pPr>
            <w:r>
              <w:rPr/>
              <w:t> </w:t>
            </w:r>
          </w:p>
        </w:tc>
        <w:tc>
          <w:tcPr>
            <w:tcW w:w="1071"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553" w:type="dxa"/>
            <w:tcBorders/>
            <w:shd w:fill="FFFFFF" w:val="clear"/>
            <w:tcMar>
              <w:bottom w:w="0" w:type="dxa"/>
            </w:tcMar>
            <w:vAlign w:val="center"/>
          </w:tcPr>
          <w:p>
            <w:pPr>
              <w:pStyle w:val="TableContents"/>
              <w:spacing w:before="0" w:after="0"/>
              <w:ind w:left="0" w:right="0" w:hanging="0"/>
              <w:rPr/>
            </w:pPr>
            <w:r>
              <w:rPr/>
              <w:t> </w:t>
            </w:r>
          </w:p>
        </w:tc>
        <w:tc>
          <w:tcPr>
            <w:tcW w:w="1534"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380" w:type="dxa"/>
            <w:tcBorders/>
            <w:shd w:fill="FFFFFF" w:val="clear"/>
            <w:tcMar>
              <w:bottom w:w="0" w:type="dxa"/>
            </w:tcMar>
            <w:vAlign w:val="center"/>
          </w:tcPr>
          <w:p>
            <w:pPr>
              <w:pStyle w:val="TableContents"/>
              <w:spacing w:before="0" w:after="0"/>
              <w:ind w:left="0" w:right="0" w:hanging="0"/>
              <w:rPr/>
            </w:pPr>
            <w:r>
              <w:rPr/>
              <w:t> </w:t>
            </w:r>
          </w:p>
        </w:tc>
        <w:tc>
          <w:tcPr>
            <w:tcW w:w="2004"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20" w:type="dxa"/>
            <w:tcBorders/>
            <w:shd w:fill="FFFFFF" w:val="clear"/>
            <w:tcMar>
              <w:bottom w:w="0" w:type="dxa"/>
            </w:tcMar>
            <w:vAlign w:val="center"/>
          </w:tcPr>
          <w:p>
            <w:pPr>
              <w:pStyle w:val="TableContents"/>
              <w:spacing w:before="0" w:after="0"/>
              <w:ind w:left="0" w:right="0" w:hanging="0"/>
              <w:rPr/>
            </w:pPr>
            <w:r>
              <w:rPr/>
              <w:t> </w:t>
            </w:r>
          </w:p>
        </w:tc>
        <w:tc>
          <w:tcPr>
            <w:tcW w:w="531" w:type="dxa"/>
            <w:tcBorders/>
            <w:shd w:fill="FFFFFF" w:val="clear"/>
            <w:tcMar>
              <w:bottom w:w="0" w:type="dxa"/>
            </w:tcMar>
            <w:vAlign w:val="center"/>
          </w:tcPr>
          <w:p>
            <w:pPr>
              <w:pStyle w:val="TableContents"/>
              <w:spacing w:before="0" w:after="0"/>
              <w:ind w:left="0" w:right="0" w:hanging="0"/>
              <w:rPr/>
            </w:pPr>
            <w:r>
              <w:rPr/>
              <w:t> </w:t>
            </w:r>
          </w:p>
        </w:tc>
        <w:tc>
          <w:tcPr>
            <w:tcW w:w="141" w:type="dxa"/>
            <w:tcBorders/>
            <w:shd w:fill="FFFFFF" w:val="clear"/>
            <w:tcMar>
              <w:bottom w:w="0" w:type="dxa"/>
            </w:tcMar>
            <w:vAlign w:val="center"/>
          </w:tcPr>
          <w:p>
            <w:pPr>
              <w:pStyle w:val="TableContents"/>
              <w:spacing w:before="0" w:after="0"/>
              <w:ind w:left="0" w:right="0" w:hanging="0"/>
              <w:rPr/>
            </w:pPr>
            <w:r>
              <w:rPr/>
              <w:t> </w:t>
            </w:r>
          </w:p>
        </w:tc>
      </w:tr>
      <w:tr>
        <w:trPr/>
        <w:tc>
          <w:tcPr>
            <w:tcW w:w="2525" w:type="dxa"/>
            <w:tcBorders/>
            <w:shd w:fill="CCEEFF"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Granted</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16" w:type="dxa"/>
            <w:tcBorders/>
            <w:shd w:fill="CCEEFF" w:val="clear"/>
            <w:tcMar>
              <w:bottom w:w="0" w:type="dxa"/>
            </w:tcMar>
            <w:vAlign w:val="center"/>
          </w:tcPr>
          <w:p>
            <w:pPr>
              <w:pStyle w:val="TableContents"/>
              <w:spacing w:before="0" w:after="0"/>
              <w:ind w:left="0" w:right="0" w:hanging="0"/>
              <w:rPr/>
            </w:pPr>
            <w:r>
              <w:rPr/>
              <w:t> </w:t>
            </w:r>
          </w:p>
        </w:tc>
        <w:tc>
          <w:tcPr>
            <w:tcW w:w="1071" w:type="dxa"/>
            <w:tcBorders/>
            <w:shd w:fill="CCEEFF" w:val="clear"/>
            <w:tcMar>
              <w:bottom w:w="0" w:type="dxa"/>
            </w:tcMar>
            <w:vAlign w:val="center"/>
          </w:tcPr>
          <w:p>
            <w:pPr>
              <w:pStyle w:val="TableContents"/>
              <w:spacing w:before="0" w:after="283"/>
              <w:jc w:val="right"/>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553" w:type="dxa"/>
            <w:tcBorders/>
            <w:shd w:fill="CCEEFF" w:val="clear"/>
            <w:tcMar>
              <w:bottom w:w="0" w:type="dxa"/>
            </w:tcMar>
            <w:vAlign w:val="center"/>
          </w:tcPr>
          <w:p>
            <w:pPr>
              <w:pStyle w:val="TableContents"/>
              <w:spacing w:before="0" w:after="283"/>
              <w:rPr/>
            </w:pPr>
            <w:r>
              <w:rPr/>
              <w:t>$</w:t>
            </w:r>
          </w:p>
        </w:tc>
        <w:tc>
          <w:tcPr>
            <w:tcW w:w="1534" w:type="dxa"/>
            <w:tcBorders/>
            <w:shd w:fill="CCEEFF" w:val="clear"/>
            <w:tcMar>
              <w:bottom w:w="0" w:type="dxa"/>
            </w:tcMar>
            <w:vAlign w:val="center"/>
          </w:tcPr>
          <w:p>
            <w:pPr>
              <w:pStyle w:val="TableContents"/>
              <w:spacing w:before="0" w:after="283"/>
              <w:jc w:val="right"/>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380" w:type="dxa"/>
            <w:tcBorders/>
            <w:shd w:fill="CCEEFF" w:val="clear"/>
            <w:tcMar>
              <w:bottom w:w="0" w:type="dxa"/>
            </w:tcMar>
            <w:vAlign w:val="center"/>
          </w:tcPr>
          <w:p>
            <w:pPr>
              <w:pStyle w:val="TableContents"/>
              <w:spacing w:before="0" w:after="0"/>
              <w:ind w:left="0" w:right="0" w:hanging="0"/>
              <w:rPr/>
            </w:pPr>
            <w:r>
              <w:rPr/>
              <w:t> </w:t>
            </w:r>
          </w:p>
        </w:tc>
        <w:tc>
          <w:tcPr>
            <w:tcW w:w="2004" w:type="dxa"/>
            <w:tcBorders/>
            <w:shd w:fill="CCEEFF" w:val="clear"/>
            <w:tcMar>
              <w:bottom w:w="0" w:type="dxa"/>
            </w:tcMar>
            <w:vAlign w:val="center"/>
          </w:tcPr>
          <w:p>
            <w:pPr>
              <w:pStyle w:val="TableContents"/>
              <w:spacing w:before="0" w:after="283"/>
              <w:jc w:val="right"/>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20" w:type="dxa"/>
            <w:tcBorders/>
            <w:shd w:fill="CCEEFF" w:val="clear"/>
            <w:tcMar>
              <w:bottom w:w="0" w:type="dxa"/>
            </w:tcMar>
            <w:vAlign w:val="center"/>
          </w:tcPr>
          <w:p>
            <w:pPr>
              <w:pStyle w:val="TableContents"/>
              <w:spacing w:before="0" w:after="283"/>
              <w:rPr/>
            </w:pPr>
            <w:r>
              <w:rPr/>
              <w:t>$</w:t>
            </w:r>
          </w:p>
        </w:tc>
        <w:tc>
          <w:tcPr>
            <w:tcW w:w="531" w:type="dxa"/>
            <w:tcBorders/>
            <w:shd w:fill="CCEEFF" w:val="clear"/>
            <w:tcMar>
              <w:bottom w:w="0" w:type="dxa"/>
            </w:tcMar>
            <w:vAlign w:val="center"/>
          </w:tcPr>
          <w:p>
            <w:pPr>
              <w:pStyle w:val="TableContents"/>
              <w:spacing w:before="0" w:after="283"/>
              <w:jc w:val="right"/>
              <w:rPr/>
            </w:pPr>
            <w:r>
              <w:rPr/>
              <w:t>-</w:t>
            </w:r>
          </w:p>
        </w:tc>
        <w:tc>
          <w:tcPr>
            <w:tcW w:w="141" w:type="dxa"/>
            <w:tcBorders/>
            <w:shd w:fill="CCEEFF" w:val="clear"/>
            <w:tcMar>
              <w:bottom w:w="0" w:type="dxa"/>
            </w:tcMar>
            <w:vAlign w:val="center"/>
          </w:tcPr>
          <w:p>
            <w:pPr>
              <w:pStyle w:val="TableContents"/>
              <w:spacing w:before="0" w:after="0"/>
              <w:ind w:left="0" w:right="0" w:hanging="0"/>
              <w:rPr/>
            </w:pPr>
            <w:r>
              <w:rPr/>
              <w:t> </w:t>
            </w:r>
          </w:p>
        </w:tc>
      </w:tr>
      <w:tr>
        <w:trPr/>
        <w:tc>
          <w:tcPr>
            <w:tcW w:w="2525" w:type="dxa"/>
            <w:tcBorders/>
            <w:shd w:fill="FFFFFF"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Exercised</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16" w:type="dxa"/>
            <w:tcBorders/>
            <w:shd w:fill="FFFFFF" w:val="clear"/>
            <w:tcMar>
              <w:bottom w:w="0" w:type="dxa"/>
            </w:tcMar>
            <w:vAlign w:val="center"/>
          </w:tcPr>
          <w:p>
            <w:pPr>
              <w:pStyle w:val="TableContents"/>
              <w:spacing w:before="0" w:after="0"/>
              <w:ind w:left="0" w:right="0" w:hanging="0"/>
              <w:rPr/>
            </w:pPr>
            <w:r>
              <w:rPr/>
              <w:t> </w:t>
            </w:r>
          </w:p>
        </w:tc>
        <w:tc>
          <w:tcPr>
            <w:tcW w:w="1071" w:type="dxa"/>
            <w:tcBorders/>
            <w:shd w:fill="FFFFFF" w:val="clear"/>
            <w:tcMar>
              <w:bottom w:w="0" w:type="dxa"/>
            </w:tcMar>
            <w:vAlign w:val="center"/>
          </w:tcPr>
          <w:p>
            <w:pPr>
              <w:pStyle w:val="TableContents"/>
              <w:spacing w:before="0" w:after="283"/>
              <w:jc w:val="right"/>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553" w:type="dxa"/>
            <w:tcBorders/>
            <w:shd w:fill="FFFFFF" w:val="clear"/>
            <w:tcMar>
              <w:bottom w:w="0" w:type="dxa"/>
            </w:tcMar>
            <w:vAlign w:val="center"/>
          </w:tcPr>
          <w:p>
            <w:pPr>
              <w:pStyle w:val="TableContents"/>
              <w:spacing w:before="0" w:after="283"/>
              <w:rPr/>
            </w:pPr>
            <w:r>
              <w:rPr/>
              <w:t>$</w:t>
            </w:r>
          </w:p>
        </w:tc>
        <w:tc>
          <w:tcPr>
            <w:tcW w:w="1534" w:type="dxa"/>
            <w:tcBorders/>
            <w:shd w:fill="FFFFFF" w:val="clear"/>
            <w:tcMar>
              <w:bottom w:w="0" w:type="dxa"/>
            </w:tcMar>
            <w:vAlign w:val="center"/>
          </w:tcPr>
          <w:p>
            <w:pPr>
              <w:pStyle w:val="TableContents"/>
              <w:spacing w:before="0" w:after="283"/>
              <w:jc w:val="right"/>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380" w:type="dxa"/>
            <w:tcBorders/>
            <w:shd w:fill="FFFFFF" w:val="clear"/>
            <w:tcMar>
              <w:bottom w:w="0" w:type="dxa"/>
            </w:tcMar>
            <w:vAlign w:val="center"/>
          </w:tcPr>
          <w:p>
            <w:pPr>
              <w:pStyle w:val="TableContents"/>
              <w:spacing w:before="0" w:after="0"/>
              <w:ind w:left="0" w:right="0" w:hanging="0"/>
              <w:rPr/>
            </w:pPr>
            <w:r>
              <w:rPr/>
              <w:t> </w:t>
            </w:r>
          </w:p>
        </w:tc>
        <w:tc>
          <w:tcPr>
            <w:tcW w:w="2004" w:type="dxa"/>
            <w:tcBorders/>
            <w:shd w:fill="FFFFFF" w:val="clear"/>
            <w:tcMar>
              <w:bottom w:w="0" w:type="dxa"/>
            </w:tcMar>
            <w:vAlign w:val="center"/>
          </w:tcPr>
          <w:p>
            <w:pPr>
              <w:pStyle w:val="TableContents"/>
              <w:spacing w:before="0" w:after="283"/>
              <w:jc w:val="right"/>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20" w:type="dxa"/>
            <w:tcBorders/>
            <w:shd w:fill="FFFFFF" w:val="clear"/>
            <w:tcMar>
              <w:bottom w:w="0" w:type="dxa"/>
            </w:tcMar>
            <w:vAlign w:val="center"/>
          </w:tcPr>
          <w:p>
            <w:pPr>
              <w:pStyle w:val="TableContents"/>
              <w:spacing w:before="0" w:after="283"/>
              <w:rPr/>
            </w:pPr>
            <w:r>
              <w:rPr/>
              <w:t>$</w:t>
            </w:r>
          </w:p>
        </w:tc>
        <w:tc>
          <w:tcPr>
            <w:tcW w:w="531" w:type="dxa"/>
            <w:tcBorders/>
            <w:shd w:fill="FFFFFF" w:val="clear"/>
            <w:tcMar>
              <w:bottom w:w="0" w:type="dxa"/>
            </w:tcMar>
            <w:vAlign w:val="center"/>
          </w:tcPr>
          <w:p>
            <w:pPr>
              <w:pStyle w:val="TableContents"/>
              <w:spacing w:before="0" w:after="283"/>
              <w:jc w:val="right"/>
              <w:rPr/>
            </w:pPr>
            <w:r>
              <w:rPr/>
              <w:t>-</w:t>
            </w:r>
          </w:p>
        </w:tc>
        <w:tc>
          <w:tcPr>
            <w:tcW w:w="141" w:type="dxa"/>
            <w:tcBorders/>
            <w:shd w:fill="FFFFFF" w:val="clear"/>
            <w:tcMar>
              <w:bottom w:w="0" w:type="dxa"/>
            </w:tcMar>
            <w:vAlign w:val="center"/>
          </w:tcPr>
          <w:p>
            <w:pPr>
              <w:pStyle w:val="TableContents"/>
              <w:spacing w:before="0" w:after="0"/>
              <w:ind w:left="0" w:right="0" w:hanging="0"/>
              <w:rPr/>
            </w:pPr>
            <w:r>
              <w:rPr/>
              <w:t> </w:t>
            </w:r>
          </w:p>
        </w:tc>
      </w:tr>
      <w:tr>
        <w:trPr/>
        <w:tc>
          <w:tcPr>
            <w:tcW w:w="2525" w:type="dxa"/>
            <w:tcBorders/>
            <w:shd w:fill="CCEEFF"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Expired/Forfeited</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16" w:type="dxa"/>
            <w:tcBorders>
              <w:bottom w:val="single" w:sz="4" w:space="0" w:color="000000"/>
            </w:tcBorders>
            <w:shd w:fill="CCEEFF" w:val="clear"/>
            <w:vAlign w:val="center"/>
          </w:tcPr>
          <w:p>
            <w:pPr>
              <w:pStyle w:val="TableContents"/>
              <w:spacing w:before="0" w:after="0"/>
              <w:ind w:left="0" w:right="0" w:hanging="0"/>
              <w:rPr/>
            </w:pPr>
            <w:r>
              <w:rPr/>
              <w:t> </w:t>
            </w:r>
          </w:p>
        </w:tc>
        <w:tc>
          <w:tcPr>
            <w:tcW w:w="1071" w:type="dxa"/>
            <w:tcBorders>
              <w:bottom w:val="single" w:sz="4" w:space="0" w:color="000000"/>
            </w:tcBorders>
            <w:shd w:fill="CCEEFF" w:val="clear"/>
            <w:vAlign w:val="center"/>
          </w:tcPr>
          <w:p>
            <w:pPr>
              <w:pStyle w:val="TableContents"/>
              <w:spacing w:before="0" w:after="283"/>
              <w:jc w:val="right"/>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553" w:type="dxa"/>
            <w:tcBorders/>
            <w:shd w:fill="CCEEFF" w:val="clear"/>
            <w:tcMar>
              <w:bottom w:w="0" w:type="dxa"/>
            </w:tcMar>
            <w:vAlign w:val="center"/>
          </w:tcPr>
          <w:p>
            <w:pPr>
              <w:pStyle w:val="TableContents"/>
              <w:spacing w:before="0" w:after="283"/>
              <w:rPr/>
            </w:pPr>
            <w:r>
              <w:rPr/>
              <w:t>$</w:t>
            </w:r>
          </w:p>
        </w:tc>
        <w:tc>
          <w:tcPr>
            <w:tcW w:w="1534" w:type="dxa"/>
            <w:tcBorders/>
            <w:shd w:fill="CCEEFF" w:val="clear"/>
            <w:tcMar>
              <w:bottom w:w="0" w:type="dxa"/>
            </w:tcMar>
            <w:vAlign w:val="center"/>
          </w:tcPr>
          <w:p>
            <w:pPr>
              <w:pStyle w:val="TableContents"/>
              <w:spacing w:before="0" w:after="283"/>
              <w:jc w:val="right"/>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380" w:type="dxa"/>
            <w:tcBorders/>
            <w:shd w:fill="CCEEFF" w:val="clear"/>
            <w:tcMar>
              <w:bottom w:w="0" w:type="dxa"/>
            </w:tcMar>
            <w:vAlign w:val="center"/>
          </w:tcPr>
          <w:p>
            <w:pPr>
              <w:pStyle w:val="TableContents"/>
              <w:spacing w:before="0" w:after="0"/>
              <w:ind w:left="0" w:right="0" w:hanging="0"/>
              <w:rPr/>
            </w:pPr>
            <w:r>
              <w:rPr/>
              <w:t> </w:t>
            </w:r>
          </w:p>
        </w:tc>
        <w:tc>
          <w:tcPr>
            <w:tcW w:w="2004" w:type="dxa"/>
            <w:tcBorders/>
            <w:shd w:fill="CCEEFF" w:val="clear"/>
            <w:tcMar>
              <w:bottom w:w="0" w:type="dxa"/>
            </w:tcMar>
            <w:vAlign w:val="center"/>
          </w:tcPr>
          <w:p>
            <w:pPr>
              <w:pStyle w:val="TableContents"/>
              <w:spacing w:before="0" w:after="283"/>
              <w:jc w:val="right"/>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20" w:type="dxa"/>
            <w:tcBorders/>
            <w:shd w:fill="CCEEFF" w:val="clear"/>
            <w:tcMar>
              <w:bottom w:w="0" w:type="dxa"/>
            </w:tcMar>
            <w:vAlign w:val="center"/>
          </w:tcPr>
          <w:p>
            <w:pPr>
              <w:pStyle w:val="TableContents"/>
              <w:spacing w:before="0" w:after="283"/>
              <w:rPr/>
            </w:pPr>
            <w:r>
              <w:rPr/>
              <w:t>$</w:t>
            </w:r>
          </w:p>
        </w:tc>
        <w:tc>
          <w:tcPr>
            <w:tcW w:w="531" w:type="dxa"/>
            <w:tcBorders/>
            <w:shd w:fill="CCEEFF" w:val="clear"/>
            <w:tcMar>
              <w:bottom w:w="0" w:type="dxa"/>
            </w:tcMar>
            <w:vAlign w:val="center"/>
          </w:tcPr>
          <w:p>
            <w:pPr>
              <w:pStyle w:val="TableContents"/>
              <w:spacing w:before="0" w:after="283"/>
              <w:jc w:val="right"/>
              <w:rPr/>
            </w:pPr>
            <w:r>
              <w:rPr/>
              <w:t>-</w:t>
            </w:r>
          </w:p>
        </w:tc>
        <w:tc>
          <w:tcPr>
            <w:tcW w:w="141" w:type="dxa"/>
            <w:tcBorders/>
            <w:shd w:fill="CCEEFF" w:val="clear"/>
            <w:tcMar>
              <w:bottom w:w="0" w:type="dxa"/>
            </w:tcMar>
            <w:vAlign w:val="center"/>
          </w:tcPr>
          <w:p>
            <w:pPr>
              <w:pStyle w:val="TableContents"/>
              <w:spacing w:before="0" w:after="0"/>
              <w:ind w:left="0" w:right="0" w:hanging="0"/>
              <w:rPr/>
            </w:pPr>
            <w:r>
              <w:rPr/>
              <w:t> </w:t>
            </w:r>
          </w:p>
        </w:tc>
      </w:tr>
      <w:tr>
        <w:trPr/>
        <w:tc>
          <w:tcPr>
            <w:tcW w:w="25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16" w:type="dxa"/>
            <w:tcBorders/>
            <w:shd w:fill="FFFFFF" w:val="clear"/>
            <w:tcMar>
              <w:bottom w:w="0" w:type="dxa"/>
            </w:tcMar>
            <w:vAlign w:val="center"/>
          </w:tcPr>
          <w:p>
            <w:pPr>
              <w:pStyle w:val="TableContents"/>
              <w:spacing w:before="0" w:after="0"/>
              <w:ind w:left="0" w:right="0" w:hanging="0"/>
              <w:rPr/>
            </w:pPr>
            <w:r>
              <w:rPr/>
              <w:t> </w:t>
            </w:r>
          </w:p>
        </w:tc>
        <w:tc>
          <w:tcPr>
            <w:tcW w:w="1071"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553" w:type="dxa"/>
            <w:tcBorders/>
            <w:shd w:fill="FFFFFF" w:val="clear"/>
            <w:tcMar>
              <w:bottom w:w="0" w:type="dxa"/>
            </w:tcMar>
            <w:vAlign w:val="center"/>
          </w:tcPr>
          <w:p>
            <w:pPr>
              <w:pStyle w:val="TableContents"/>
              <w:spacing w:before="0" w:after="0"/>
              <w:ind w:left="0" w:right="0" w:hanging="0"/>
              <w:rPr/>
            </w:pPr>
            <w:r>
              <w:rPr/>
              <w:t> </w:t>
            </w:r>
          </w:p>
        </w:tc>
        <w:tc>
          <w:tcPr>
            <w:tcW w:w="1534"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380" w:type="dxa"/>
            <w:tcBorders/>
            <w:shd w:fill="FFFFFF" w:val="clear"/>
            <w:tcMar>
              <w:bottom w:w="0" w:type="dxa"/>
            </w:tcMar>
            <w:vAlign w:val="center"/>
          </w:tcPr>
          <w:p>
            <w:pPr>
              <w:pStyle w:val="TableContents"/>
              <w:spacing w:before="0" w:after="0"/>
              <w:ind w:left="0" w:right="0" w:hanging="0"/>
              <w:rPr/>
            </w:pPr>
            <w:r>
              <w:rPr/>
              <w:t> </w:t>
            </w:r>
          </w:p>
        </w:tc>
        <w:tc>
          <w:tcPr>
            <w:tcW w:w="2004"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20" w:type="dxa"/>
            <w:tcBorders/>
            <w:shd w:fill="FFFFFF" w:val="clear"/>
            <w:tcMar>
              <w:bottom w:w="0" w:type="dxa"/>
            </w:tcMar>
            <w:vAlign w:val="center"/>
          </w:tcPr>
          <w:p>
            <w:pPr>
              <w:pStyle w:val="TableContents"/>
              <w:spacing w:before="0" w:after="0"/>
              <w:ind w:left="0" w:right="0" w:hanging="0"/>
              <w:rPr/>
            </w:pPr>
            <w:r>
              <w:rPr/>
              <w:t> </w:t>
            </w:r>
          </w:p>
        </w:tc>
        <w:tc>
          <w:tcPr>
            <w:tcW w:w="531" w:type="dxa"/>
            <w:tcBorders/>
            <w:shd w:fill="FFFFFF" w:val="clear"/>
            <w:tcMar>
              <w:bottom w:w="0" w:type="dxa"/>
            </w:tcMar>
            <w:vAlign w:val="center"/>
          </w:tcPr>
          <w:p>
            <w:pPr>
              <w:pStyle w:val="TableContents"/>
              <w:spacing w:before="0" w:after="0"/>
              <w:ind w:left="0" w:right="0" w:hanging="0"/>
              <w:rPr/>
            </w:pPr>
            <w:r>
              <w:rPr/>
              <w:t> </w:t>
            </w:r>
          </w:p>
        </w:tc>
        <w:tc>
          <w:tcPr>
            <w:tcW w:w="141" w:type="dxa"/>
            <w:tcBorders/>
            <w:shd w:fill="FFFFFF" w:val="clear"/>
            <w:tcMar>
              <w:bottom w:w="0" w:type="dxa"/>
            </w:tcMar>
            <w:vAlign w:val="center"/>
          </w:tcPr>
          <w:p>
            <w:pPr>
              <w:pStyle w:val="TableContents"/>
              <w:spacing w:before="0" w:after="0"/>
              <w:ind w:left="0" w:right="0" w:hanging="0"/>
              <w:rPr/>
            </w:pPr>
            <w:r>
              <w:rPr/>
              <w:t> </w:t>
            </w:r>
          </w:p>
        </w:tc>
      </w:tr>
      <w:tr>
        <w:trPr/>
        <w:tc>
          <w:tcPr>
            <w:tcW w:w="2525" w:type="dxa"/>
            <w:tcBorders/>
            <w:shd w:fill="CCEEFF"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Outstanding at December 31, 2022</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16" w:type="dxa"/>
            <w:tcBorders>
              <w:bottom w:val="double" w:sz="5" w:space="0" w:color="000000"/>
            </w:tcBorders>
            <w:shd w:fill="CCEEFF" w:val="clear"/>
            <w:vAlign w:val="center"/>
          </w:tcPr>
          <w:p>
            <w:pPr>
              <w:pStyle w:val="TableContents"/>
              <w:spacing w:before="0" w:after="0"/>
              <w:ind w:left="0" w:right="0" w:hanging="0"/>
              <w:rPr/>
            </w:pPr>
            <w:r>
              <w:rPr/>
              <w:t> </w:t>
            </w:r>
          </w:p>
        </w:tc>
        <w:tc>
          <w:tcPr>
            <w:tcW w:w="1071" w:type="dxa"/>
            <w:tcBorders>
              <w:bottom w:val="double" w:sz="5" w:space="0" w:color="000000"/>
            </w:tcBorders>
            <w:shd w:fill="CCEEFF" w:val="clear"/>
            <w:vAlign w:val="center"/>
          </w:tcPr>
          <w:p>
            <w:pPr>
              <w:pStyle w:val="TableContents"/>
              <w:spacing w:before="0" w:after="283"/>
              <w:jc w:val="right"/>
              <w:rPr/>
            </w:pPr>
            <w:r>
              <w:rPr/>
              <w:t>107,201</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553" w:type="dxa"/>
            <w:tcBorders>
              <w:bottom w:val="double" w:sz="5" w:space="0" w:color="000000"/>
            </w:tcBorders>
            <w:shd w:fill="CCEEFF" w:val="clear"/>
            <w:vAlign w:val="center"/>
          </w:tcPr>
          <w:p>
            <w:pPr>
              <w:pStyle w:val="TableContents"/>
              <w:spacing w:before="0" w:after="283"/>
              <w:rPr/>
            </w:pPr>
            <w:r>
              <w:rPr/>
              <w:t>$</w:t>
            </w:r>
          </w:p>
        </w:tc>
        <w:tc>
          <w:tcPr>
            <w:tcW w:w="1534" w:type="dxa"/>
            <w:tcBorders>
              <w:bottom w:val="double" w:sz="5" w:space="0" w:color="000000"/>
            </w:tcBorders>
            <w:shd w:fill="CCEEFF" w:val="clear"/>
            <w:vAlign w:val="center"/>
          </w:tcPr>
          <w:p>
            <w:pPr>
              <w:pStyle w:val="TableContents"/>
              <w:spacing w:before="0" w:after="283"/>
              <w:jc w:val="right"/>
              <w:rPr/>
            </w:pPr>
            <w:r>
              <w:rPr/>
              <w:t>8.31</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380" w:type="dxa"/>
            <w:tcBorders>
              <w:bottom w:val="double" w:sz="5" w:space="0" w:color="000000"/>
            </w:tcBorders>
            <w:shd w:fill="CCEEFF" w:val="clear"/>
            <w:vAlign w:val="center"/>
          </w:tcPr>
          <w:p>
            <w:pPr>
              <w:pStyle w:val="TableContents"/>
              <w:spacing w:before="0" w:after="0"/>
              <w:ind w:left="0" w:right="0" w:hanging="0"/>
              <w:rPr/>
            </w:pPr>
            <w:r>
              <w:rPr/>
              <w:t> </w:t>
            </w:r>
          </w:p>
        </w:tc>
        <w:tc>
          <w:tcPr>
            <w:tcW w:w="2004" w:type="dxa"/>
            <w:tcBorders>
              <w:bottom w:val="double" w:sz="5" w:space="0" w:color="000000"/>
            </w:tcBorders>
            <w:shd w:fill="CCEEFF" w:val="clear"/>
            <w:vAlign w:val="center"/>
          </w:tcPr>
          <w:p>
            <w:pPr>
              <w:pStyle w:val="TableContents"/>
              <w:spacing w:before="0" w:after="283"/>
              <w:jc w:val="right"/>
              <w:rPr/>
            </w:pPr>
            <w:r>
              <w:rPr/>
              <w:t>1.92</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20" w:type="dxa"/>
            <w:tcBorders>
              <w:bottom w:val="double" w:sz="5" w:space="0" w:color="000000"/>
            </w:tcBorders>
            <w:shd w:fill="CCEEFF" w:val="clear"/>
            <w:vAlign w:val="center"/>
          </w:tcPr>
          <w:p>
            <w:pPr>
              <w:pStyle w:val="TableContents"/>
              <w:spacing w:before="0" w:after="283"/>
              <w:rPr/>
            </w:pPr>
            <w:r>
              <w:rPr/>
              <w:t>$</w:t>
            </w:r>
          </w:p>
        </w:tc>
        <w:tc>
          <w:tcPr>
            <w:tcW w:w="531" w:type="dxa"/>
            <w:tcBorders>
              <w:bottom w:val="double" w:sz="5" w:space="0" w:color="000000"/>
            </w:tcBorders>
            <w:shd w:fill="CCEEFF" w:val="clear"/>
            <w:vAlign w:val="center"/>
          </w:tcPr>
          <w:p>
            <w:pPr>
              <w:pStyle w:val="TableContents"/>
              <w:spacing w:before="0" w:after="283"/>
              <w:jc w:val="right"/>
              <w:rPr/>
            </w:pPr>
            <w:r>
              <w:rPr/>
              <w:t>-</w:t>
            </w:r>
          </w:p>
        </w:tc>
        <w:tc>
          <w:tcPr>
            <w:tcW w:w="141" w:type="dxa"/>
            <w:tcBorders/>
            <w:shd w:fill="CCEEFF" w:val="clear"/>
            <w:tcMar>
              <w:bottom w:w="0" w:type="dxa"/>
            </w:tcMar>
            <w:vAlign w:val="center"/>
          </w:tcPr>
          <w:p>
            <w:pPr>
              <w:pStyle w:val="TableContents"/>
              <w:spacing w:before="0" w:after="0"/>
              <w:ind w:left="0" w:right="0" w:hanging="0"/>
              <w:rPr/>
            </w:pPr>
            <w:r>
              <w:rPr/>
              <w:t> </w:t>
            </w:r>
          </w:p>
        </w:tc>
      </w:tr>
      <w:tr>
        <w:trPr/>
        <w:tc>
          <w:tcPr>
            <w:tcW w:w="25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16" w:type="dxa"/>
            <w:tcBorders/>
            <w:shd w:fill="FFFFFF" w:val="clear"/>
            <w:tcMar>
              <w:bottom w:w="0" w:type="dxa"/>
            </w:tcMar>
            <w:vAlign w:val="center"/>
          </w:tcPr>
          <w:p>
            <w:pPr>
              <w:pStyle w:val="TableContents"/>
              <w:spacing w:before="0" w:after="0"/>
              <w:ind w:left="0" w:right="0" w:hanging="0"/>
              <w:rPr/>
            </w:pPr>
            <w:r>
              <w:rPr/>
              <w:t> </w:t>
            </w:r>
          </w:p>
        </w:tc>
        <w:tc>
          <w:tcPr>
            <w:tcW w:w="1071"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553" w:type="dxa"/>
            <w:tcBorders/>
            <w:shd w:fill="FFFFFF" w:val="clear"/>
            <w:tcMar>
              <w:bottom w:w="0" w:type="dxa"/>
            </w:tcMar>
            <w:vAlign w:val="center"/>
          </w:tcPr>
          <w:p>
            <w:pPr>
              <w:pStyle w:val="TableContents"/>
              <w:spacing w:before="0" w:after="0"/>
              <w:ind w:left="0" w:right="0" w:hanging="0"/>
              <w:rPr/>
            </w:pPr>
            <w:r>
              <w:rPr/>
              <w:t> </w:t>
            </w:r>
          </w:p>
        </w:tc>
        <w:tc>
          <w:tcPr>
            <w:tcW w:w="1534"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380" w:type="dxa"/>
            <w:tcBorders/>
            <w:shd w:fill="FFFFFF" w:val="clear"/>
            <w:tcMar>
              <w:bottom w:w="0" w:type="dxa"/>
            </w:tcMar>
            <w:vAlign w:val="center"/>
          </w:tcPr>
          <w:p>
            <w:pPr>
              <w:pStyle w:val="TableContents"/>
              <w:spacing w:before="0" w:after="0"/>
              <w:ind w:left="0" w:right="0" w:hanging="0"/>
              <w:rPr/>
            </w:pPr>
            <w:r>
              <w:rPr/>
              <w:t> </w:t>
            </w:r>
          </w:p>
        </w:tc>
        <w:tc>
          <w:tcPr>
            <w:tcW w:w="2004"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720" w:type="dxa"/>
            <w:tcBorders/>
            <w:shd w:fill="FFFFFF" w:val="clear"/>
            <w:tcMar>
              <w:bottom w:w="0" w:type="dxa"/>
            </w:tcMar>
            <w:vAlign w:val="center"/>
          </w:tcPr>
          <w:p>
            <w:pPr>
              <w:pStyle w:val="TableContents"/>
              <w:spacing w:before="0" w:after="0"/>
              <w:ind w:left="0" w:right="0" w:hanging="0"/>
              <w:rPr/>
            </w:pPr>
            <w:r>
              <w:rPr/>
              <w:t> </w:t>
            </w:r>
          </w:p>
        </w:tc>
        <w:tc>
          <w:tcPr>
            <w:tcW w:w="531" w:type="dxa"/>
            <w:tcBorders/>
            <w:shd w:fill="FFFFFF" w:val="clear"/>
            <w:tcMar>
              <w:bottom w:w="0" w:type="dxa"/>
            </w:tcMar>
            <w:vAlign w:val="center"/>
          </w:tcPr>
          <w:p>
            <w:pPr>
              <w:pStyle w:val="TableContents"/>
              <w:spacing w:before="0" w:after="0"/>
              <w:ind w:left="0" w:right="0" w:hanging="0"/>
              <w:rPr/>
            </w:pPr>
            <w:r>
              <w:rPr/>
              <w:t> </w:t>
            </w:r>
          </w:p>
        </w:tc>
        <w:tc>
          <w:tcPr>
            <w:tcW w:w="141" w:type="dxa"/>
            <w:tcBorders/>
            <w:shd w:fill="FFFFFF" w:val="clear"/>
            <w:tcMar>
              <w:bottom w:w="0" w:type="dxa"/>
            </w:tcMar>
            <w:vAlign w:val="center"/>
          </w:tcPr>
          <w:p>
            <w:pPr>
              <w:pStyle w:val="TableContents"/>
              <w:spacing w:before="0" w:after="0"/>
              <w:ind w:left="0" w:right="0" w:hanging="0"/>
              <w:rPr/>
            </w:pPr>
            <w:r>
              <w:rPr/>
              <w:t> </w:t>
            </w:r>
          </w:p>
        </w:tc>
      </w:tr>
      <w:tr>
        <w:trPr/>
        <w:tc>
          <w:tcPr>
            <w:tcW w:w="2525" w:type="dxa"/>
            <w:tcBorders/>
            <w:shd w:fill="CCEEFF" w:val="clear"/>
            <w:tcMar>
              <w:bottom w:w="0" w:type="dxa"/>
            </w:tcMar>
            <w:vAlign w:val="center"/>
          </w:tcPr>
          <w:p>
            <w:pPr>
              <w:pStyle w:val="TableContents"/>
              <w:spacing w:before="0" w:after="283"/>
              <w:rPr/>
            </w:pPr>
            <w:r>
              <w:rPr/>
              <w:t>Vested and Exercisable at December 31, 2022</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16" w:type="dxa"/>
            <w:tcBorders>
              <w:bottom w:val="double" w:sz="5" w:space="0" w:color="000000"/>
            </w:tcBorders>
            <w:shd w:fill="CCEEFF" w:val="clear"/>
            <w:vAlign w:val="center"/>
          </w:tcPr>
          <w:p>
            <w:pPr>
              <w:pStyle w:val="TableContents"/>
              <w:spacing w:before="0" w:after="0"/>
              <w:ind w:left="0" w:right="0" w:hanging="0"/>
              <w:rPr/>
            </w:pPr>
            <w:r>
              <w:rPr/>
              <w:t> </w:t>
            </w:r>
          </w:p>
        </w:tc>
        <w:tc>
          <w:tcPr>
            <w:tcW w:w="1071" w:type="dxa"/>
            <w:tcBorders>
              <w:bottom w:val="double" w:sz="5" w:space="0" w:color="000000"/>
            </w:tcBorders>
            <w:shd w:fill="CCEEFF" w:val="clear"/>
            <w:vAlign w:val="center"/>
          </w:tcPr>
          <w:p>
            <w:pPr>
              <w:pStyle w:val="TableContents"/>
              <w:spacing w:before="0" w:after="283"/>
              <w:jc w:val="right"/>
              <w:rPr/>
            </w:pPr>
            <w:r>
              <w:rPr/>
              <w:t>107,201</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553" w:type="dxa"/>
            <w:tcBorders>
              <w:bottom w:val="double" w:sz="5" w:space="0" w:color="000000"/>
            </w:tcBorders>
            <w:shd w:fill="CCEEFF" w:val="clear"/>
            <w:vAlign w:val="center"/>
          </w:tcPr>
          <w:p>
            <w:pPr>
              <w:pStyle w:val="TableContents"/>
              <w:spacing w:before="0" w:after="283"/>
              <w:rPr/>
            </w:pPr>
            <w:r>
              <w:rPr/>
              <w:t>$</w:t>
            </w:r>
          </w:p>
        </w:tc>
        <w:tc>
          <w:tcPr>
            <w:tcW w:w="1534" w:type="dxa"/>
            <w:tcBorders>
              <w:bottom w:val="double" w:sz="5" w:space="0" w:color="000000"/>
            </w:tcBorders>
            <w:shd w:fill="CCEEFF" w:val="clear"/>
            <w:vAlign w:val="center"/>
          </w:tcPr>
          <w:p>
            <w:pPr>
              <w:pStyle w:val="TableContents"/>
              <w:spacing w:before="0" w:after="283"/>
              <w:jc w:val="right"/>
              <w:rPr/>
            </w:pPr>
            <w:r>
              <w:rPr/>
              <w:t>8.31</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380" w:type="dxa"/>
            <w:tcBorders>
              <w:bottom w:val="double" w:sz="5" w:space="0" w:color="000000"/>
            </w:tcBorders>
            <w:shd w:fill="CCEEFF" w:val="clear"/>
            <w:vAlign w:val="center"/>
          </w:tcPr>
          <w:p>
            <w:pPr>
              <w:pStyle w:val="TableContents"/>
              <w:spacing w:before="0" w:after="0"/>
              <w:ind w:left="0" w:right="0" w:hanging="0"/>
              <w:rPr/>
            </w:pPr>
            <w:r>
              <w:rPr/>
              <w:t> </w:t>
            </w:r>
          </w:p>
        </w:tc>
        <w:tc>
          <w:tcPr>
            <w:tcW w:w="2004" w:type="dxa"/>
            <w:tcBorders>
              <w:bottom w:val="double" w:sz="5" w:space="0" w:color="000000"/>
            </w:tcBorders>
            <w:shd w:fill="CCEEFF" w:val="clear"/>
            <w:vAlign w:val="center"/>
          </w:tcPr>
          <w:p>
            <w:pPr>
              <w:pStyle w:val="TableContents"/>
              <w:spacing w:before="0" w:after="283"/>
              <w:jc w:val="right"/>
              <w:rPr/>
            </w:pPr>
            <w:r>
              <w:rPr/>
              <w:t>1.92</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720" w:type="dxa"/>
            <w:tcBorders>
              <w:bottom w:val="double" w:sz="5" w:space="0" w:color="000000"/>
            </w:tcBorders>
            <w:shd w:fill="CCEEFF" w:val="clear"/>
            <w:vAlign w:val="center"/>
          </w:tcPr>
          <w:p>
            <w:pPr>
              <w:pStyle w:val="TableContents"/>
              <w:spacing w:before="0" w:after="283"/>
              <w:rPr/>
            </w:pPr>
            <w:r>
              <w:rPr/>
              <w:t>$</w:t>
            </w:r>
          </w:p>
        </w:tc>
        <w:tc>
          <w:tcPr>
            <w:tcW w:w="531" w:type="dxa"/>
            <w:tcBorders>
              <w:bottom w:val="double" w:sz="5" w:space="0" w:color="000000"/>
            </w:tcBorders>
            <w:shd w:fill="CCEEFF" w:val="clear"/>
            <w:vAlign w:val="center"/>
          </w:tcPr>
          <w:p>
            <w:pPr>
              <w:pStyle w:val="TableContents"/>
              <w:spacing w:before="0" w:after="283"/>
              <w:jc w:val="right"/>
              <w:rPr/>
            </w:pPr>
            <w:r>
              <w:rPr/>
              <w:t>-</w:t>
            </w:r>
          </w:p>
        </w:tc>
        <w:tc>
          <w:tcPr>
            <w:tcW w:w="141" w:type="dxa"/>
            <w:tcBorders/>
            <w:shd w:fill="CCEEFF" w:val="clear"/>
            <w:tcMar>
              <w:bottom w:w="0" w:type="dxa"/>
            </w:tcM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aggregate intrinsic value of options outstanding and options exercisable at December 31, 2022 is calculated as the difference between the exercise price of the underlying options and the market price of the Company’s Common Stock for the options that had exercise prices that were lower than the $1.35 closing price of the Company’s Common Stock on December 31, 2022. No options were exercised, forfeited or expired during the year ended December 31, 2022. The total intrinsic value of options when forfeited are determined as of the date of forfeiture. The total intrinsic value of options when expired are determined as of the date of expiration.</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Participants in the 2014 Plan may exercise their outstanding vested options, in whole or in part, by having the Company reduce the number of shares otherwise issuable by a number of shares having a fair market value equal to the exercise price of the option being exercised, or by exchanging a number of shares owned for a period of greater than one year having a fair market value equal to the exercise price of the option being exercised. </w:t>
      </w:r>
    </w:p>
    <w:p>
      <w:pPr>
        <w:pStyle w:val="TextBody"/>
        <w:spacing w:before="0" w:after="0"/>
        <w:ind w:left="0" w:right="0" w:hanging="0"/>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F-43</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2022 AND 2021</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December 31, 2022, there were no unvested options.</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December 31, 2022, there were 351,445 shares reserved for grants under the 2014 Plan.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Restricted Stock Awards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 summary of the restricted Common Stock activity under the Company’s 2014 Plan for the year ended December 31, 2022 is as follows:</w:t>
      </w:r>
    </w:p>
    <w:p>
      <w:pPr>
        <w:pStyle w:val="TextBody"/>
        <w:spacing w:before="0" w:after="0"/>
        <w:ind w:left="0" w:right="0" w:hanging="0"/>
        <w:jc w:val="both"/>
        <w:rPr/>
      </w:pPr>
      <w:r>
        <w:rPr/>
        <w:t> </w:t>
      </w:r>
    </w:p>
    <w:tbl>
      <w:tblPr>
        <w:tblW w:w="10205" w:type="dxa"/>
        <w:jc w:val="left"/>
        <w:tblInd w:w="0" w:type="dxa"/>
        <w:tblCellMar>
          <w:top w:w="0" w:type="dxa"/>
          <w:left w:w="0" w:type="dxa"/>
          <w:bottom w:w="28" w:type="dxa"/>
          <w:right w:w="0" w:type="dxa"/>
        </w:tblCellMar>
      </w:tblPr>
      <w:tblGrid>
        <w:gridCol w:w="2927"/>
        <w:gridCol w:w="90"/>
        <w:gridCol w:w="90"/>
        <w:gridCol w:w="905"/>
        <w:gridCol w:w="125"/>
        <w:gridCol w:w="90"/>
        <w:gridCol w:w="1159"/>
        <w:gridCol w:w="3213"/>
        <w:gridCol w:w="90"/>
        <w:gridCol w:w="90"/>
        <w:gridCol w:w="170"/>
        <w:gridCol w:w="1085"/>
        <w:gridCol w:w="171"/>
      </w:tblGrid>
      <w:tr>
        <w:trPr/>
        <w:tc>
          <w:tcPr>
            <w:tcW w:w="2927" w:type="dxa"/>
            <w:tcBorders>
              <w:bottom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Restricted Stock Awards</w:t>
            </w:r>
          </w:p>
        </w:tc>
        <w:tc>
          <w:tcPr>
            <w:tcW w:w="90" w:type="dxa"/>
            <w:tcBorders/>
            <w:shd w:fill="auto" w:val="clear"/>
            <w:tcMar>
              <w:bottom w:w="0" w:type="dxa"/>
            </w:tcMar>
            <w:vAlign w:val="center"/>
          </w:tcPr>
          <w:p>
            <w:pPr>
              <w:pStyle w:val="TableContents"/>
              <w:spacing w:before="0" w:after="0"/>
              <w:ind w:left="0" w:right="0" w:hanging="0"/>
              <w:rPr/>
            </w:pPr>
            <w:r>
              <w:rPr>
                <w:rStyle w:val="StrongEmphasis"/>
              </w:rPr>
              <w:t> </w:t>
            </w:r>
          </w:p>
        </w:tc>
        <w:tc>
          <w:tcPr>
            <w:tcW w:w="995"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Shares</w:t>
            </w:r>
          </w:p>
        </w:tc>
        <w:tc>
          <w:tcPr>
            <w:tcW w:w="125" w:type="dxa"/>
            <w:tcBorders/>
            <w:shd w:fill="auto" w:val="clear"/>
            <w:tcMar>
              <w:bottom w:w="0" w:type="dxa"/>
            </w:tcMar>
            <w:vAlign w:val="center"/>
          </w:tcPr>
          <w:p>
            <w:pPr>
              <w:pStyle w:val="TableContents"/>
              <w:spacing w:before="0" w:after="0"/>
              <w:ind w:left="0" w:right="0" w:hanging="0"/>
              <w:rPr/>
            </w:pPr>
            <w:r>
              <w:rPr>
                <w:rStyle w:val="StrongEmphasis"/>
              </w:rPr>
              <w:t> </w:t>
            </w:r>
          </w:p>
        </w:tc>
        <w:tc>
          <w:tcPr>
            <w:tcW w:w="90" w:type="dxa"/>
            <w:tcBorders/>
            <w:shd w:fill="auto" w:val="clear"/>
            <w:tcMar>
              <w:bottom w:w="0" w:type="dxa"/>
            </w:tcMar>
            <w:vAlign w:val="center"/>
          </w:tcPr>
          <w:p>
            <w:pPr>
              <w:pStyle w:val="TableContents"/>
              <w:spacing w:before="0" w:after="0"/>
              <w:ind w:left="0" w:right="0" w:hanging="0"/>
              <w:rPr/>
            </w:pPr>
            <w:r>
              <w:rPr>
                <w:rStyle w:val="StrongEmphasis"/>
              </w:rPr>
              <w:t> </w:t>
            </w:r>
          </w:p>
        </w:tc>
        <w:tc>
          <w:tcPr>
            <w:tcW w:w="4372"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Weighted Average Grant Date Fair Value per Share </w:t>
            </w:r>
          </w:p>
        </w:tc>
        <w:tc>
          <w:tcPr>
            <w:tcW w:w="90" w:type="dxa"/>
            <w:tcBorders/>
            <w:shd w:fill="auto" w:val="clear"/>
            <w:tcMar>
              <w:bottom w:w="0" w:type="dxa"/>
            </w:tcMar>
            <w:vAlign w:val="center"/>
          </w:tcPr>
          <w:p>
            <w:pPr>
              <w:pStyle w:val="TableContents"/>
              <w:spacing w:before="0" w:after="0"/>
              <w:ind w:left="0" w:right="0" w:hanging="0"/>
              <w:rPr/>
            </w:pPr>
            <w:r>
              <w:rPr>
                <w:rStyle w:val="StrongEmphasis"/>
              </w:rPr>
              <w:t> </w:t>
            </w:r>
          </w:p>
        </w:tc>
        <w:tc>
          <w:tcPr>
            <w:tcW w:w="90" w:type="dxa"/>
            <w:tcBorders/>
            <w:shd w:fill="auto" w:val="clear"/>
            <w:tcMar>
              <w:bottom w:w="0" w:type="dxa"/>
            </w:tcMar>
            <w:vAlign w:val="center"/>
          </w:tcPr>
          <w:p>
            <w:pPr>
              <w:pStyle w:val="TableContents"/>
              <w:spacing w:before="0" w:after="0"/>
              <w:ind w:left="0" w:right="0" w:hanging="0"/>
              <w:rPr/>
            </w:pPr>
            <w:r>
              <w:rPr>
                <w:rStyle w:val="StrongEmphasis"/>
              </w:rPr>
              <w:t> </w:t>
            </w:r>
          </w:p>
        </w:tc>
        <w:tc>
          <w:tcPr>
            <w:tcW w:w="1255" w:type="dxa"/>
            <w:gridSpan w:val="2"/>
            <w:tcBorders>
              <w:bottom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Aggregate</w:t>
            </w:r>
          </w:p>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Fair Value </w:t>
            </w:r>
          </w:p>
        </w:tc>
        <w:tc>
          <w:tcPr>
            <w:tcW w:w="171" w:type="dxa"/>
            <w:tcBorders/>
            <w:shd w:fill="auto" w:val="clear"/>
            <w:tcMar>
              <w:bottom w:w="0" w:type="dxa"/>
            </w:tcMar>
            <w:vAlign w:val="center"/>
          </w:tcPr>
          <w:p>
            <w:pPr>
              <w:pStyle w:val="TableContents"/>
              <w:spacing w:before="0" w:after="0"/>
              <w:ind w:left="0" w:right="0" w:hanging="0"/>
              <w:rPr/>
            </w:pPr>
            <w:r>
              <w:rPr/>
              <w:t> </w:t>
            </w:r>
          </w:p>
        </w:tc>
      </w:tr>
      <w:tr>
        <w:trPr/>
        <w:tc>
          <w:tcPr>
            <w:tcW w:w="2927"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995" w:type="dxa"/>
            <w:gridSpan w:val="2"/>
            <w:tcBorders/>
            <w:shd w:fill="auto" w:val="clear"/>
            <w:tcMar>
              <w:bottom w:w="0" w:type="dxa"/>
            </w:tcMar>
            <w:vAlign w:val="center"/>
          </w:tcPr>
          <w:p>
            <w:pPr>
              <w:pStyle w:val="TableContents"/>
              <w:spacing w:before="0" w:after="0"/>
              <w:ind w:left="0" w:right="0" w:hanging="0"/>
              <w:rPr/>
            </w:pPr>
            <w:r>
              <w:rPr/>
              <w:t> </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4372" w:type="dxa"/>
            <w:gridSpan w:val="2"/>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255" w:type="dxa"/>
            <w:gridSpan w:val="2"/>
            <w:tcBorders/>
            <w:shd w:fill="auto" w:val="clear"/>
            <w:tcMar>
              <w:bottom w:w="0" w:type="dxa"/>
            </w:tcMar>
            <w:vAlign w:val="center"/>
          </w:tcPr>
          <w:p>
            <w:pPr>
              <w:pStyle w:val="TableContents"/>
              <w:spacing w:before="0" w:after="0"/>
              <w:ind w:left="0" w:right="0" w:hanging="0"/>
              <w:rPr/>
            </w:pPr>
            <w:r>
              <w:rPr/>
              <w:t> </w:t>
            </w:r>
          </w:p>
        </w:tc>
        <w:tc>
          <w:tcPr>
            <w:tcW w:w="171" w:type="dxa"/>
            <w:tcBorders/>
            <w:shd w:fill="auto" w:val="clear"/>
            <w:tcMar>
              <w:bottom w:w="0" w:type="dxa"/>
            </w:tcMar>
            <w:vAlign w:val="center"/>
          </w:tcPr>
          <w:p>
            <w:pPr>
              <w:pStyle w:val="TableContents"/>
              <w:spacing w:before="0" w:after="0"/>
              <w:ind w:left="0" w:right="0" w:hanging="0"/>
              <w:rPr/>
            </w:pPr>
            <w:r>
              <w:rPr/>
              <w:t> </w:t>
            </w:r>
          </w:p>
        </w:tc>
      </w:tr>
      <w:tr>
        <w:trPr/>
        <w:tc>
          <w:tcPr>
            <w:tcW w:w="2927" w:type="dxa"/>
            <w:tcBorders/>
            <w:shd w:fill="CCEEFF"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Balance at January 1, 2022</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5" w:type="dxa"/>
            <w:tcBorders/>
            <w:shd w:fill="CCEEFF" w:val="clear"/>
            <w:tcMar>
              <w:bottom w:w="0" w:type="dxa"/>
            </w:tcMar>
            <w:vAlign w:val="center"/>
          </w:tcPr>
          <w:p>
            <w:pPr>
              <w:pStyle w:val="TableContents"/>
              <w:spacing w:before="0" w:after="283"/>
              <w:jc w:val="right"/>
              <w:rPr/>
            </w:pPr>
            <w:r>
              <w:rPr/>
              <w:t>535,410</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159" w:type="dxa"/>
            <w:tcBorders/>
            <w:shd w:fill="CCEEFF" w:val="clear"/>
            <w:tcMar>
              <w:bottom w:w="0" w:type="dxa"/>
            </w:tcMar>
            <w:vAlign w:val="center"/>
          </w:tcPr>
          <w:p>
            <w:pPr>
              <w:pStyle w:val="TableContents"/>
              <w:spacing w:before="0" w:after="283"/>
              <w:rPr/>
            </w:pPr>
            <w:r>
              <w:rPr/>
              <w:t>$</w:t>
            </w:r>
          </w:p>
        </w:tc>
        <w:tc>
          <w:tcPr>
            <w:tcW w:w="3213" w:type="dxa"/>
            <w:tcBorders/>
            <w:shd w:fill="CCEEFF" w:val="clear"/>
            <w:tcMar>
              <w:bottom w:w="0" w:type="dxa"/>
            </w:tcMar>
            <w:vAlign w:val="center"/>
          </w:tcPr>
          <w:p>
            <w:pPr>
              <w:pStyle w:val="TableContents"/>
              <w:spacing w:before="0" w:after="283"/>
              <w:jc w:val="right"/>
              <w:rPr/>
            </w:pPr>
            <w:r>
              <w:rPr/>
              <w:t>7.01</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283"/>
              <w:rPr/>
            </w:pPr>
            <w:r>
              <w:rPr/>
              <w:t>$</w:t>
            </w:r>
          </w:p>
        </w:tc>
        <w:tc>
          <w:tcPr>
            <w:tcW w:w="1085" w:type="dxa"/>
            <w:tcBorders/>
            <w:shd w:fill="CCEEFF" w:val="clear"/>
            <w:tcMar>
              <w:bottom w:w="0" w:type="dxa"/>
            </w:tcMar>
            <w:vAlign w:val="center"/>
          </w:tcPr>
          <w:p>
            <w:pPr>
              <w:pStyle w:val="TableContents"/>
              <w:spacing w:before="0" w:after="283"/>
              <w:jc w:val="right"/>
              <w:rPr/>
            </w:pPr>
            <w:r>
              <w:rPr/>
              <w:t>3,753,224</w:t>
            </w:r>
          </w:p>
        </w:tc>
        <w:tc>
          <w:tcPr>
            <w:tcW w:w="171" w:type="dxa"/>
            <w:tcBorders/>
            <w:shd w:fill="CCEEFF" w:val="clear"/>
            <w:tcMar>
              <w:bottom w:w="0" w:type="dxa"/>
            </w:tcMar>
            <w:vAlign w:val="center"/>
          </w:tcPr>
          <w:p>
            <w:pPr>
              <w:pStyle w:val="TableContents"/>
              <w:spacing w:before="0" w:after="0"/>
              <w:ind w:left="0" w:right="0" w:hanging="0"/>
              <w:rPr/>
            </w:pPr>
            <w:r>
              <w:rPr/>
              <w:t> </w:t>
            </w:r>
          </w:p>
        </w:tc>
      </w:tr>
      <w:tr>
        <w:trPr/>
        <w:tc>
          <w:tcPr>
            <w:tcW w:w="2927"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159" w:type="dxa"/>
            <w:tcBorders/>
            <w:shd w:fill="FFFFFF" w:val="clear"/>
            <w:tcMar>
              <w:bottom w:w="0" w:type="dxa"/>
            </w:tcMar>
            <w:vAlign w:val="center"/>
          </w:tcPr>
          <w:p>
            <w:pPr>
              <w:pStyle w:val="TableContents"/>
              <w:spacing w:before="0" w:after="0"/>
              <w:ind w:left="0" w:right="0" w:hanging="0"/>
              <w:rPr/>
            </w:pPr>
            <w:r>
              <w:rPr/>
              <w:t> </w:t>
            </w:r>
          </w:p>
        </w:tc>
        <w:tc>
          <w:tcPr>
            <w:tcW w:w="3213"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1085" w:type="dxa"/>
            <w:tcBorders/>
            <w:shd w:fill="FFFFFF" w:val="clear"/>
            <w:tcMar>
              <w:bottom w:w="0" w:type="dxa"/>
            </w:tcMar>
            <w:vAlign w:val="center"/>
          </w:tcPr>
          <w:p>
            <w:pPr>
              <w:pStyle w:val="TableContents"/>
              <w:spacing w:before="0" w:after="0"/>
              <w:ind w:left="0" w:right="0" w:hanging="0"/>
              <w:rPr/>
            </w:pPr>
            <w:r>
              <w:rPr/>
              <w:t> </w:t>
            </w:r>
          </w:p>
        </w:tc>
        <w:tc>
          <w:tcPr>
            <w:tcW w:w="171" w:type="dxa"/>
            <w:tcBorders/>
            <w:shd w:fill="FFFFFF" w:val="clear"/>
            <w:tcMar>
              <w:bottom w:w="0" w:type="dxa"/>
            </w:tcMar>
            <w:vAlign w:val="center"/>
          </w:tcPr>
          <w:p>
            <w:pPr>
              <w:pStyle w:val="TableContents"/>
              <w:spacing w:before="0" w:after="0"/>
              <w:ind w:left="0" w:right="0" w:hanging="0"/>
              <w:rPr/>
            </w:pPr>
            <w:r>
              <w:rPr/>
              <w:t> </w:t>
            </w:r>
          </w:p>
        </w:tc>
      </w:tr>
      <w:tr>
        <w:trPr/>
        <w:tc>
          <w:tcPr>
            <w:tcW w:w="2927" w:type="dxa"/>
            <w:tcBorders/>
            <w:shd w:fill="CCEEFF"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Granted</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5" w:type="dxa"/>
            <w:tcBorders/>
            <w:shd w:fill="CCEEFF" w:val="clear"/>
            <w:tcMar>
              <w:bottom w:w="0" w:type="dxa"/>
            </w:tcMar>
            <w:vAlign w:val="center"/>
          </w:tcPr>
          <w:p>
            <w:pPr>
              <w:pStyle w:val="TableContents"/>
              <w:spacing w:before="0" w:after="283"/>
              <w:jc w:val="right"/>
              <w:rPr/>
            </w:pPr>
            <w:r>
              <w:rPr/>
              <w:t>115,697</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159" w:type="dxa"/>
            <w:tcBorders/>
            <w:shd w:fill="CCEEFF" w:val="clear"/>
            <w:tcMar>
              <w:bottom w:w="0" w:type="dxa"/>
            </w:tcMar>
            <w:vAlign w:val="center"/>
          </w:tcPr>
          <w:p>
            <w:pPr>
              <w:pStyle w:val="TableContents"/>
              <w:spacing w:before="0" w:after="283"/>
              <w:rPr/>
            </w:pPr>
            <w:r>
              <w:rPr/>
              <w:t>$</w:t>
            </w:r>
          </w:p>
        </w:tc>
        <w:tc>
          <w:tcPr>
            <w:tcW w:w="3213" w:type="dxa"/>
            <w:tcBorders/>
            <w:shd w:fill="CCEEFF" w:val="clear"/>
            <w:tcMar>
              <w:bottom w:w="0" w:type="dxa"/>
            </w:tcMar>
            <w:vAlign w:val="center"/>
          </w:tcPr>
          <w:p>
            <w:pPr>
              <w:pStyle w:val="TableContents"/>
              <w:spacing w:before="0" w:after="283"/>
              <w:jc w:val="right"/>
              <w:rPr/>
            </w:pPr>
            <w:r>
              <w:rPr/>
              <w:t>4.71</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283"/>
              <w:rPr/>
            </w:pPr>
            <w:r>
              <w:rPr/>
              <w:t>$</w:t>
            </w:r>
          </w:p>
        </w:tc>
        <w:tc>
          <w:tcPr>
            <w:tcW w:w="1085" w:type="dxa"/>
            <w:tcBorders/>
            <w:shd w:fill="CCEEFF" w:val="clear"/>
            <w:tcMar>
              <w:bottom w:w="0" w:type="dxa"/>
            </w:tcMar>
            <w:vAlign w:val="center"/>
          </w:tcPr>
          <w:p>
            <w:pPr>
              <w:pStyle w:val="TableContents"/>
              <w:spacing w:before="0" w:after="283"/>
              <w:jc w:val="right"/>
              <w:rPr/>
            </w:pPr>
            <w:r>
              <w:rPr/>
              <w:t>544,503</w:t>
            </w:r>
          </w:p>
        </w:tc>
        <w:tc>
          <w:tcPr>
            <w:tcW w:w="171" w:type="dxa"/>
            <w:tcBorders/>
            <w:shd w:fill="CCEEFF" w:val="clear"/>
            <w:tcMar>
              <w:bottom w:w="0" w:type="dxa"/>
            </w:tcMar>
            <w:vAlign w:val="center"/>
          </w:tcPr>
          <w:p>
            <w:pPr>
              <w:pStyle w:val="TableContents"/>
              <w:spacing w:before="0" w:after="0"/>
              <w:ind w:left="0" w:right="0" w:hanging="0"/>
              <w:rPr/>
            </w:pPr>
            <w:r>
              <w:rPr/>
              <w:t> </w:t>
            </w:r>
          </w:p>
        </w:tc>
      </w:tr>
      <w:tr>
        <w:trPr/>
        <w:tc>
          <w:tcPr>
            <w:tcW w:w="2927" w:type="dxa"/>
            <w:tcBorders/>
            <w:shd w:fill="FFFFFF"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Vested</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5" w:type="dxa"/>
            <w:tcBorders/>
            <w:shd w:fill="FFFFFF" w:val="clear"/>
            <w:tcMar>
              <w:bottom w:w="0" w:type="dxa"/>
            </w:tcMar>
            <w:vAlign w:val="center"/>
          </w:tcPr>
          <w:p>
            <w:pPr>
              <w:pStyle w:val="TableContents"/>
              <w:spacing w:before="0" w:after="283"/>
              <w:jc w:val="right"/>
              <w:rPr/>
            </w:pPr>
            <w:r>
              <w:rPr/>
              <w:t>(262,490</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159" w:type="dxa"/>
            <w:tcBorders/>
            <w:shd w:fill="FFFFFF" w:val="clear"/>
            <w:tcMar>
              <w:bottom w:w="0" w:type="dxa"/>
            </w:tcMar>
            <w:vAlign w:val="center"/>
          </w:tcPr>
          <w:p>
            <w:pPr>
              <w:pStyle w:val="TableContents"/>
              <w:spacing w:before="0" w:after="283"/>
              <w:rPr/>
            </w:pPr>
            <w:r>
              <w:rPr/>
              <w:t>$</w:t>
            </w:r>
          </w:p>
        </w:tc>
        <w:tc>
          <w:tcPr>
            <w:tcW w:w="3213" w:type="dxa"/>
            <w:tcBorders/>
            <w:shd w:fill="FFFFFF" w:val="clear"/>
            <w:tcMar>
              <w:bottom w:w="0" w:type="dxa"/>
            </w:tcMar>
            <w:vAlign w:val="center"/>
          </w:tcPr>
          <w:p>
            <w:pPr>
              <w:pStyle w:val="TableContents"/>
              <w:spacing w:before="0" w:after="283"/>
              <w:jc w:val="right"/>
              <w:rPr/>
            </w:pPr>
            <w:r>
              <w:rPr/>
              <w:t>7.32</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283"/>
              <w:rPr/>
            </w:pPr>
            <w:r>
              <w:rPr/>
              <w:t>$</w:t>
            </w:r>
          </w:p>
        </w:tc>
        <w:tc>
          <w:tcPr>
            <w:tcW w:w="1085" w:type="dxa"/>
            <w:tcBorders/>
            <w:shd w:fill="FFFFFF" w:val="clear"/>
            <w:tcMar>
              <w:bottom w:w="0" w:type="dxa"/>
            </w:tcMar>
            <w:vAlign w:val="center"/>
          </w:tcPr>
          <w:p>
            <w:pPr>
              <w:pStyle w:val="TableContents"/>
              <w:spacing w:before="0" w:after="283"/>
              <w:jc w:val="right"/>
              <w:rPr/>
            </w:pPr>
            <w:r>
              <w:rPr/>
              <w:t>(1,715,220</w:t>
            </w:r>
          </w:p>
        </w:tc>
        <w:tc>
          <w:tcPr>
            <w:tcW w:w="171" w:type="dxa"/>
            <w:tcBorders/>
            <w:shd w:fill="FFFFFF" w:val="clear"/>
            <w:tcMar>
              <w:bottom w:w="0" w:type="dxa"/>
            </w:tcMar>
            <w:vAlign w:val="center"/>
          </w:tcPr>
          <w:p>
            <w:pPr>
              <w:pStyle w:val="TableContents"/>
              <w:spacing w:before="0" w:after="283"/>
              <w:rPr/>
            </w:pPr>
            <w:r>
              <w:rPr/>
              <w:t>)</w:t>
            </w:r>
          </w:p>
        </w:tc>
      </w:tr>
      <w:tr>
        <w:trPr/>
        <w:tc>
          <w:tcPr>
            <w:tcW w:w="2927" w:type="dxa"/>
            <w:tcBorders/>
            <w:shd w:fill="CCEEFF" w:val="clear"/>
            <w:tcMar>
              <w:bottom w:w="0"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Forfeited</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CCEEFF" w:val="clear"/>
            <w:vAlign w:val="center"/>
          </w:tcPr>
          <w:p>
            <w:pPr>
              <w:pStyle w:val="TableContents"/>
              <w:spacing w:before="0" w:after="0"/>
              <w:ind w:left="0" w:right="0" w:hanging="0"/>
              <w:rPr/>
            </w:pPr>
            <w:r>
              <w:rPr/>
              <w:t> </w:t>
            </w:r>
          </w:p>
        </w:tc>
        <w:tc>
          <w:tcPr>
            <w:tcW w:w="905" w:type="dxa"/>
            <w:tcBorders>
              <w:bottom w:val="single" w:sz="2" w:space="0" w:color="000000"/>
            </w:tcBorders>
            <w:shd w:fill="CCEEFF" w:val="clear"/>
            <w:vAlign w:val="center"/>
          </w:tcPr>
          <w:p>
            <w:pPr>
              <w:pStyle w:val="TableContents"/>
              <w:spacing w:before="0" w:after="283"/>
              <w:jc w:val="right"/>
              <w:rPr/>
            </w:pPr>
            <w:r>
              <w:rPr/>
              <w:t>(22,020</w:t>
            </w:r>
          </w:p>
        </w:tc>
        <w:tc>
          <w:tcPr>
            <w:tcW w:w="125" w:type="dxa"/>
            <w:tcBorders/>
            <w:shd w:fill="CCEEFF" w:val="clear"/>
            <w:tcMar>
              <w:bottom w:w="0" w:type="dxa"/>
            </w:tcMar>
            <w:vAlign w:val="center"/>
          </w:tcPr>
          <w:p>
            <w:pPr>
              <w:pStyle w:val="TableContents"/>
              <w:spacing w:before="0" w:after="283"/>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159" w:type="dxa"/>
            <w:tcBorders>
              <w:bottom w:val="single" w:sz="2" w:space="0" w:color="000000"/>
            </w:tcBorders>
            <w:shd w:fill="CCEEFF" w:val="clear"/>
            <w:vAlign w:val="center"/>
          </w:tcPr>
          <w:p>
            <w:pPr>
              <w:pStyle w:val="TableContents"/>
              <w:spacing w:before="0" w:after="283"/>
              <w:rPr/>
            </w:pPr>
            <w:r>
              <w:rPr/>
              <w:t>$</w:t>
            </w:r>
          </w:p>
        </w:tc>
        <w:tc>
          <w:tcPr>
            <w:tcW w:w="3213" w:type="dxa"/>
            <w:tcBorders>
              <w:bottom w:val="single" w:sz="2" w:space="0" w:color="000000"/>
            </w:tcBorders>
            <w:shd w:fill="CCEEFF" w:val="clear"/>
            <w:vAlign w:val="center"/>
          </w:tcPr>
          <w:p>
            <w:pPr>
              <w:pStyle w:val="TableContents"/>
              <w:spacing w:before="0" w:after="283"/>
              <w:jc w:val="right"/>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bottom w:val="single" w:sz="2" w:space="0" w:color="000000"/>
            </w:tcBorders>
            <w:shd w:fill="CCEEFF" w:val="clear"/>
            <w:vAlign w:val="center"/>
          </w:tcPr>
          <w:p>
            <w:pPr>
              <w:pStyle w:val="TableContents"/>
              <w:spacing w:before="0" w:after="283"/>
              <w:rPr/>
            </w:pPr>
            <w:r>
              <w:rPr/>
              <w:t>$</w:t>
            </w:r>
          </w:p>
        </w:tc>
        <w:tc>
          <w:tcPr>
            <w:tcW w:w="1085" w:type="dxa"/>
            <w:tcBorders>
              <w:bottom w:val="single" w:sz="2" w:space="0" w:color="000000"/>
            </w:tcBorders>
            <w:shd w:fill="CCEEFF" w:val="clear"/>
            <w:vAlign w:val="center"/>
          </w:tcPr>
          <w:p>
            <w:pPr>
              <w:pStyle w:val="TableContents"/>
              <w:spacing w:before="0" w:after="283"/>
              <w:jc w:val="right"/>
              <w:rPr/>
            </w:pPr>
            <w:r>
              <w:rPr/>
              <w:t>-</w:t>
            </w:r>
          </w:p>
        </w:tc>
        <w:tc>
          <w:tcPr>
            <w:tcW w:w="171" w:type="dxa"/>
            <w:tcBorders/>
            <w:shd w:fill="CCEEFF" w:val="clear"/>
            <w:tcMar>
              <w:bottom w:w="0" w:type="dxa"/>
            </w:tcMar>
            <w:vAlign w:val="center"/>
          </w:tcPr>
          <w:p>
            <w:pPr>
              <w:pStyle w:val="TableContents"/>
              <w:spacing w:before="0" w:after="0"/>
              <w:ind w:left="0" w:right="0" w:hanging="0"/>
              <w:rPr/>
            </w:pPr>
            <w:r>
              <w:rPr/>
              <w:t> </w:t>
            </w:r>
          </w:p>
        </w:tc>
      </w:tr>
      <w:tr>
        <w:trPr/>
        <w:tc>
          <w:tcPr>
            <w:tcW w:w="2927"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159" w:type="dxa"/>
            <w:tcBorders/>
            <w:shd w:fill="FFFFFF" w:val="clear"/>
            <w:tcMar>
              <w:bottom w:w="0" w:type="dxa"/>
            </w:tcMar>
            <w:vAlign w:val="center"/>
          </w:tcPr>
          <w:p>
            <w:pPr>
              <w:pStyle w:val="TableContents"/>
              <w:spacing w:before="0" w:after="0"/>
              <w:ind w:left="0" w:right="0" w:hanging="0"/>
              <w:rPr/>
            </w:pPr>
            <w:r>
              <w:rPr/>
              <w:t> </w:t>
            </w:r>
          </w:p>
        </w:tc>
        <w:tc>
          <w:tcPr>
            <w:tcW w:w="3213"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1085" w:type="dxa"/>
            <w:tcBorders/>
            <w:shd w:fill="FFFFFF" w:val="clear"/>
            <w:tcMar>
              <w:bottom w:w="0" w:type="dxa"/>
            </w:tcMar>
            <w:vAlign w:val="center"/>
          </w:tcPr>
          <w:p>
            <w:pPr>
              <w:pStyle w:val="TableContents"/>
              <w:spacing w:before="0" w:after="0"/>
              <w:ind w:left="0" w:right="0" w:hanging="0"/>
              <w:rPr/>
            </w:pPr>
            <w:r>
              <w:rPr/>
              <w:t> </w:t>
            </w:r>
          </w:p>
        </w:tc>
        <w:tc>
          <w:tcPr>
            <w:tcW w:w="171" w:type="dxa"/>
            <w:tcBorders/>
            <w:shd w:fill="FFFFFF" w:val="clear"/>
            <w:tcMar>
              <w:bottom w:w="0" w:type="dxa"/>
            </w:tcMar>
            <w:vAlign w:val="center"/>
          </w:tcPr>
          <w:p>
            <w:pPr>
              <w:pStyle w:val="TableContents"/>
              <w:spacing w:before="0" w:after="0"/>
              <w:ind w:left="0" w:right="0" w:hanging="0"/>
              <w:rPr/>
            </w:pPr>
            <w:r>
              <w:rPr/>
              <w:t> </w:t>
            </w:r>
          </w:p>
        </w:tc>
      </w:tr>
      <w:tr>
        <w:trPr/>
        <w:tc>
          <w:tcPr>
            <w:tcW w:w="2927" w:type="dxa"/>
            <w:tcBorders/>
            <w:shd w:fill="CCEEFF" w:val="clear"/>
            <w:tcMar>
              <w:bottom w:w="0" w:type="dxa"/>
            </w:tcMar>
            <w:vAlign w:val="center"/>
          </w:tcPr>
          <w:p>
            <w:pPr>
              <w:pStyle w:val="TableContents"/>
              <w:spacing w:before="0" w:after="283"/>
              <w:rPr/>
            </w:pPr>
            <w:r>
              <w:rPr/>
              <w:t>Balance at December 31, 2022</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double" w:sz="5" w:space="0" w:color="000000"/>
            </w:tcBorders>
            <w:shd w:fill="CCEEFF" w:val="clear"/>
            <w:vAlign w:val="center"/>
          </w:tcPr>
          <w:p>
            <w:pPr>
              <w:pStyle w:val="TableContents"/>
              <w:spacing w:before="0" w:after="0"/>
              <w:ind w:left="0" w:right="0" w:hanging="0"/>
              <w:rPr/>
            </w:pPr>
            <w:r>
              <w:rPr/>
              <w:t> </w:t>
            </w:r>
          </w:p>
        </w:tc>
        <w:tc>
          <w:tcPr>
            <w:tcW w:w="905" w:type="dxa"/>
            <w:tcBorders>
              <w:bottom w:val="double" w:sz="5" w:space="0" w:color="000000"/>
            </w:tcBorders>
            <w:shd w:fill="CCEEFF" w:val="clear"/>
            <w:vAlign w:val="center"/>
          </w:tcPr>
          <w:p>
            <w:pPr>
              <w:pStyle w:val="TableContents"/>
              <w:spacing w:before="0" w:after="283"/>
              <w:jc w:val="right"/>
              <w:rPr/>
            </w:pPr>
            <w:r>
              <w:rPr/>
              <w:t>366,597</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159" w:type="dxa"/>
            <w:tcBorders>
              <w:bottom w:val="double" w:sz="5" w:space="0" w:color="000000"/>
            </w:tcBorders>
            <w:shd w:fill="CCEEFF" w:val="clear"/>
            <w:vAlign w:val="center"/>
          </w:tcPr>
          <w:p>
            <w:pPr>
              <w:pStyle w:val="TableContents"/>
              <w:spacing w:before="0" w:after="283"/>
              <w:rPr/>
            </w:pPr>
            <w:r>
              <w:rPr/>
              <w:t>$</w:t>
            </w:r>
          </w:p>
        </w:tc>
        <w:tc>
          <w:tcPr>
            <w:tcW w:w="3213" w:type="dxa"/>
            <w:tcBorders>
              <w:bottom w:val="double" w:sz="5" w:space="0" w:color="000000"/>
            </w:tcBorders>
            <w:shd w:fill="CCEEFF" w:val="clear"/>
            <w:vAlign w:val="center"/>
          </w:tcPr>
          <w:p>
            <w:pPr>
              <w:pStyle w:val="TableContents"/>
              <w:spacing w:before="0" w:after="283"/>
              <w:jc w:val="right"/>
              <w:rPr/>
            </w:pPr>
            <w:r>
              <w:rPr/>
              <w:t>6.97</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bottom w:val="double" w:sz="5" w:space="0" w:color="000000"/>
            </w:tcBorders>
            <w:shd w:fill="CCEEFF" w:val="clear"/>
            <w:vAlign w:val="center"/>
          </w:tcPr>
          <w:p>
            <w:pPr>
              <w:pStyle w:val="TableContents"/>
              <w:spacing w:before="0" w:after="283"/>
              <w:rPr/>
            </w:pPr>
            <w:r>
              <w:rPr/>
              <w:t>$</w:t>
            </w:r>
          </w:p>
        </w:tc>
        <w:tc>
          <w:tcPr>
            <w:tcW w:w="1085" w:type="dxa"/>
            <w:tcBorders>
              <w:bottom w:val="double" w:sz="5" w:space="0" w:color="000000"/>
            </w:tcBorders>
            <w:shd w:fill="CCEEFF" w:val="clear"/>
            <w:vAlign w:val="center"/>
          </w:tcPr>
          <w:p>
            <w:pPr>
              <w:pStyle w:val="TableContents"/>
              <w:spacing w:before="0" w:after="283"/>
              <w:jc w:val="right"/>
              <w:rPr/>
            </w:pPr>
            <w:r>
              <w:rPr/>
              <w:t>2,582,506</w:t>
            </w:r>
          </w:p>
        </w:tc>
        <w:tc>
          <w:tcPr>
            <w:tcW w:w="171" w:type="dxa"/>
            <w:tcBorders/>
            <w:shd w:fill="CCEEFF" w:val="clear"/>
            <w:tcMar>
              <w:bottom w:w="0" w:type="dxa"/>
            </w:tcMar>
            <w:vAlign w:val="center"/>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Fair value was calculated using the closing price of the Company’s Common Stock on the grant date. For the years ended December 31, 2022 and 2021, stock-based compensation for these grants was approximately $1,369,000 and $1,846,000, respectively, which is included in other operating expenses on the accompanying consolidated statements of operations and comprehensive income (loss). These amounts reflect the Company’s accounting expense and do not correspond to the actual value that will be recognized by the directors, executives and employees.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Employee Stock Purchase Plan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June 19, 2021, the Company’s Board of Directors adopted the Kingstone Companies, Inc. Employee Stock Purchase Plan (the “ESPP”), subject to stockholder approval. Such approval was obtained on August 10, 2021. The purpose of the ESPP is to provide eligible employees of the Company with an opportunity to use payroll deductions to purchase shares of Common Stock of the Company. The maximum number of shares of Common Stock that may be purchased under the ESPP is 750,000, subject to adjustment as provided for in the ESPP. The ESPP was effective August 10, 2021 and expires on August 10, 2031. A maximum of 5,000 shares of Common Stock may be purchased by an employee during any offering period.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initial offering period under the ESPP was from November 1, 2021 through October 31, 2022 (“2021/2022 Offering”).  There is currently no offering pursuant to the ESPP subsequent to October 31, 2022. For the years ended December 31, 2022 and 2021, stock-based compensation under the 2021/2022 Offering was approximately $15,000 and $4,000, respectively, which is included in other operating expenses on the accompanying consolidated statements of operations and comprehensive income (loss).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At the end of the 2021/2022 Offering period, 33,222 shares of Common Stock were issued at $1.82 per share to participating employees for a total purchase of $60,464.</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F-44</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2022 AND 2021</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Warrants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connection with the Exchange Agreement (see Note 9 – Debt – “Note and Warrant Exchange”), as additional consideration, on December 15, 2022, the Company issued warrants to the Exchanging Noteholders to purchase 969,525 shares of Common Stock. The fair value of the warrants, using the Black-Scholes valuation formula, was $993,200, which has been capitalized as a deferred financing cost of the 2022 Notes. The fair value of the warrants is being amortized over the life of the warrants, which is 36.5 months.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warrants are exercisable through December 30, 2025 at an exercise price of $1.00 per share. Holders of the warrants may exercise their outstanding warrants in cash, or, in whole or in part, by having the Company reduce the number of shares otherwise issuable by a number of shares having a fair market value equal to the exercise price of the warrants being exercised.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As of December 31, 2022, all warrants for the purchase of an aggregate of 969,525 shares of Common Stock were outstanding.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weighted average assumptions were used for grants during the following periods:</w:t>
      </w:r>
    </w:p>
    <w:p>
      <w:pPr>
        <w:pStyle w:val="TextBody"/>
        <w:spacing w:before="0" w:after="0"/>
        <w:ind w:left="0" w:right="0" w:hanging="0"/>
        <w:jc w:val="both"/>
        <w:rPr/>
      </w:pPr>
      <w:r>
        <w:rPr/>
        <w:t> </w:t>
      </w:r>
    </w:p>
    <w:tbl>
      <w:tblPr>
        <w:tblW w:w="3620" w:type="dxa"/>
        <w:jc w:val="left"/>
        <w:tblInd w:w="0" w:type="dxa"/>
        <w:tblCellMar>
          <w:top w:w="0" w:type="dxa"/>
          <w:left w:w="0" w:type="dxa"/>
          <w:bottom w:w="0" w:type="dxa"/>
          <w:right w:w="0" w:type="dxa"/>
        </w:tblCellMar>
      </w:tblPr>
      <w:tblGrid>
        <w:gridCol w:w="1910"/>
        <w:gridCol w:w="90"/>
        <w:gridCol w:w="90"/>
        <w:gridCol w:w="590"/>
        <w:gridCol w:w="245"/>
        <w:gridCol w:w="90"/>
        <w:gridCol w:w="132"/>
        <w:gridCol w:w="338"/>
        <w:gridCol w:w="135"/>
      </w:tblGrid>
      <w:tr>
        <w:trPr/>
        <w:tc>
          <w:tcPr>
            <w:tcW w:w="191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85" w:type="dxa"/>
            <w:gridSpan w:val="6"/>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Years ended </w:t>
            </w:r>
          </w:p>
        </w:tc>
        <w:tc>
          <w:tcPr>
            <w:tcW w:w="135" w:type="dxa"/>
            <w:tcBorders/>
            <w:shd w:fill="auto" w:val="clear"/>
            <w:vAlign w:val="center"/>
          </w:tcPr>
          <w:p>
            <w:pPr>
              <w:pStyle w:val="TableContents"/>
              <w:spacing w:before="0" w:after="0"/>
              <w:ind w:left="0" w:right="0" w:hanging="0"/>
              <w:rPr/>
            </w:pPr>
            <w:r>
              <w:rPr/>
              <w:t> </w:t>
            </w:r>
          </w:p>
        </w:tc>
      </w:tr>
      <w:tr>
        <w:trPr/>
        <w:tc>
          <w:tcPr>
            <w:tcW w:w="191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85"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December 31, </w:t>
            </w:r>
          </w:p>
        </w:tc>
        <w:tc>
          <w:tcPr>
            <w:tcW w:w="135" w:type="dxa"/>
            <w:tcBorders/>
            <w:shd w:fill="auto" w:val="clear"/>
            <w:vAlign w:val="center"/>
          </w:tcPr>
          <w:p>
            <w:pPr>
              <w:pStyle w:val="TableContents"/>
              <w:spacing w:before="0" w:after="0"/>
              <w:ind w:left="0" w:right="0" w:hanging="0"/>
              <w:rPr/>
            </w:pPr>
            <w:r>
              <w:rPr/>
              <w:t> </w:t>
            </w:r>
          </w:p>
        </w:tc>
      </w:tr>
      <w:tr>
        <w:trPr/>
        <w:tc>
          <w:tcPr>
            <w:tcW w:w="191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6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2022</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47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2021</w:t>
            </w:r>
          </w:p>
        </w:tc>
        <w:tc>
          <w:tcPr>
            <w:tcW w:w="135" w:type="dxa"/>
            <w:tcBorders/>
            <w:shd w:fill="auto" w:val="clear"/>
            <w:vAlign w:val="center"/>
          </w:tcPr>
          <w:p>
            <w:pPr>
              <w:pStyle w:val="TableContents"/>
              <w:spacing w:before="0" w:after="0"/>
              <w:ind w:left="0" w:right="0" w:hanging="0"/>
              <w:rPr/>
            </w:pPr>
            <w:r>
              <w:rPr/>
              <w:t> </w:t>
            </w:r>
          </w:p>
        </w:tc>
      </w:tr>
      <w:tr>
        <w:trPr/>
        <w:tc>
          <w:tcPr>
            <w:tcW w:w="191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680" w:type="dxa"/>
            <w:gridSpan w:val="2"/>
            <w:tcBorders/>
            <w:shd w:fill="auto" w:val="clear"/>
            <w:vAlign w:val="center"/>
          </w:tcPr>
          <w:p>
            <w:pPr>
              <w:pStyle w:val="TableContents"/>
              <w:spacing w:before="0" w:after="0"/>
              <w:ind w:left="0" w:right="0" w:hanging="0"/>
              <w:rPr/>
            </w:pPr>
            <w:r>
              <w:rPr/>
              <w:t> </w:t>
            </w:r>
          </w:p>
        </w:tc>
        <w:tc>
          <w:tcPr>
            <w:tcW w:w="24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470" w:type="dxa"/>
            <w:gridSpan w:val="2"/>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191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Dividend Yield</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283"/>
              <w:jc w:val="right"/>
              <w:rPr/>
            </w:pPr>
            <w:r>
              <w:rPr/>
              <w:t>0.00</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32" w:type="dxa"/>
            <w:tcBorders/>
            <w:shd w:fill="CCEEFF" w:val="clear"/>
            <w:vAlign w:val="center"/>
          </w:tcPr>
          <w:p>
            <w:pPr>
              <w:pStyle w:val="TableContents"/>
              <w:spacing w:before="0" w:after="0"/>
              <w:ind w:left="0" w:right="0" w:hanging="0"/>
              <w:rPr/>
            </w:pPr>
            <w:r>
              <w:rPr/>
              <w:t> </w:t>
            </w:r>
          </w:p>
        </w:tc>
        <w:tc>
          <w:tcPr>
            <w:tcW w:w="338" w:type="dxa"/>
            <w:tcBorders/>
            <w:shd w:fill="CCEEFF" w:val="clear"/>
            <w:vAlign w:val="center"/>
          </w:tcPr>
          <w:p>
            <w:pPr>
              <w:pStyle w:val="TableContents"/>
              <w:spacing w:before="0" w:after="283"/>
              <w:jc w:val="right"/>
              <w:rPr/>
            </w:pPr>
            <w:r>
              <w:rPr/>
              <w:t>n/a</w:t>
            </w:r>
          </w:p>
        </w:tc>
        <w:tc>
          <w:tcPr>
            <w:tcW w:w="135" w:type="dxa"/>
            <w:tcBorders/>
            <w:shd w:fill="CCEEFF" w:val="clear"/>
            <w:vAlign w:val="center"/>
          </w:tcPr>
          <w:p>
            <w:pPr>
              <w:pStyle w:val="TableContents"/>
              <w:spacing w:before="0" w:after="0"/>
              <w:ind w:left="0" w:right="0" w:hanging="0"/>
              <w:rPr/>
            </w:pPr>
            <w:r>
              <w:rPr/>
              <w:t> </w:t>
            </w:r>
          </w:p>
        </w:tc>
      </w:tr>
      <w:tr>
        <w:trPr/>
        <w:tc>
          <w:tcPr>
            <w:tcW w:w="191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Volatility</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590" w:type="dxa"/>
            <w:tcBorders/>
            <w:shd w:fill="FFFFFF" w:val="clear"/>
            <w:vAlign w:val="center"/>
          </w:tcPr>
          <w:p>
            <w:pPr>
              <w:pStyle w:val="TableContents"/>
              <w:spacing w:before="0" w:after="283"/>
              <w:jc w:val="right"/>
              <w:rPr/>
            </w:pPr>
            <w:r>
              <w:rPr/>
              <w:t>57.45</w:t>
            </w:r>
          </w:p>
        </w:tc>
        <w:tc>
          <w:tcPr>
            <w:tcW w:w="24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32" w:type="dxa"/>
            <w:tcBorders/>
            <w:shd w:fill="FFFFFF" w:val="clear"/>
            <w:vAlign w:val="center"/>
          </w:tcPr>
          <w:p>
            <w:pPr>
              <w:pStyle w:val="TableContents"/>
              <w:spacing w:before="0" w:after="0"/>
              <w:ind w:left="0" w:right="0" w:hanging="0"/>
              <w:rPr/>
            </w:pPr>
            <w:r>
              <w:rPr/>
              <w:t> </w:t>
            </w:r>
          </w:p>
        </w:tc>
        <w:tc>
          <w:tcPr>
            <w:tcW w:w="338" w:type="dxa"/>
            <w:tcBorders/>
            <w:shd w:fill="FFFFFF" w:val="clear"/>
            <w:vAlign w:val="center"/>
          </w:tcPr>
          <w:p>
            <w:pPr>
              <w:pStyle w:val="TableContents"/>
              <w:spacing w:before="0" w:after="283"/>
              <w:jc w:val="right"/>
              <w:rPr/>
            </w:pPr>
            <w:r>
              <w:rPr/>
              <w:t>n/a</w:t>
            </w:r>
          </w:p>
        </w:tc>
        <w:tc>
          <w:tcPr>
            <w:tcW w:w="135" w:type="dxa"/>
            <w:tcBorders/>
            <w:shd w:fill="FFFFFF" w:val="clear"/>
            <w:vAlign w:val="center"/>
          </w:tcPr>
          <w:p>
            <w:pPr>
              <w:pStyle w:val="TableContents"/>
              <w:spacing w:before="0" w:after="0"/>
              <w:ind w:left="0" w:right="0" w:hanging="0"/>
              <w:rPr/>
            </w:pPr>
            <w:r>
              <w:rPr/>
              <w:t> </w:t>
            </w:r>
          </w:p>
        </w:tc>
      </w:tr>
      <w:tr>
        <w:trPr/>
        <w:tc>
          <w:tcPr>
            <w:tcW w:w="1910"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Risk-Free Interest Rate</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590" w:type="dxa"/>
            <w:tcBorders/>
            <w:shd w:fill="CCEEFF" w:val="clear"/>
            <w:vAlign w:val="center"/>
          </w:tcPr>
          <w:p>
            <w:pPr>
              <w:pStyle w:val="TableContents"/>
              <w:spacing w:before="0" w:after="283"/>
              <w:jc w:val="right"/>
              <w:rPr/>
            </w:pPr>
            <w:r>
              <w:rPr/>
              <w:t>4.00</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32" w:type="dxa"/>
            <w:tcBorders/>
            <w:shd w:fill="CCEEFF" w:val="clear"/>
            <w:vAlign w:val="center"/>
          </w:tcPr>
          <w:p>
            <w:pPr>
              <w:pStyle w:val="TableContents"/>
              <w:spacing w:before="0" w:after="0"/>
              <w:ind w:left="0" w:right="0" w:hanging="0"/>
              <w:rPr/>
            </w:pPr>
            <w:r>
              <w:rPr/>
              <w:t> </w:t>
            </w:r>
          </w:p>
        </w:tc>
        <w:tc>
          <w:tcPr>
            <w:tcW w:w="338" w:type="dxa"/>
            <w:tcBorders/>
            <w:shd w:fill="CCEEFF" w:val="clear"/>
            <w:vAlign w:val="center"/>
          </w:tcPr>
          <w:p>
            <w:pPr>
              <w:pStyle w:val="TableContents"/>
              <w:spacing w:before="0" w:after="283"/>
              <w:jc w:val="right"/>
              <w:rPr/>
            </w:pPr>
            <w:r>
              <w:rPr/>
              <w:t>n/a</w:t>
            </w:r>
          </w:p>
        </w:tc>
        <w:tc>
          <w:tcPr>
            <w:tcW w:w="135" w:type="dxa"/>
            <w:tcBorders/>
            <w:shd w:fill="CCEEFF" w:val="clear"/>
            <w:vAlign w:val="center"/>
          </w:tcPr>
          <w:p>
            <w:pPr>
              <w:pStyle w:val="TableContents"/>
              <w:spacing w:before="0" w:after="0"/>
              <w:ind w:left="0" w:right="0" w:hanging="0"/>
              <w:rPr/>
            </w:pPr>
            <w:r>
              <w:rPr/>
              <w:t> </w:t>
            </w:r>
          </w:p>
        </w:tc>
      </w:tr>
      <w:tr>
        <w:trPr/>
        <w:tc>
          <w:tcPr>
            <w:tcW w:w="1910"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Expected Life</w:t>
            </w:r>
          </w:p>
        </w:tc>
        <w:tc>
          <w:tcPr>
            <w:tcW w:w="90" w:type="dxa"/>
            <w:tcBorders/>
            <w:shd w:fill="FFFFFF" w:val="clear"/>
            <w:vAlign w:val="center"/>
          </w:tcPr>
          <w:p>
            <w:pPr>
              <w:pStyle w:val="TableContents"/>
              <w:spacing w:before="0" w:after="0"/>
              <w:ind w:left="0" w:right="0" w:hanging="0"/>
              <w:rPr/>
            </w:pPr>
            <w:r>
              <w:rPr/>
              <w:t> </w:t>
            </w:r>
          </w:p>
        </w:tc>
        <w:tc>
          <w:tcPr>
            <w:tcW w:w="680" w:type="dxa"/>
            <w:gridSpan w:val="2"/>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3 years</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32" w:type="dxa"/>
            <w:tcBorders/>
            <w:shd w:fill="FFFFFF" w:val="clear"/>
            <w:vAlign w:val="center"/>
          </w:tcPr>
          <w:p>
            <w:pPr>
              <w:pStyle w:val="TableContents"/>
              <w:spacing w:before="0" w:after="0"/>
              <w:ind w:left="0" w:right="0" w:hanging="0"/>
              <w:rPr/>
            </w:pPr>
            <w:r>
              <w:rPr/>
              <w:t> </w:t>
            </w:r>
          </w:p>
        </w:tc>
        <w:tc>
          <w:tcPr>
            <w:tcW w:w="338" w:type="dxa"/>
            <w:tcBorders/>
            <w:shd w:fill="FFFFFF" w:val="clear"/>
            <w:vAlign w:val="center"/>
          </w:tcPr>
          <w:p>
            <w:pPr>
              <w:pStyle w:val="TableContents"/>
              <w:spacing w:before="0" w:after="283"/>
              <w:jc w:val="right"/>
              <w:rPr/>
            </w:pPr>
            <w:r>
              <w:rPr/>
              <w:t>n/a</w:t>
            </w:r>
          </w:p>
        </w:tc>
        <w:tc>
          <w:tcPr>
            <w:tcW w:w="135" w:type="dxa"/>
            <w:tcBorders/>
            <w:shd w:fill="FFFF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 xml:space="preserve">Note 13 - Statutory Financial Information and Accounting Policies </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For regulatory purposes, KICO prepares its statutory basis financial statements based on statutory accounting principles prescribed or permitted by the New York State Department of Financial Services (the “DFS”). The DFS requires insurance companies domiciled in New York State to prepare their statutory financial statements in accordance with Statements of Statutory Accounting Principles as promulgated by the National Association of Insurance Commissioners (the “NAIC”), subject to any deviations prescribed or permitted by the DFS. These statutory accounting practices differ substantially from GAAP used by most business entities. The more significant variances from GAAP are as follows:</w:t>
      </w:r>
    </w:p>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292"/>
        <w:gridCol w:w="9913"/>
      </w:tblGrid>
      <w:tr>
        <w:trPr/>
        <w:tc>
          <w:tcPr>
            <w:tcW w:w="292" w:type="dxa"/>
            <w:tcBorders/>
            <w:shd w:fill="auto" w:val="clear"/>
            <w:vAlign w:val="center"/>
          </w:tcPr>
          <w:p>
            <w:pPr>
              <w:pStyle w:val="TableContents"/>
              <w:spacing w:before="0" w:after="0"/>
              <w:ind w:left="0" w:right="0" w:hanging="0"/>
              <w:jc w:val="both"/>
              <w:rPr/>
            </w:pPr>
            <w:r>
              <w:rPr/>
              <w:t xml:space="preserve">•   </w:t>
            </w:r>
          </w:p>
        </w:tc>
        <w:tc>
          <w:tcPr>
            <w:tcW w:w="9913"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Policy acquisition costs are charged to operations in the year such costs are incurred, rather than being deferred and amortized as premiums are earned over the terms of the policies.</w:t>
            </w:r>
          </w:p>
        </w:tc>
      </w:tr>
      <w:tr>
        <w:trPr/>
        <w:tc>
          <w:tcPr>
            <w:tcW w:w="292" w:type="dxa"/>
            <w:tcBorders/>
            <w:shd w:fill="auto" w:val="clear"/>
            <w:vAlign w:val="center"/>
          </w:tcPr>
          <w:p>
            <w:pPr>
              <w:pStyle w:val="TableContents"/>
              <w:spacing w:before="0" w:after="0"/>
              <w:ind w:left="0" w:right="0" w:hanging="0"/>
              <w:jc w:val="both"/>
              <w:rPr/>
            </w:pPr>
            <w:r>
              <w:rPr/>
              <w:t> </w:t>
            </w:r>
          </w:p>
        </w:tc>
        <w:tc>
          <w:tcPr>
            <w:tcW w:w="9913" w:type="dxa"/>
            <w:tcBorders/>
            <w:shd w:fill="auto" w:val="clear"/>
            <w:vAlign w:val="center"/>
          </w:tcPr>
          <w:p>
            <w:pPr>
              <w:pStyle w:val="TableContents"/>
              <w:spacing w:before="0" w:after="0"/>
              <w:ind w:left="0" w:right="0" w:hanging="0"/>
              <w:jc w:val="both"/>
              <w:rPr/>
            </w:pPr>
            <w:r>
              <w:rPr/>
              <w:t> </w:t>
            </w:r>
          </w:p>
        </w:tc>
      </w:tr>
      <w:tr>
        <w:trPr/>
        <w:tc>
          <w:tcPr>
            <w:tcW w:w="292" w:type="dxa"/>
            <w:tcBorders/>
            <w:shd w:fill="auto" w:val="clear"/>
            <w:vAlign w:val="center"/>
          </w:tcPr>
          <w:p>
            <w:pPr>
              <w:pStyle w:val="TableContents"/>
              <w:spacing w:before="0" w:after="0"/>
              <w:ind w:left="0" w:right="0" w:hanging="0"/>
              <w:jc w:val="both"/>
              <w:rPr/>
            </w:pPr>
            <w:r>
              <w:rPr/>
              <w:t xml:space="preserve">•   </w:t>
            </w:r>
          </w:p>
        </w:tc>
        <w:tc>
          <w:tcPr>
            <w:tcW w:w="9913"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Ceding commission revenues are earned when ceded premiums are written except for ceding commission revenues in excess of anticipated acquisition costs, which are deferred and amortized as ceded premiums are earned. GAAP requires that all ceding commission revenues be earned as the underlying ceded premiums are earned over the term of the reinsurance agreements. </w:t>
            </w:r>
          </w:p>
        </w:tc>
      </w:tr>
      <w:tr>
        <w:trPr/>
        <w:tc>
          <w:tcPr>
            <w:tcW w:w="292" w:type="dxa"/>
            <w:tcBorders/>
            <w:shd w:fill="auto" w:val="clear"/>
            <w:vAlign w:val="center"/>
          </w:tcPr>
          <w:p>
            <w:pPr>
              <w:pStyle w:val="TableContents"/>
              <w:spacing w:before="0" w:after="0"/>
              <w:ind w:left="0" w:right="0" w:hanging="0"/>
              <w:jc w:val="both"/>
              <w:rPr/>
            </w:pPr>
            <w:r>
              <w:rPr/>
              <w:t> </w:t>
            </w:r>
          </w:p>
        </w:tc>
        <w:tc>
          <w:tcPr>
            <w:tcW w:w="9913" w:type="dxa"/>
            <w:tcBorders/>
            <w:shd w:fill="auto" w:val="clear"/>
            <w:vAlign w:val="center"/>
          </w:tcPr>
          <w:p>
            <w:pPr>
              <w:pStyle w:val="TableContents"/>
              <w:spacing w:before="0" w:after="0"/>
              <w:ind w:left="0" w:right="0" w:hanging="0"/>
              <w:jc w:val="both"/>
              <w:rPr/>
            </w:pPr>
            <w:r>
              <w:rPr/>
              <w:t> </w:t>
            </w:r>
          </w:p>
        </w:tc>
      </w:tr>
      <w:tr>
        <w:trPr/>
        <w:tc>
          <w:tcPr>
            <w:tcW w:w="292" w:type="dxa"/>
            <w:tcBorders/>
            <w:shd w:fill="auto" w:val="clear"/>
            <w:vAlign w:val="center"/>
          </w:tcPr>
          <w:p>
            <w:pPr>
              <w:pStyle w:val="TableContents"/>
              <w:spacing w:before="0" w:after="0"/>
              <w:ind w:left="0" w:right="0" w:hanging="0"/>
              <w:jc w:val="both"/>
              <w:rPr/>
            </w:pPr>
            <w:r>
              <w:rPr/>
              <w:t xml:space="preserve">•   </w:t>
            </w:r>
          </w:p>
        </w:tc>
        <w:tc>
          <w:tcPr>
            <w:tcW w:w="9913"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Certain assets including certain receivables, a portion of the net deferred tax asset, prepaid expenses and furniture and equipment are not admitted. </w:t>
            </w:r>
          </w:p>
        </w:tc>
      </w:tr>
      <w:tr>
        <w:trPr/>
        <w:tc>
          <w:tcPr>
            <w:tcW w:w="292" w:type="dxa"/>
            <w:tcBorders/>
            <w:shd w:fill="auto" w:val="clear"/>
            <w:vAlign w:val="center"/>
          </w:tcPr>
          <w:p>
            <w:pPr>
              <w:pStyle w:val="TableContents"/>
              <w:spacing w:before="0" w:after="0"/>
              <w:ind w:left="0" w:right="0" w:hanging="0"/>
              <w:jc w:val="both"/>
              <w:rPr/>
            </w:pPr>
            <w:r>
              <w:rPr/>
              <w:t> </w:t>
            </w:r>
          </w:p>
        </w:tc>
        <w:tc>
          <w:tcPr>
            <w:tcW w:w="9913" w:type="dxa"/>
            <w:tcBorders/>
            <w:shd w:fill="auto" w:val="clear"/>
            <w:vAlign w:val="center"/>
          </w:tcPr>
          <w:p>
            <w:pPr>
              <w:pStyle w:val="TableContents"/>
              <w:spacing w:before="0" w:after="0"/>
              <w:ind w:left="0" w:right="0" w:hanging="0"/>
              <w:jc w:val="both"/>
              <w:rPr/>
            </w:pPr>
            <w:r>
              <w:rPr/>
              <w:t> </w:t>
            </w:r>
          </w:p>
        </w:tc>
      </w:tr>
      <w:tr>
        <w:trPr/>
        <w:tc>
          <w:tcPr>
            <w:tcW w:w="292" w:type="dxa"/>
            <w:tcBorders/>
            <w:shd w:fill="auto" w:val="clear"/>
            <w:vAlign w:val="center"/>
          </w:tcPr>
          <w:p>
            <w:pPr>
              <w:pStyle w:val="TableContents"/>
              <w:spacing w:before="0" w:after="0"/>
              <w:ind w:left="0" w:right="0" w:hanging="0"/>
              <w:jc w:val="both"/>
              <w:rPr/>
            </w:pPr>
            <w:r>
              <w:rPr/>
              <w:t xml:space="preserve">•   </w:t>
            </w:r>
          </w:p>
        </w:tc>
        <w:tc>
          <w:tcPr>
            <w:tcW w:w="9913"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Investments in fixed-maturity securities are valued at NAIC value for statutory financial purposes, which is primarily amortized cost. GAAP requires certain investments in fixed-maturity securities classified as available-for-sale, to be reported at fair value. </w:t>
            </w:r>
          </w:p>
        </w:tc>
      </w:tr>
      <w:tr>
        <w:trPr/>
        <w:tc>
          <w:tcPr>
            <w:tcW w:w="292" w:type="dxa"/>
            <w:tcBorders/>
            <w:shd w:fill="auto" w:val="clear"/>
            <w:vAlign w:val="center"/>
          </w:tcPr>
          <w:p>
            <w:pPr>
              <w:pStyle w:val="TableContents"/>
              <w:spacing w:before="0" w:after="0"/>
              <w:ind w:left="0" w:right="0" w:hanging="0"/>
              <w:jc w:val="both"/>
              <w:rPr/>
            </w:pPr>
            <w:r>
              <w:rPr/>
              <w:t> </w:t>
            </w:r>
          </w:p>
        </w:tc>
        <w:tc>
          <w:tcPr>
            <w:tcW w:w="9913" w:type="dxa"/>
            <w:tcBorders/>
            <w:shd w:fill="auto" w:val="clear"/>
            <w:vAlign w:val="center"/>
          </w:tcPr>
          <w:p>
            <w:pPr>
              <w:pStyle w:val="TableContents"/>
              <w:spacing w:before="0" w:after="0"/>
              <w:ind w:left="0" w:right="0" w:hanging="0"/>
              <w:jc w:val="both"/>
              <w:rPr/>
            </w:pPr>
            <w:r>
              <w:rPr/>
              <w:t> </w:t>
            </w:r>
          </w:p>
        </w:tc>
      </w:tr>
      <w:tr>
        <w:trPr/>
        <w:tc>
          <w:tcPr>
            <w:tcW w:w="292" w:type="dxa"/>
            <w:tcBorders/>
            <w:shd w:fill="auto" w:val="clear"/>
            <w:vAlign w:val="center"/>
          </w:tcPr>
          <w:p>
            <w:pPr>
              <w:pStyle w:val="TableContents"/>
              <w:spacing w:before="0" w:after="0"/>
              <w:ind w:left="0" w:right="0" w:hanging="0"/>
              <w:jc w:val="both"/>
              <w:rPr/>
            </w:pPr>
            <w:r>
              <w:rPr/>
              <w:t xml:space="preserve">•   </w:t>
            </w:r>
          </w:p>
        </w:tc>
        <w:tc>
          <w:tcPr>
            <w:tcW w:w="9913"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Certain amounts related to ceded reinsurance are reported on a net basis within the statutory basis financial statements. GAAP requires these amounts to be shown gross.</w:t>
            </w:r>
          </w:p>
          <w:p>
            <w:pPr>
              <w:pStyle w:val="TableContents"/>
              <w:spacing w:before="0" w:after="0"/>
              <w:ind w:left="0" w:right="0" w:hanging="0"/>
              <w:jc w:val="both"/>
              <w:rPr/>
            </w:pPr>
            <w:r>
              <w:rPr/>
              <w:t> </w:t>
            </w:r>
          </w:p>
        </w:tc>
      </w:tr>
      <w:tr>
        <w:trPr/>
        <w:tc>
          <w:tcPr>
            <w:tcW w:w="292" w:type="dxa"/>
            <w:tcBorders/>
            <w:shd w:fill="auto" w:val="clear"/>
            <w:vAlign w:val="center"/>
          </w:tcPr>
          <w:p>
            <w:pPr>
              <w:pStyle w:val="TableContents"/>
              <w:spacing w:before="0" w:after="0"/>
              <w:ind w:left="0" w:right="0" w:hanging="0"/>
              <w:jc w:val="both"/>
              <w:rPr/>
            </w:pPr>
            <w:r>
              <w:rPr/>
              <w:t>•</w:t>
            </w:r>
          </w:p>
        </w:tc>
        <w:tc>
          <w:tcPr>
            <w:tcW w:w="9913"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For SAP purposes, changes in deferred income taxes relating to temporary differences between net income for financial reporting purposes and taxable income are recognized as a separate component of gains and losses in surplus rather than included in income tax expense or benefit as required under GAAP. </w:t>
            </w:r>
          </w:p>
        </w:tc>
      </w:tr>
    </w:tbl>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F-45</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2022 AND 2021</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State insurance laws restrict the ability of KICO to declare dividends. These restrictions are related to surplus and net investment income. Dividends are restricted to the lesser of 10% of surplus or 100% of investment income (on a statutory accounting basis) for the trailing 36 months, net of dividends paid by KICO during such period. State insurance regulators require insurance companies to maintain specified levels of statutory capital and surplus. Generally, dividends may be paid without the need for DFS approval from unassigned surplus, and the amount of an insurer’s unassigned surplus following payment of any dividends must be reasonable in relation to the insurer’s outstanding liabilities and adequate to meet its financial needs.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At December 31, 2022 and 2021, unassigned (deficit) surplus was $(5,069,593) and $11,553,779, respectively. Without DFS approval, dividends may not be paid until unassigned surplus is generated. For the years ended December 31, 2022 and 2021, KICO paid dividends to Kingstone of $5,250,000 and $3,500,000, respectively. For the years ended December 31, 2022 and 2021, KICO recorded statutory basis net (loss) income of $(14,498,676) and $1,259,672, respectively. At December 31, 2022 and 2021, KICO reported statutory basis surplus as regards policyholders of $67,976,439 and $84,599,711, respectively, as filed with the DFS. </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Note 14 - Risk Based Capital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State insurance departments impose risk-based capital (“RBC”) requirements on insurance enterprises. The RBC Model serves as a benchmark for the regulation of insurance companies by state insurance regulators.  RBC provides for targeted surplus levels based on formulas, which specify various weighting factors that are applied to financial balances or various levels of activity based on the perceived degree of risk, and are set forth in the RBC requirements. Such formulas focus on four general types of risk: (a) the risk with respect to the company’s assets (asset or default risk); (b) the risk of default on amounts due from reinsurers, policyholders, or other creditors (credit risk); (c) the risk of underestimating liabilities from business already written or inadequately pricing business to be written in the coming year (underwriting risk); and (d) the risk associated with items such as excessive premium growth, contingent liabilities, and other items not reflected on the balance sheet (off-balance sheet risk). The amount determined under such formulas is called the authorized control level RBC (“ACL”).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RBC guidelines define specific capital levels based on a company’s ACL that are determined by the ratio of the company’s total adjusted capital (“TAC”) to its ACL. TAC is equal to statutory capital, plus or minus certain other specified adjustments. The Company’s TAC was above the ACL for each of the last two years and is in compliance with RBC requirements as of December 31, 2022 and 2021.</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Note 15 – Income Taxes</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Company files a consolidated U.S. federal income tax return that includes all wholly owned subsidiaries. State tax returns are filed on a consolidated or separate return basis depending on applicable laws. The Company records adjustments related to prior years’ taxes during the period when they are identified, generally when the tax returns are filed.  The effect of these adjustments on the current and prior periods (during which the differences originated) is evaluated based upon quantitative and qualitative factors and are considered in relation to the consolidated financial statements taken as a whole for the respective periods.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F-46</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2022 AND 2021</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provision for income taxes is comprised of the following:</w:t>
      </w:r>
    </w:p>
    <w:p>
      <w:pPr>
        <w:pStyle w:val="TextBody"/>
        <w:spacing w:before="0" w:after="0"/>
        <w:ind w:left="0" w:right="0" w:hanging="0"/>
        <w:jc w:val="both"/>
        <w:rPr/>
      </w:pPr>
      <w:r>
        <w:rPr/>
        <w:t> </w:t>
      </w:r>
    </w:p>
    <w:tbl>
      <w:tblPr>
        <w:tblW w:w="6410" w:type="dxa"/>
        <w:jc w:val="left"/>
        <w:tblInd w:w="0" w:type="dxa"/>
        <w:tblCellMar>
          <w:top w:w="0" w:type="dxa"/>
          <w:left w:w="0" w:type="dxa"/>
          <w:bottom w:w="28" w:type="dxa"/>
          <w:right w:w="0" w:type="dxa"/>
        </w:tblCellMar>
      </w:tblPr>
      <w:tblGrid>
        <w:gridCol w:w="3425"/>
        <w:gridCol w:w="90"/>
        <w:gridCol w:w="170"/>
        <w:gridCol w:w="1085"/>
        <w:gridCol w:w="125"/>
        <w:gridCol w:w="90"/>
        <w:gridCol w:w="170"/>
        <w:gridCol w:w="1085"/>
        <w:gridCol w:w="170"/>
      </w:tblGrid>
      <w:tr>
        <w:trPr/>
        <w:tc>
          <w:tcPr>
            <w:tcW w:w="3425" w:type="dxa"/>
            <w:tcBorders>
              <w:bottom w:val="single" w:sz="8" w:space="0" w:color="000000"/>
            </w:tcBorders>
            <w:shd w:fill="auto" w:val="clear"/>
            <w:vAlign w:val="center"/>
          </w:tcPr>
          <w:p>
            <w:pPr>
              <w:pStyle w:val="TableContents"/>
              <w:spacing w:before="0" w:after="0"/>
              <w:ind w:left="0" w:right="0" w:hanging="0"/>
              <w:jc w:val="left"/>
              <w:rPr/>
            </w:pPr>
            <w:r>
              <w:rPr>
                <w:rStyle w:val="Emphasis"/>
                <w:rFonts w:ascii="times new roman" w:hAnsi="times new roman"/>
                <w:sz w:val="20"/>
              </w:rPr>
              <w:t xml:space="preserve">Years ended ended December 31, </w:t>
            </w:r>
          </w:p>
        </w:tc>
        <w:tc>
          <w:tcPr>
            <w:tcW w:w="90" w:type="dxa"/>
            <w:tcBorders/>
            <w:shd w:fill="auto" w:val="clear"/>
            <w:tcMar>
              <w:bottom w:w="0" w:type="dxa"/>
            </w:tcMar>
            <w:vAlign w:val="center"/>
          </w:tcPr>
          <w:p>
            <w:pPr>
              <w:pStyle w:val="TableContents"/>
              <w:spacing w:before="0" w:after="0"/>
              <w:ind w:left="0" w:right="0" w:hanging="0"/>
              <w:rPr/>
            </w:pPr>
            <w:r>
              <w:rPr>
                <w:rStyle w:val="StrongEmphasis"/>
              </w:rPr>
              <w:t> </w:t>
            </w:r>
          </w:p>
        </w:tc>
        <w:tc>
          <w:tcPr>
            <w:tcW w:w="1255" w:type="dxa"/>
            <w:gridSpan w:val="2"/>
            <w:tcBorders>
              <w:bottom w:val="single" w:sz="8"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2022 </w:t>
            </w:r>
          </w:p>
        </w:tc>
        <w:tc>
          <w:tcPr>
            <w:tcW w:w="125" w:type="dxa"/>
            <w:tcBorders/>
            <w:shd w:fill="auto" w:val="clear"/>
            <w:tcMar>
              <w:bottom w:w="0" w:type="dxa"/>
            </w:tcMar>
            <w:vAlign w:val="center"/>
          </w:tcPr>
          <w:p>
            <w:pPr>
              <w:pStyle w:val="TableContents"/>
              <w:spacing w:before="0" w:after="0"/>
              <w:ind w:left="0" w:right="0" w:hanging="0"/>
              <w:rPr/>
            </w:pPr>
            <w:r>
              <w:rPr>
                <w:rStyle w:val="StrongEmphasis"/>
              </w:rPr>
              <w:t> </w:t>
            </w:r>
          </w:p>
        </w:tc>
        <w:tc>
          <w:tcPr>
            <w:tcW w:w="90" w:type="dxa"/>
            <w:tcBorders/>
            <w:shd w:fill="auto" w:val="clear"/>
            <w:tcMar>
              <w:bottom w:w="0" w:type="dxa"/>
            </w:tcMar>
            <w:vAlign w:val="center"/>
          </w:tcPr>
          <w:p>
            <w:pPr>
              <w:pStyle w:val="TableContents"/>
              <w:spacing w:before="0" w:after="0"/>
              <w:ind w:left="0" w:right="0" w:hanging="0"/>
              <w:rPr/>
            </w:pPr>
            <w:r>
              <w:rPr>
                <w:rStyle w:val="StrongEmphasis"/>
              </w:rPr>
              <w:t> </w:t>
            </w:r>
          </w:p>
        </w:tc>
        <w:tc>
          <w:tcPr>
            <w:tcW w:w="1255" w:type="dxa"/>
            <w:gridSpan w:val="2"/>
            <w:tcBorders>
              <w:bottom w:val="single" w:sz="8"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2021 </w:t>
            </w:r>
          </w:p>
        </w:tc>
        <w:tc>
          <w:tcPr>
            <w:tcW w:w="170" w:type="dxa"/>
            <w:tcBorders/>
            <w:shd w:fill="auto" w:val="clear"/>
            <w:tcMar>
              <w:bottom w:w="0" w:type="dxa"/>
            </w:tcMar>
            <w:vAlign w:val="center"/>
          </w:tcPr>
          <w:p>
            <w:pPr>
              <w:pStyle w:val="TableContents"/>
              <w:spacing w:before="0" w:after="0"/>
              <w:ind w:left="0" w:right="0" w:hanging="0"/>
              <w:rPr/>
            </w:pPr>
            <w:r>
              <w:rPr/>
              <w:t> </w:t>
            </w:r>
          </w:p>
        </w:tc>
      </w:tr>
      <w:tr>
        <w:trPr/>
        <w:tc>
          <w:tcPr>
            <w:tcW w:w="34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255" w:type="dxa"/>
            <w:gridSpan w:val="2"/>
            <w:tcBorders/>
            <w:shd w:fill="auto" w:val="clear"/>
            <w:tcMar>
              <w:bottom w:w="0" w:type="dxa"/>
            </w:tcMar>
            <w:vAlign w:val="center"/>
          </w:tcPr>
          <w:p>
            <w:pPr>
              <w:pStyle w:val="TableContents"/>
              <w:spacing w:before="0" w:after="0"/>
              <w:ind w:left="0" w:right="0" w:hanging="0"/>
              <w:rPr/>
            </w:pPr>
            <w:r>
              <w:rPr/>
              <w:t> </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255" w:type="dxa"/>
            <w:gridSpan w:val="2"/>
            <w:tcBorders/>
            <w:shd w:fill="auto" w:val="clear"/>
            <w:tcMar>
              <w:bottom w:w="0" w:type="dxa"/>
            </w:tcMar>
            <w:vAlign w:val="center"/>
          </w:tcPr>
          <w:p>
            <w:pPr>
              <w:pStyle w:val="TableContents"/>
              <w:spacing w:before="0" w:after="0"/>
              <w:ind w:left="0" w:right="0" w:hanging="0"/>
              <w:rPr/>
            </w:pPr>
            <w:r>
              <w:rPr/>
              <w:t> </w:t>
            </w:r>
          </w:p>
        </w:tc>
        <w:tc>
          <w:tcPr>
            <w:tcW w:w="170" w:type="dxa"/>
            <w:tcBorders/>
            <w:shd w:fill="auto" w:val="clear"/>
            <w:tcMar>
              <w:bottom w:w="0" w:type="dxa"/>
            </w:tcMar>
            <w:vAlign w:val="center"/>
          </w:tcPr>
          <w:p>
            <w:pPr>
              <w:pStyle w:val="TableContents"/>
              <w:spacing w:before="0" w:after="0"/>
              <w:ind w:left="0" w:right="0" w:hanging="0"/>
              <w:rPr/>
            </w:pPr>
            <w:r>
              <w:rPr/>
              <w:t> </w:t>
            </w:r>
          </w:p>
        </w:tc>
      </w:tr>
      <w:tr>
        <w:trPr/>
        <w:tc>
          <w:tcPr>
            <w:tcW w:w="3425" w:type="dxa"/>
            <w:tcBorders/>
            <w:shd w:fill="CCEEFF" w:val="clear"/>
            <w:tcMar>
              <w:bottom w:w="0" w:type="dxa"/>
            </w:tcM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Current federal income tax expense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283"/>
              <w:rPr/>
            </w:pPr>
            <w:r>
              <w:rPr/>
              <w:t>$</w:t>
            </w:r>
          </w:p>
        </w:tc>
        <w:tc>
          <w:tcPr>
            <w:tcW w:w="1085" w:type="dxa"/>
            <w:tcBorders/>
            <w:shd w:fill="CCEEFF" w:val="clear"/>
            <w:tcMar>
              <w:bottom w:w="0" w:type="dxa"/>
            </w:tcMar>
            <w:vAlign w:val="center"/>
          </w:tcPr>
          <w:p>
            <w:pPr>
              <w:pStyle w:val="TableContents"/>
              <w:spacing w:before="0" w:after="283"/>
              <w:jc w:val="right"/>
              <w:rPr/>
            </w:pPr>
            <w:r>
              <w:rPr/>
              <w:t>-</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283"/>
              <w:rPr/>
            </w:pPr>
            <w:r>
              <w:rPr/>
              <w:t>$</w:t>
            </w:r>
          </w:p>
        </w:tc>
        <w:tc>
          <w:tcPr>
            <w:tcW w:w="1085" w:type="dxa"/>
            <w:tcBorders/>
            <w:shd w:fill="CCEEFF" w:val="clear"/>
            <w:tcMar>
              <w:bottom w:w="0" w:type="dxa"/>
            </w:tcMar>
            <w:vAlign w:val="center"/>
          </w:tcPr>
          <w:p>
            <w:pPr>
              <w:pStyle w:val="TableContents"/>
              <w:spacing w:before="0" w:after="283"/>
              <w:jc w:val="right"/>
              <w:rPr/>
            </w:pPr>
            <w:r>
              <w:rPr/>
              <w:t>167,622</w:t>
            </w:r>
          </w:p>
        </w:tc>
        <w:tc>
          <w:tcPr>
            <w:tcW w:w="170" w:type="dxa"/>
            <w:tcBorders/>
            <w:shd w:fill="CCEEFF" w:val="clear"/>
            <w:tcMar>
              <w:bottom w:w="0" w:type="dxa"/>
            </w:tcMar>
            <w:vAlign w:val="center"/>
          </w:tcPr>
          <w:p>
            <w:pPr>
              <w:pStyle w:val="TableContents"/>
              <w:spacing w:before="0" w:after="0"/>
              <w:ind w:left="0" w:right="0" w:hanging="0"/>
              <w:rPr/>
            </w:pPr>
            <w:r>
              <w:rPr/>
              <w:t> </w:t>
            </w:r>
          </w:p>
        </w:tc>
      </w:tr>
      <w:tr>
        <w:trPr/>
        <w:tc>
          <w:tcPr>
            <w:tcW w:w="3425" w:type="dxa"/>
            <w:tcBorders/>
            <w:shd w:fill="FFFFFF" w:val="clear"/>
            <w:tcMar>
              <w:bottom w:w="0" w:type="dxa"/>
            </w:tcM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Current state income tax expense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1085" w:type="dxa"/>
            <w:tcBorders/>
            <w:shd w:fill="FFFFFF" w:val="clear"/>
            <w:tcMar>
              <w:bottom w:w="0" w:type="dxa"/>
            </w:tcMar>
            <w:vAlign w:val="center"/>
          </w:tcPr>
          <w:p>
            <w:pPr>
              <w:pStyle w:val="TableContents"/>
              <w:spacing w:before="0" w:after="283"/>
              <w:jc w:val="right"/>
              <w:rPr/>
            </w:pPr>
            <w:r>
              <w:rPr/>
              <w:t>1,630</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1085" w:type="dxa"/>
            <w:tcBorders/>
            <w:shd w:fill="FFFFFF" w:val="clear"/>
            <w:tcMar>
              <w:bottom w:w="0" w:type="dxa"/>
            </w:tcMar>
            <w:vAlign w:val="center"/>
          </w:tcPr>
          <w:p>
            <w:pPr>
              <w:pStyle w:val="TableContents"/>
              <w:spacing w:before="0" w:after="283"/>
              <w:jc w:val="right"/>
              <w:rPr/>
            </w:pPr>
            <w:r>
              <w:rPr/>
              <w:t>1,675</w:t>
            </w:r>
          </w:p>
        </w:tc>
        <w:tc>
          <w:tcPr>
            <w:tcW w:w="170" w:type="dxa"/>
            <w:tcBorders/>
            <w:shd w:fill="FFFFFF" w:val="clear"/>
            <w:tcMar>
              <w:bottom w:w="0" w:type="dxa"/>
            </w:tcMar>
            <w:vAlign w:val="center"/>
          </w:tcPr>
          <w:p>
            <w:pPr>
              <w:pStyle w:val="TableContents"/>
              <w:spacing w:before="0" w:after="0"/>
              <w:ind w:left="0" w:right="0" w:hanging="0"/>
              <w:rPr/>
            </w:pPr>
            <w:r>
              <w:rPr/>
              <w:t> </w:t>
            </w:r>
          </w:p>
        </w:tc>
      </w:tr>
      <w:tr>
        <w:trPr/>
        <w:tc>
          <w:tcPr>
            <w:tcW w:w="3425" w:type="dxa"/>
            <w:tcBorders/>
            <w:shd w:fill="CCEEFF" w:val="clear"/>
            <w:tcMar>
              <w:bottom w:w="0" w:type="dxa"/>
            </w:tcM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Deferred federal and state income benefit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bottom w:val="single" w:sz="2" w:space="0" w:color="000000"/>
            </w:tcBorders>
            <w:shd w:fill="CCEEFF" w:val="clear"/>
            <w:vAlign w:val="center"/>
          </w:tcPr>
          <w:p>
            <w:pPr>
              <w:pStyle w:val="TableContents"/>
              <w:spacing w:before="0" w:after="0"/>
              <w:ind w:left="0" w:right="0" w:hanging="0"/>
              <w:rPr/>
            </w:pPr>
            <w:r>
              <w:rPr/>
              <w:t> </w:t>
            </w:r>
          </w:p>
        </w:tc>
        <w:tc>
          <w:tcPr>
            <w:tcW w:w="1085" w:type="dxa"/>
            <w:tcBorders>
              <w:bottom w:val="single" w:sz="2" w:space="0" w:color="000000"/>
            </w:tcBorders>
            <w:shd w:fill="CCEEFF" w:val="clear"/>
            <w:vAlign w:val="center"/>
          </w:tcPr>
          <w:p>
            <w:pPr>
              <w:pStyle w:val="TableContents"/>
              <w:spacing w:before="0" w:after="283"/>
              <w:jc w:val="right"/>
              <w:rPr/>
            </w:pPr>
            <w:r>
              <w:rPr/>
              <w:t>(5,419,176</w:t>
            </w:r>
          </w:p>
        </w:tc>
        <w:tc>
          <w:tcPr>
            <w:tcW w:w="125" w:type="dxa"/>
            <w:tcBorders/>
            <w:shd w:fill="CCEEFF" w:val="clear"/>
            <w:tcMar>
              <w:bottom w:w="0" w:type="dxa"/>
            </w:tcMar>
            <w:vAlign w:val="center"/>
          </w:tcPr>
          <w:p>
            <w:pPr>
              <w:pStyle w:val="TableContents"/>
              <w:spacing w:before="0" w:after="283"/>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bottom w:val="single" w:sz="2" w:space="0" w:color="000000"/>
            </w:tcBorders>
            <w:shd w:fill="CCEEFF" w:val="clear"/>
            <w:vAlign w:val="center"/>
          </w:tcPr>
          <w:p>
            <w:pPr>
              <w:pStyle w:val="TableContents"/>
              <w:spacing w:before="0" w:after="0"/>
              <w:ind w:left="0" w:right="0" w:hanging="0"/>
              <w:rPr/>
            </w:pPr>
            <w:r>
              <w:rPr/>
              <w:t> </w:t>
            </w:r>
          </w:p>
        </w:tc>
        <w:tc>
          <w:tcPr>
            <w:tcW w:w="1085" w:type="dxa"/>
            <w:tcBorders>
              <w:bottom w:val="single" w:sz="2" w:space="0" w:color="000000"/>
            </w:tcBorders>
            <w:shd w:fill="CCEEFF" w:val="clear"/>
            <w:vAlign w:val="center"/>
          </w:tcPr>
          <w:p>
            <w:pPr>
              <w:pStyle w:val="TableContents"/>
              <w:spacing w:before="0" w:after="283"/>
              <w:jc w:val="right"/>
              <w:rPr/>
            </w:pPr>
            <w:r>
              <w:rPr/>
              <w:t>(2,200,433</w:t>
            </w:r>
          </w:p>
        </w:tc>
        <w:tc>
          <w:tcPr>
            <w:tcW w:w="170" w:type="dxa"/>
            <w:tcBorders/>
            <w:shd w:fill="CCEEFF" w:val="clear"/>
            <w:tcMar>
              <w:bottom w:w="0" w:type="dxa"/>
            </w:tcMar>
            <w:vAlign w:val="center"/>
          </w:tcPr>
          <w:p>
            <w:pPr>
              <w:pStyle w:val="TableContents"/>
              <w:spacing w:before="0" w:after="283"/>
              <w:rPr/>
            </w:pPr>
            <w:r>
              <w:rPr/>
              <w:t>)</w:t>
            </w:r>
          </w:p>
        </w:tc>
      </w:tr>
      <w:tr>
        <w:trPr/>
        <w:tc>
          <w:tcPr>
            <w:tcW w:w="3425" w:type="dxa"/>
            <w:tcBorders/>
            <w:shd w:fill="FFFFFF" w:val="clear"/>
            <w:tcMar>
              <w:bottom w:w="0" w:type="dxa"/>
            </w:tcM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Income tax benefit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bottom w:val="double" w:sz="5" w:space="0" w:color="000000"/>
            </w:tcBorders>
            <w:shd w:fill="FFFFFF" w:val="clear"/>
            <w:vAlign w:val="center"/>
          </w:tcPr>
          <w:p>
            <w:pPr>
              <w:pStyle w:val="TableContents"/>
              <w:spacing w:before="0" w:after="283"/>
              <w:rPr/>
            </w:pPr>
            <w:r>
              <w:rPr/>
              <w:t>$</w:t>
            </w:r>
          </w:p>
        </w:tc>
        <w:tc>
          <w:tcPr>
            <w:tcW w:w="1085" w:type="dxa"/>
            <w:tcBorders>
              <w:bottom w:val="double" w:sz="5" w:space="0" w:color="000000"/>
            </w:tcBorders>
            <w:shd w:fill="FFFFFF" w:val="clear"/>
            <w:vAlign w:val="center"/>
          </w:tcPr>
          <w:p>
            <w:pPr>
              <w:pStyle w:val="TableContents"/>
              <w:spacing w:before="0" w:after="283"/>
              <w:jc w:val="right"/>
              <w:rPr/>
            </w:pPr>
            <w:r>
              <w:rPr/>
              <w:t>(5,417,546</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bottom w:val="double" w:sz="5" w:space="0" w:color="000000"/>
            </w:tcBorders>
            <w:shd w:fill="FFFFFF" w:val="clear"/>
            <w:vAlign w:val="center"/>
          </w:tcPr>
          <w:p>
            <w:pPr>
              <w:pStyle w:val="TableContents"/>
              <w:spacing w:before="0" w:after="283"/>
              <w:rPr/>
            </w:pPr>
            <w:r>
              <w:rPr/>
              <w:t>$</w:t>
            </w:r>
          </w:p>
        </w:tc>
        <w:tc>
          <w:tcPr>
            <w:tcW w:w="1085" w:type="dxa"/>
            <w:tcBorders>
              <w:bottom w:val="double" w:sz="5" w:space="0" w:color="000000"/>
            </w:tcBorders>
            <w:shd w:fill="FFFFFF" w:val="clear"/>
            <w:vAlign w:val="center"/>
          </w:tcPr>
          <w:p>
            <w:pPr>
              <w:pStyle w:val="TableContents"/>
              <w:spacing w:before="0" w:after="283"/>
              <w:jc w:val="right"/>
              <w:rPr/>
            </w:pPr>
            <w:r>
              <w:rPr/>
              <w:t>(2,031,136</w:t>
            </w:r>
          </w:p>
        </w:tc>
        <w:tc>
          <w:tcPr>
            <w:tcW w:w="170" w:type="dxa"/>
            <w:tcBorders/>
            <w:shd w:fill="FFFFFF" w:val="clear"/>
            <w:tcMar>
              <w:bottom w:w="0" w:type="dxa"/>
            </w:tcMar>
            <w:vAlign w:val="center"/>
          </w:tcPr>
          <w:p>
            <w:pPr>
              <w:pStyle w:val="TableContents"/>
              <w:spacing w:before="0" w:after="283"/>
              <w:rPr/>
            </w:pPr>
            <w:r>
              <w:rPr/>
              <w:t>)</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 reconciliation of the federal statutory rate to the Company’s effective tax rate is as follows:</w:t>
      </w:r>
    </w:p>
    <w:p>
      <w:pPr>
        <w:pStyle w:val="TextBody"/>
        <w:spacing w:before="0" w:after="0"/>
        <w:ind w:left="0" w:right="0" w:hanging="0"/>
        <w:jc w:val="both"/>
        <w:rPr/>
      </w:pPr>
      <w:r>
        <w:rPr/>
        <w:t> </w:t>
      </w:r>
    </w:p>
    <w:tbl>
      <w:tblPr>
        <w:tblW w:w="10205" w:type="dxa"/>
        <w:jc w:val="left"/>
        <w:tblInd w:w="0" w:type="dxa"/>
        <w:tblCellMar>
          <w:top w:w="0" w:type="dxa"/>
          <w:left w:w="0" w:type="dxa"/>
          <w:bottom w:w="28" w:type="dxa"/>
          <w:right w:w="0" w:type="dxa"/>
        </w:tblCellMar>
      </w:tblPr>
      <w:tblGrid>
        <w:gridCol w:w="5430"/>
        <w:gridCol w:w="90"/>
        <w:gridCol w:w="170"/>
        <w:gridCol w:w="1085"/>
        <w:gridCol w:w="125"/>
        <w:gridCol w:w="90"/>
        <w:gridCol w:w="90"/>
        <w:gridCol w:w="470"/>
        <w:gridCol w:w="245"/>
        <w:gridCol w:w="90"/>
        <w:gridCol w:w="170"/>
        <w:gridCol w:w="1085"/>
        <w:gridCol w:w="125"/>
        <w:gridCol w:w="90"/>
        <w:gridCol w:w="90"/>
        <w:gridCol w:w="470"/>
        <w:gridCol w:w="290"/>
      </w:tblGrid>
      <w:tr>
        <w:trPr/>
        <w:tc>
          <w:tcPr>
            <w:tcW w:w="5430" w:type="dxa"/>
            <w:tcBorders>
              <w:bottom w:val="single" w:sz="2" w:space="0" w:color="000000"/>
            </w:tcBorders>
            <w:shd w:fill="auto" w:val="clear"/>
            <w:vAlign w:val="center"/>
          </w:tcPr>
          <w:p>
            <w:pPr>
              <w:pStyle w:val="TableContents"/>
              <w:spacing w:before="0" w:after="0"/>
              <w:ind w:left="0" w:right="0" w:hanging="0"/>
              <w:jc w:val="left"/>
              <w:rPr/>
            </w:pPr>
            <w:r>
              <w:rPr>
                <w:rStyle w:val="Emphasis"/>
                <w:rFonts w:ascii="times new roman" w:hAnsi="times new roman"/>
                <w:sz w:val="20"/>
              </w:rPr>
              <w:t>Years ended December 31</w:t>
            </w:r>
            <w:r>
              <w:rPr>
                <w:rFonts w:ascii="times new roman" w:hAnsi="times new roman"/>
                <w:sz w:val="20"/>
              </w:rPr>
              <w:t xml:space="preserve">,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2030" w:type="dxa"/>
            <w:gridSpan w:val="6"/>
            <w:tcBorders>
              <w:bottom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2022 </w:t>
            </w:r>
          </w:p>
        </w:tc>
        <w:tc>
          <w:tcPr>
            <w:tcW w:w="245" w:type="dxa"/>
            <w:tcBorders/>
            <w:shd w:fill="auto" w:val="clear"/>
            <w:tcMar>
              <w:bottom w:w="0" w:type="dxa"/>
            </w:tcMar>
            <w:vAlign w:val="center"/>
          </w:tcPr>
          <w:p>
            <w:pPr>
              <w:pStyle w:val="TableContents"/>
              <w:spacing w:before="0" w:after="0"/>
              <w:ind w:left="0" w:right="0" w:hanging="0"/>
              <w:rPr/>
            </w:pPr>
            <w:r>
              <w:rPr>
                <w:rStyle w:val="StrongEmphasis"/>
              </w:rPr>
              <w:t> </w:t>
            </w:r>
          </w:p>
        </w:tc>
        <w:tc>
          <w:tcPr>
            <w:tcW w:w="90" w:type="dxa"/>
            <w:tcBorders/>
            <w:shd w:fill="auto" w:val="clear"/>
            <w:tcMar>
              <w:bottom w:w="0" w:type="dxa"/>
            </w:tcMar>
            <w:vAlign w:val="center"/>
          </w:tcPr>
          <w:p>
            <w:pPr>
              <w:pStyle w:val="TableContents"/>
              <w:spacing w:before="0" w:after="0"/>
              <w:ind w:left="0" w:right="0" w:hanging="0"/>
              <w:rPr/>
            </w:pPr>
            <w:r>
              <w:rPr>
                <w:rStyle w:val="StrongEmphasis"/>
              </w:rPr>
              <w:t> </w:t>
            </w:r>
          </w:p>
        </w:tc>
        <w:tc>
          <w:tcPr>
            <w:tcW w:w="2030" w:type="dxa"/>
            <w:gridSpan w:val="6"/>
            <w:tcBorders>
              <w:bottom w:val="single" w:sz="2" w:space="0" w:color="000000"/>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2021 </w:t>
            </w:r>
          </w:p>
        </w:tc>
        <w:tc>
          <w:tcPr>
            <w:tcW w:w="290" w:type="dxa"/>
            <w:tcBorders/>
            <w:shd w:fill="auto" w:val="clear"/>
            <w:tcMar>
              <w:bottom w:w="0" w:type="dxa"/>
            </w:tcMar>
            <w:vAlign w:val="center"/>
          </w:tcPr>
          <w:p>
            <w:pPr>
              <w:pStyle w:val="TableContents"/>
              <w:spacing w:before="0" w:after="0"/>
              <w:ind w:left="0" w:right="0" w:hanging="0"/>
              <w:rPr/>
            </w:pPr>
            <w:r>
              <w:rPr/>
              <w:t> </w:t>
            </w:r>
          </w:p>
        </w:tc>
      </w:tr>
      <w:tr>
        <w:trPr/>
        <w:tc>
          <w:tcPr>
            <w:tcW w:w="5430"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255" w:type="dxa"/>
            <w:gridSpan w:val="2"/>
            <w:tcBorders/>
            <w:shd w:fill="auto" w:val="clear"/>
            <w:tcMar>
              <w:bottom w:w="0" w:type="dxa"/>
            </w:tcMar>
            <w:vAlign w:val="center"/>
          </w:tcPr>
          <w:p>
            <w:pPr>
              <w:pStyle w:val="TableContents"/>
              <w:spacing w:before="0" w:after="0"/>
              <w:ind w:left="0" w:right="0" w:hanging="0"/>
              <w:rPr/>
            </w:pPr>
            <w:r>
              <w:rPr/>
              <w:t> </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560" w:type="dxa"/>
            <w:gridSpan w:val="2"/>
            <w:tcBorders/>
            <w:shd w:fill="auto" w:val="clear"/>
            <w:tcMar>
              <w:bottom w:w="0" w:type="dxa"/>
            </w:tcMar>
            <w:vAlign w:val="center"/>
          </w:tcPr>
          <w:p>
            <w:pPr>
              <w:pStyle w:val="TableContents"/>
              <w:spacing w:before="0" w:after="0"/>
              <w:ind w:left="0" w:right="0" w:hanging="0"/>
              <w:rPr/>
            </w:pPr>
            <w:r>
              <w:rPr/>
              <w:t> </w:t>
            </w:r>
          </w:p>
        </w:tc>
        <w:tc>
          <w:tcPr>
            <w:tcW w:w="24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1255" w:type="dxa"/>
            <w:gridSpan w:val="2"/>
            <w:tcBorders/>
            <w:shd w:fill="auto" w:val="clear"/>
            <w:tcMar>
              <w:bottom w:w="0" w:type="dxa"/>
            </w:tcMar>
            <w:vAlign w:val="center"/>
          </w:tcPr>
          <w:p>
            <w:pPr>
              <w:pStyle w:val="TableContents"/>
              <w:spacing w:before="0" w:after="0"/>
              <w:ind w:left="0" w:right="0" w:hanging="0"/>
              <w:rPr/>
            </w:pPr>
            <w:r>
              <w:rPr/>
              <w:t> </w:t>
            </w:r>
          </w:p>
        </w:tc>
        <w:tc>
          <w:tcPr>
            <w:tcW w:w="125" w:type="dxa"/>
            <w:tcBorders/>
            <w:shd w:fill="auto" w:val="clear"/>
            <w:tcMar>
              <w:bottom w:w="0" w:type="dxa"/>
            </w:tcMar>
            <w:vAlign w:val="center"/>
          </w:tcPr>
          <w:p>
            <w:pPr>
              <w:pStyle w:val="TableContents"/>
              <w:spacing w:before="0" w:after="0"/>
              <w:ind w:left="0" w:right="0" w:hanging="0"/>
              <w:rPr/>
            </w:pPr>
            <w:r>
              <w:rPr/>
              <w:t> </w:t>
            </w:r>
          </w:p>
        </w:tc>
        <w:tc>
          <w:tcPr>
            <w:tcW w:w="90" w:type="dxa"/>
            <w:tcBorders/>
            <w:shd w:fill="auto" w:val="clear"/>
            <w:tcMar>
              <w:bottom w:w="0" w:type="dxa"/>
            </w:tcMar>
            <w:vAlign w:val="center"/>
          </w:tcPr>
          <w:p>
            <w:pPr>
              <w:pStyle w:val="TableContents"/>
              <w:spacing w:before="0" w:after="0"/>
              <w:ind w:left="0" w:right="0" w:hanging="0"/>
              <w:rPr/>
            </w:pPr>
            <w:r>
              <w:rPr/>
              <w:t> </w:t>
            </w:r>
          </w:p>
        </w:tc>
        <w:tc>
          <w:tcPr>
            <w:tcW w:w="560" w:type="dxa"/>
            <w:gridSpan w:val="2"/>
            <w:tcBorders/>
            <w:shd w:fill="auto" w:val="clear"/>
            <w:tcMar>
              <w:bottom w:w="0" w:type="dxa"/>
            </w:tcMar>
            <w:vAlign w:val="center"/>
          </w:tcPr>
          <w:p>
            <w:pPr>
              <w:pStyle w:val="TableContents"/>
              <w:spacing w:before="0" w:after="0"/>
              <w:ind w:left="0" w:right="0" w:hanging="0"/>
              <w:rPr/>
            </w:pPr>
            <w:r>
              <w:rPr/>
              <w:t> </w:t>
            </w:r>
          </w:p>
        </w:tc>
        <w:tc>
          <w:tcPr>
            <w:tcW w:w="290" w:type="dxa"/>
            <w:tcBorders/>
            <w:shd w:fill="auto" w:val="clear"/>
            <w:tcMar>
              <w:bottom w:w="0" w:type="dxa"/>
            </w:tcMar>
            <w:vAlign w:val="center"/>
          </w:tcPr>
          <w:p>
            <w:pPr>
              <w:pStyle w:val="TableContents"/>
              <w:spacing w:before="0" w:after="0"/>
              <w:ind w:left="0" w:right="0" w:hanging="0"/>
              <w:rPr/>
            </w:pPr>
            <w:r>
              <w:rPr/>
              <w:t> </w:t>
            </w:r>
          </w:p>
        </w:tc>
      </w:tr>
      <w:tr>
        <w:trPr/>
        <w:tc>
          <w:tcPr>
            <w:tcW w:w="5430" w:type="dxa"/>
            <w:tcBorders/>
            <w:shd w:fill="CCEEFF" w:val="clear"/>
            <w:tcMar>
              <w:bottom w:w="0" w:type="dxa"/>
            </w:tcMar>
            <w:vAlign w:val="center"/>
          </w:tcPr>
          <w:p>
            <w:pPr>
              <w:pStyle w:val="TableContents"/>
              <w:spacing w:before="0" w:after="283"/>
              <w:rPr/>
            </w:pPr>
            <w:r>
              <w:rPr/>
              <w:t xml:space="preserve">Computed expected tax benefit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283"/>
              <w:rPr/>
            </w:pPr>
            <w:r>
              <w:rPr/>
              <w:t>$</w:t>
            </w:r>
          </w:p>
        </w:tc>
        <w:tc>
          <w:tcPr>
            <w:tcW w:w="1085" w:type="dxa"/>
            <w:tcBorders/>
            <w:shd w:fill="CCEEFF" w:val="clear"/>
            <w:tcMar>
              <w:bottom w:w="0" w:type="dxa"/>
            </w:tcMar>
            <w:vAlign w:val="center"/>
          </w:tcPr>
          <w:p>
            <w:pPr>
              <w:pStyle w:val="TableContents"/>
              <w:spacing w:before="0" w:after="283"/>
              <w:jc w:val="right"/>
              <w:rPr/>
            </w:pPr>
            <w:r>
              <w:rPr/>
              <w:t>(5,867,891</w:t>
            </w:r>
          </w:p>
        </w:tc>
        <w:tc>
          <w:tcPr>
            <w:tcW w:w="125" w:type="dxa"/>
            <w:tcBorders/>
            <w:shd w:fill="CCEEFF" w:val="clear"/>
            <w:tcMar>
              <w:bottom w:w="0" w:type="dxa"/>
            </w:tcMar>
            <w:vAlign w:val="center"/>
          </w:tcPr>
          <w:p>
            <w:pPr>
              <w:pStyle w:val="TableContents"/>
              <w:spacing w:before="0" w:after="283"/>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470" w:type="dxa"/>
            <w:tcBorders/>
            <w:shd w:fill="CCEEFF" w:val="clear"/>
            <w:tcMar>
              <w:bottom w:w="0" w:type="dxa"/>
            </w:tcMar>
            <w:vAlign w:val="center"/>
          </w:tcPr>
          <w:p>
            <w:pPr>
              <w:pStyle w:val="TableContents"/>
              <w:spacing w:before="0" w:after="283"/>
              <w:jc w:val="right"/>
              <w:rPr/>
            </w:pPr>
            <w:r>
              <w:rPr/>
              <w:t>21.0</w:t>
            </w:r>
          </w:p>
        </w:tc>
        <w:tc>
          <w:tcPr>
            <w:tcW w:w="245" w:type="dxa"/>
            <w:tcBorders/>
            <w:shd w:fill="CCEEFF" w:val="clear"/>
            <w:tcMar>
              <w:bottom w:w="0" w:type="dxa"/>
            </w:tcMar>
            <w:vAlign w:val="center"/>
          </w:tcPr>
          <w:p>
            <w:pPr>
              <w:pStyle w:val="TableContents"/>
              <w:spacing w:before="0" w:after="283"/>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283"/>
              <w:rPr/>
            </w:pPr>
            <w:r>
              <w:rPr/>
              <w:t>$</w:t>
            </w:r>
          </w:p>
        </w:tc>
        <w:tc>
          <w:tcPr>
            <w:tcW w:w="1085" w:type="dxa"/>
            <w:tcBorders/>
            <w:shd w:fill="CCEEFF" w:val="clear"/>
            <w:tcMar>
              <w:bottom w:w="0" w:type="dxa"/>
            </w:tcMar>
            <w:vAlign w:val="center"/>
          </w:tcPr>
          <w:p>
            <w:pPr>
              <w:pStyle w:val="TableContents"/>
              <w:spacing w:before="0" w:after="283"/>
              <w:jc w:val="right"/>
              <w:rPr/>
            </w:pPr>
            <w:r>
              <w:rPr/>
              <w:t>(1,975,982</w:t>
            </w:r>
          </w:p>
        </w:tc>
        <w:tc>
          <w:tcPr>
            <w:tcW w:w="125" w:type="dxa"/>
            <w:tcBorders/>
            <w:shd w:fill="CCEEFF" w:val="clear"/>
            <w:tcMar>
              <w:bottom w:w="0" w:type="dxa"/>
            </w:tcMar>
            <w:vAlign w:val="center"/>
          </w:tcPr>
          <w:p>
            <w:pPr>
              <w:pStyle w:val="TableContents"/>
              <w:spacing w:before="0" w:after="283"/>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470" w:type="dxa"/>
            <w:tcBorders/>
            <w:shd w:fill="CCEEFF" w:val="clear"/>
            <w:tcMar>
              <w:bottom w:w="0" w:type="dxa"/>
            </w:tcMar>
            <w:vAlign w:val="center"/>
          </w:tcPr>
          <w:p>
            <w:pPr>
              <w:pStyle w:val="TableContents"/>
              <w:spacing w:before="0" w:after="283"/>
              <w:jc w:val="right"/>
              <w:rPr/>
            </w:pPr>
            <w:r>
              <w:rPr/>
              <w:t>21.0</w:t>
            </w:r>
          </w:p>
        </w:tc>
        <w:tc>
          <w:tcPr>
            <w:tcW w:w="290" w:type="dxa"/>
            <w:tcBorders/>
            <w:shd w:fill="CCEEFF" w:val="clear"/>
            <w:tcMar>
              <w:bottom w:w="0" w:type="dxa"/>
            </w:tcMar>
            <w:vAlign w:val="center"/>
          </w:tcPr>
          <w:p>
            <w:pPr>
              <w:pStyle w:val="TableContents"/>
              <w:spacing w:before="0" w:after="283"/>
              <w:rPr/>
            </w:pPr>
            <w:r>
              <w:rPr/>
              <w:t>%</w:t>
            </w:r>
          </w:p>
        </w:tc>
      </w:tr>
      <w:tr>
        <w:trPr/>
        <w:tc>
          <w:tcPr>
            <w:tcW w:w="5430" w:type="dxa"/>
            <w:tcBorders/>
            <w:shd w:fill="FFFFFF" w:val="clear"/>
            <w:tcMar>
              <w:bottom w:w="0" w:type="dxa"/>
            </w:tcMar>
            <w:vAlign w:val="center"/>
          </w:tcPr>
          <w:p>
            <w:pPr>
              <w:pStyle w:val="TableContents"/>
              <w:spacing w:before="0" w:after="283"/>
              <w:rPr/>
            </w:pPr>
            <w:r>
              <w:rPr/>
              <w:t xml:space="preserve">State taxes, net of Federal benefit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1085" w:type="dxa"/>
            <w:tcBorders/>
            <w:shd w:fill="FFFFFF" w:val="clear"/>
            <w:tcMar>
              <w:bottom w:w="0" w:type="dxa"/>
            </w:tcMar>
            <w:vAlign w:val="center"/>
          </w:tcPr>
          <w:p>
            <w:pPr>
              <w:pStyle w:val="TableContents"/>
              <w:spacing w:before="0" w:after="283"/>
              <w:jc w:val="right"/>
              <w:rPr/>
            </w:pPr>
            <w:r>
              <w:rPr/>
              <w:t>(190,894</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470" w:type="dxa"/>
            <w:tcBorders/>
            <w:shd w:fill="FFFFFF" w:val="clear"/>
            <w:tcMar>
              <w:bottom w:w="0" w:type="dxa"/>
            </w:tcMar>
            <w:vAlign w:val="center"/>
          </w:tcPr>
          <w:p>
            <w:pPr>
              <w:pStyle w:val="TableContents"/>
              <w:spacing w:before="0" w:after="283"/>
              <w:jc w:val="right"/>
              <w:rPr/>
            </w:pPr>
            <w:r>
              <w:rPr/>
              <w:t>0.7</w:t>
            </w:r>
          </w:p>
        </w:tc>
        <w:tc>
          <w:tcPr>
            <w:tcW w:w="24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1085" w:type="dxa"/>
            <w:tcBorders/>
            <w:shd w:fill="FFFFFF" w:val="clear"/>
            <w:tcMar>
              <w:bottom w:w="0" w:type="dxa"/>
            </w:tcMar>
            <w:vAlign w:val="center"/>
          </w:tcPr>
          <w:p>
            <w:pPr>
              <w:pStyle w:val="TableContents"/>
              <w:spacing w:before="0" w:after="283"/>
              <w:jc w:val="right"/>
              <w:rPr/>
            </w:pPr>
            <w:r>
              <w:rPr/>
              <w:t>(221,879</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470" w:type="dxa"/>
            <w:tcBorders/>
            <w:shd w:fill="FFFFFF" w:val="clear"/>
            <w:tcMar>
              <w:bottom w:w="0" w:type="dxa"/>
            </w:tcMar>
            <w:vAlign w:val="center"/>
          </w:tcPr>
          <w:p>
            <w:pPr>
              <w:pStyle w:val="TableContents"/>
              <w:spacing w:before="0" w:after="283"/>
              <w:jc w:val="right"/>
              <w:rPr/>
            </w:pPr>
            <w:r>
              <w:rPr/>
              <w:t>2.4</w:t>
            </w:r>
          </w:p>
        </w:tc>
        <w:tc>
          <w:tcPr>
            <w:tcW w:w="290" w:type="dxa"/>
            <w:tcBorders/>
            <w:shd w:fill="FFFFFF" w:val="clear"/>
            <w:tcMar>
              <w:bottom w:w="0" w:type="dxa"/>
            </w:tcMar>
            <w:vAlign w:val="center"/>
          </w:tcPr>
          <w:p>
            <w:pPr>
              <w:pStyle w:val="TableContents"/>
              <w:spacing w:before="0" w:after="0"/>
              <w:ind w:left="0" w:right="0" w:hanging="0"/>
              <w:rPr/>
            </w:pPr>
            <w:r>
              <w:rPr/>
              <w:t> </w:t>
            </w:r>
          </w:p>
        </w:tc>
      </w:tr>
      <w:tr>
        <w:trPr/>
        <w:tc>
          <w:tcPr>
            <w:tcW w:w="5430" w:type="dxa"/>
            <w:tcBorders/>
            <w:shd w:fill="CCEEFF" w:val="clear"/>
            <w:tcMar>
              <w:bottom w:w="0" w:type="dxa"/>
            </w:tcMar>
            <w:vAlign w:val="center"/>
          </w:tcPr>
          <w:p>
            <w:pPr>
              <w:pStyle w:val="TableContents"/>
              <w:spacing w:before="0" w:after="283"/>
              <w:rPr/>
            </w:pPr>
            <w:r>
              <w:rPr/>
              <w:t xml:space="preserve">State valuation allowance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0"/>
              <w:ind w:left="0" w:right="0" w:hanging="0"/>
              <w:rPr/>
            </w:pPr>
            <w:r>
              <w:rPr/>
              <w:t> </w:t>
            </w:r>
          </w:p>
        </w:tc>
        <w:tc>
          <w:tcPr>
            <w:tcW w:w="1085" w:type="dxa"/>
            <w:tcBorders/>
            <w:shd w:fill="CCEEFF" w:val="clear"/>
            <w:tcMar>
              <w:bottom w:w="0" w:type="dxa"/>
            </w:tcMar>
            <w:vAlign w:val="center"/>
          </w:tcPr>
          <w:p>
            <w:pPr>
              <w:pStyle w:val="TableContents"/>
              <w:spacing w:before="0" w:after="283"/>
              <w:jc w:val="right"/>
              <w:rPr/>
            </w:pPr>
            <w:r>
              <w:rPr/>
              <w:t>198,217</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470" w:type="dxa"/>
            <w:tcBorders/>
            <w:shd w:fill="CCEEFF" w:val="clear"/>
            <w:tcMar>
              <w:bottom w:w="0" w:type="dxa"/>
            </w:tcMar>
            <w:vAlign w:val="center"/>
          </w:tcPr>
          <w:p>
            <w:pPr>
              <w:pStyle w:val="TableContents"/>
              <w:spacing w:before="0" w:after="283"/>
              <w:jc w:val="right"/>
              <w:rPr/>
            </w:pPr>
            <w:r>
              <w:rPr/>
              <w:t>(0.7</w:t>
            </w:r>
          </w:p>
        </w:tc>
        <w:tc>
          <w:tcPr>
            <w:tcW w:w="245" w:type="dxa"/>
            <w:tcBorders/>
            <w:shd w:fill="CCEEFF" w:val="clear"/>
            <w:tcMar>
              <w:bottom w:w="0" w:type="dxa"/>
            </w:tcMar>
            <w:vAlign w:val="center"/>
          </w:tcPr>
          <w:p>
            <w:pPr>
              <w:pStyle w:val="TableContents"/>
              <w:spacing w:before="0" w:after="283"/>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0"/>
              <w:ind w:left="0" w:right="0" w:hanging="0"/>
              <w:rPr/>
            </w:pPr>
            <w:r>
              <w:rPr/>
              <w:t> </w:t>
            </w:r>
          </w:p>
        </w:tc>
        <w:tc>
          <w:tcPr>
            <w:tcW w:w="1085" w:type="dxa"/>
            <w:tcBorders/>
            <w:shd w:fill="CCEEFF" w:val="clear"/>
            <w:tcMar>
              <w:bottom w:w="0" w:type="dxa"/>
            </w:tcMar>
            <w:vAlign w:val="center"/>
          </w:tcPr>
          <w:p>
            <w:pPr>
              <w:pStyle w:val="TableContents"/>
              <w:spacing w:before="0" w:after="283"/>
              <w:jc w:val="right"/>
              <w:rPr/>
            </w:pPr>
            <w:r>
              <w:rPr/>
              <w:t>224,117</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470" w:type="dxa"/>
            <w:tcBorders/>
            <w:shd w:fill="CCEEFF" w:val="clear"/>
            <w:tcMar>
              <w:bottom w:w="0" w:type="dxa"/>
            </w:tcMar>
            <w:vAlign w:val="center"/>
          </w:tcPr>
          <w:p>
            <w:pPr>
              <w:pStyle w:val="TableContents"/>
              <w:spacing w:before="0" w:after="283"/>
              <w:jc w:val="right"/>
              <w:rPr/>
            </w:pPr>
            <w:r>
              <w:rPr/>
              <w:t>(2.4</w:t>
            </w:r>
          </w:p>
        </w:tc>
        <w:tc>
          <w:tcPr>
            <w:tcW w:w="290" w:type="dxa"/>
            <w:tcBorders/>
            <w:shd w:fill="CCEEFF" w:val="clear"/>
            <w:tcMar>
              <w:bottom w:w="0" w:type="dxa"/>
            </w:tcMar>
            <w:vAlign w:val="center"/>
          </w:tcPr>
          <w:p>
            <w:pPr>
              <w:pStyle w:val="TableContents"/>
              <w:spacing w:before="0" w:after="283"/>
              <w:rPr/>
            </w:pPr>
            <w:r>
              <w:rPr/>
              <w:t>)</w:t>
            </w:r>
          </w:p>
        </w:tc>
      </w:tr>
      <w:tr>
        <w:trPr/>
        <w:tc>
          <w:tcPr>
            <w:tcW w:w="5430" w:type="dxa"/>
            <w:tcBorders/>
            <w:shd w:fill="FFFFFF" w:val="clear"/>
            <w:tcMar>
              <w:bottom w:w="0" w:type="dxa"/>
            </w:tcMar>
            <w:vAlign w:val="center"/>
          </w:tcPr>
          <w:p>
            <w:pPr>
              <w:pStyle w:val="TableContents"/>
              <w:spacing w:before="0" w:after="283"/>
              <w:rPr/>
            </w:pPr>
            <w:r>
              <w:rPr/>
              <w:t xml:space="preserve">Benefit of higher tax brackets in NOL carryback - current year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10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470" w:type="dxa"/>
            <w:tcBorders/>
            <w:shd w:fill="FFFFFF" w:val="clear"/>
            <w:tcMar>
              <w:bottom w:w="0" w:type="dxa"/>
            </w:tcMar>
            <w:vAlign w:val="center"/>
          </w:tcPr>
          <w:p>
            <w:pPr>
              <w:pStyle w:val="TableContents"/>
              <w:spacing w:before="0" w:after="0"/>
              <w:ind w:left="0" w:right="0" w:hanging="0"/>
              <w:rPr/>
            </w:pPr>
            <w:r>
              <w:rPr/>
              <w:t> </w:t>
            </w:r>
          </w:p>
        </w:tc>
        <w:tc>
          <w:tcPr>
            <w:tcW w:w="24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1085" w:type="dxa"/>
            <w:tcBorders/>
            <w:shd w:fill="FFFFFF" w:val="clear"/>
            <w:tcMar>
              <w:bottom w:w="0" w:type="dxa"/>
            </w:tcMar>
            <w:vAlign w:val="center"/>
          </w:tcPr>
          <w:p>
            <w:pPr>
              <w:pStyle w:val="TableContents"/>
              <w:spacing w:before="0" w:after="283"/>
              <w:jc w:val="right"/>
              <w:rPr/>
            </w:pPr>
            <w:r>
              <w:rPr/>
              <w:t>-</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470" w:type="dxa"/>
            <w:tcBorders/>
            <w:shd w:fill="FFFFFF" w:val="clear"/>
            <w:tcMar>
              <w:bottom w:w="0" w:type="dxa"/>
            </w:tcMar>
            <w:vAlign w:val="center"/>
          </w:tcPr>
          <w:p>
            <w:pPr>
              <w:pStyle w:val="TableContents"/>
              <w:spacing w:before="0" w:after="283"/>
              <w:jc w:val="right"/>
              <w:rPr/>
            </w:pPr>
            <w:r>
              <w:rPr/>
              <w:t>-</w:t>
            </w:r>
          </w:p>
        </w:tc>
        <w:tc>
          <w:tcPr>
            <w:tcW w:w="290" w:type="dxa"/>
            <w:tcBorders/>
            <w:shd w:fill="FFFFFF" w:val="clear"/>
            <w:tcMar>
              <w:bottom w:w="0" w:type="dxa"/>
            </w:tcMar>
            <w:vAlign w:val="center"/>
          </w:tcPr>
          <w:p>
            <w:pPr>
              <w:pStyle w:val="TableContents"/>
              <w:spacing w:before="0" w:after="0"/>
              <w:ind w:left="0" w:right="0" w:hanging="0"/>
              <w:rPr/>
            </w:pPr>
            <w:r>
              <w:rPr/>
              <w:t> </w:t>
            </w:r>
          </w:p>
        </w:tc>
      </w:tr>
      <w:tr>
        <w:trPr/>
        <w:tc>
          <w:tcPr>
            <w:tcW w:w="5430" w:type="dxa"/>
            <w:tcBorders/>
            <w:shd w:fill="CCEEFF" w:val="clear"/>
            <w:tcMar>
              <w:bottom w:w="0" w:type="dxa"/>
            </w:tcMar>
            <w:vAlign w:val="center"/>
          </w:tcPr>
          <w:p>
            <w:pPr>
              <w:pStyle w:val="TableContents"/>
              <w:spacing w:before="0" w:after="283"/>
              <w:rPr/>
            </w:pPr>
            <w:r>
              <w:rPr/>
              <w:t xml:space="preserve">Benefit of higher tax brackets in NOL carryback - prior year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0"/>
              <w:ind w:left="0" w:right="0" w:hanging="0"/>
              <w:rPr/>
            </w:pPr>
            <w:r>
              <w:rPr/>
              <w:t> </w:t>
            </w:r>
          </w:p>
        </w:tc>
        <w:tc>
          <w:tcPr>
            <w:tcW w:w="1085" w:type="dxa"/>
            <w:tcBorders/>
            <w:shd w:fill="CCEEFF" w:val="clear"/>
            <w:tcMar>
              <w:bottom w:w="0" w:type="dxa"/>
            </w:tcMar>
            <w:vAlign w:val="center"/>
          </w:tcPr>
          <w:p>
            <w:pPr>
              <w:pStyle w:val="TableContents"/>
              <w:spacing w:before="0" w:after="0"/>
              <w:ind w:left="0" w:right="0" w:hanging="0"/>
              <w:rPr/>
            </w:pPr>
            <w:r>
              <w:rPr/>
              <w:t> </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470" w:type="dxa"/>
            <w:tcBorders/>
            <w:shd w:fill="CCEEFF" w:val="clear"/>
            <w:tcMar>
              <w:bottom w:w="0" w:type="dxa"/>
            </w:tcMar>
            <w:vAlign w:val="center"/>
          </w:tcPr>
          <w:p>
            <w:pPr>
              <w:pStyle w:val="TableContents"/>
              <w:spacing w:before="0" w:after="0"/>
              <w:ind w:left="0" w:right="0" w:hanging="0"/>
              <w:rPr/>
            </w:pPr>
            <w:r>
              <w:rPr/>
              <w:t> </w:t>
            </w:r>
          </w:p>
        </w:tc>
        <w:tc>
          <w:tcPr>
            <w:tcW w:w="24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0"/>
              <w:ind w:left="0" w:right="0" w:hanging="0"/>
              <w:rPr/>
            </w:pPr>
            <w:r>
              <w:rPr/>
              <w:t> </w:t>
            </w:r>
          </w:p>
        </w:tc>
        <w:tc>
          <w:tcPr>
            <w:tcW w:w="1085" w:type="dxa"/>
            <w:tcBorders/>
            <w:shd w:fill="CCEEFF" w:val="clear"/>
            <w:tcMar>
              <w:bottom w:w="0" w:type="dxa"/>
            </w:tcMar>
            <w:vAlign w:val="center"/>
          </w:tcPr>
          <w:p>
            <w:pPr>
              <w:pStyle w:val="TableContents"/>
              <w:spacing w:before="0" w:after="283"/>
              <w:jc w:val="right"/>
              <w:rPr/>
            </w:pPr>
            <w:r>
              <w:rPr/>
              <w:t>-</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470" w:type="dxa"/>
            <w:tcBorders/>
            <w:shd w:fill="CCEEFF" w:val="clear"/>
            <w:tcMar>
              <w:bottom w:w="0" w:type="dxa"/>
            </w:tcMar>
            <w:vAlign w:val="center"/>
          </w:tcPr>
          <w:p>
            <w:pPr>
              <w:pStyle w:val="TableContents"/>
              <w:spacing w:before="0" w:after="283"/>
              <w:jc w:val="right"/>
              <w:rPr/>
            </w:pPr>
            <w:r>
              <w:rPr/>
              <w:t>-</w:t>
            </w:r>
          </w:p>
        </w:tc>
        <w:tc>
          <w:tcPr>
            <w:tcW w:w="290" w:type="dxa"/>
            <w:tcBorders/>
            <w:shd w:fill="CCEEFF" w:val="clear"/>
            <w:tcMar>
              <w:bottom w:w="0" w:type="dxa"/>
            </w:tcMar>
            <w:vAlign w:val="center"/>
          </w:tcPr>
          <w:p>
            <w:pPr>
              <w:pStyle w:val="TableContents"/>
              <w:spacing w:before="0" w:after="0"/>
              <w:ind w:left="0" w:right="0" w:hanging="0"/>
              <w:rPr/>
            </w:pPr>
            <w:r>
              <w:rPr/>
              <w:t> </w:t>
            </w:r>
          </w:p>
        </w:tc>
      </w:tr>
      <w:tr>
        <w:trPr/>
        <w:tc>
          <w:tcPr>
            <w:tcW w:w="5430" w:type="dxa"/>
            <w:tcBorders/>
            <w:shd w:fill="FFFFFF" w:val="clear"/>
            <w:tcMar>
              <w:bottom w:w="0" w:type="dxa"/>
            </w:tcMar>
            <w:vAlign w:val="center"/>
          </w:tcPr>
          <w:p>
            <w:pPr>
              <w:pStyle w:val="TableContents"/>
              <w:spacing w:before="0" w:after="283"/>
              <w:rPr/>
            </w:pPr>
            <w:r>
              <w:rPr/>
              <w:t xml:space="preserve">Permanent differences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10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470" w:type="dxa"/>
            <w:tcBorders/>
            <w:shd w:fill="FFFFFF" w:val="clear"/>
            <w:tcMar>
              <w:bottom w:w="0" w:type="dxa"/>
            </w:tcMar>
            <w:vAlign w:val="center"/>
          </w:tcPr>
          <w:p>
            <w:pPr>
              <w:pStyle w:val="TableContents"/>
              <w:spacing w:before="0" w:after="0"/>
              <w:ind w:left="0" w:right="0" w:hanging="0"/>
              <w:rPr/>
            </w:pPr>
            <w:r>
              <w:rPr/>
              <w:t> </w:t>
            </w:r>
          </w:p>
        </w:tc>
        <w:tc>
          <w:tcPr>
            <w:tcW w:w="24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10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470" w:type="dxa"/>
            <w:tcBorders/>
            <w:shd w:fill="FFFFFF" w:val="clear"/>
            <w:tcMar>
              <w:bottom w:w="0" w:type="dxa"/>
            </w:tcMar>
            <w:vAlign w:val="center"/>
          </w:tcPr>
          <w:p>
            <w:pPr>
              <w:pStyle w:val="TableContents"/>
              <w:spacing w:before="0" w:after="0"/>
              <w:ind w:left="0" w:right="0" w:hanging="0"/>
              <w:rPr/>
            </w:pPr>
            <w:r>
              <w:rPr/>
              <w:t> </w:t>
            </w:r>
          </w:p>
        </w:tc>
        <w:tc>
          <w:tcPr>
            <w:tcW w:w="290" w:type="dxa"/>
            <w:tcBorders/>
            <w:shd w:fill="FFFFFF" w:val="clear"/>
            <w:tcMar>
              <w:bottom w:w="0" w:type="dxa"/>
            </w:tcMar>
            <w:vAlign w:val="center"/>
          </w:tcPr>
          <w:p>
            <w:pPr>
              <w:pStyle w:val="TableContents"/>
              <w:spacing w:before="0" w:after="0"/>
              <w:ind w:left="0" w:right="0" w:hanging="0"/>
              <w:rPr/>
            </w:pPr>
            <w:r>
              <w:rPr/>
              <w:t> </w:t>
            </w:r>
          </w:p>
        </w:tc>
      </w:tr>
      <w:tr>
        <w:trPr/>
        <w:tc>
          <w:tcPr>
            <w:tcW w:w="5430" w:type="dxa"/>
            <w:tcBorders/>
            <w:shd w:fill="CCEEFF" w:val="clear"/>
            <w:tcMar>
              <w:bottom w:w="0" w:type="dxa"/>
            </w:tcM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Dividends received deduction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0"/>
              <w:ind w:left="0" w:right="0" w:hanging="0"/>
              <w:rPr/>
            </w:pPr>
            <w:r>
              <w:rPr/>
              <w:t> </w:t>
            </w:r>
          </w:p>
        </w:tc>
        <w:tc>
          <w:tcPr>
            <w:tcW w:w="1085" w:type="dxa"/>
            <w:tcBorders/>
            <w:shd w:fill="CCEEFF" w:val="clear"/>
            <w:tcMar>
              <w:bottom w:w="0" w:type="dxa"/>
            </w:tcMar>
            <w:vAlign w:val="center"/>
          </w:tcPr>
          <w:p>
            <w:pPr>
              <w:pStyle w:val="TableContents"/>
              <w:spacing w:before="0" w:after="283"/>
              <w:jc w:val="right"/>
              <w:rPr/>
            </w:pPr>
            <w:r>
              <w:rPr/>
              <w:t>(122,331</w:t>
            </w:r>
          </w:p>
        </w:tc>
        <w:tc>
          <w:tcPr>
            <w:tcW w:w="125" w:type="dxa"/>
            <w:tcBorders/>
            <w:shd w:fill="CCEEFF" w:val="clear"/>
            <w:tcMar>
              <w:bottom w:w="0" w:type="dxa"/>
            </w:tcMar>
            <w:vAlign w:val="center"/>
          </w:tcPr>
          <w:p>
            <w:pPr>
              <w:pStyle w:val="TableContents"/>
              <w:spacing w:before="0" w:after="283"/>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470" w:type="dxa"/>
            <w:tcBorders/>
            <w:shd w:fill="CCEEFF" w:val="clear"/>
            <w:tcMar>
              <w:bottom w:w="0" w:type="dxa"/>
            </w:tcMar>
            <w:vAlign w:val="center"/>
          </w:tcPr>
          <w:p>
            <w:pPr>
              <w:pStyle w:val="TableContents"/>
              <w:spacing w:before="0" w:after="283"/>
              <w:jc w:val="right"/>
              <w:rPr/>
            </w:pPr>
            <w:r>
              <w:rPr/>
              <w:t>0.4</w:t>
            </w:r>
          </w:p>
        </w:tc>
        <w:tc>
          <w:tcPr>
            <w:tcW w:w="24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0"/>
              <w:ind w:left="0" w:right="0" w:hanging="0"/>
              <w:rPr/>
            </w:pPr>
            <w:r>
              <w:rPr/>
              <w:t> </w:t>
            </w:r>
          </w:p>
        </w:tc>
        <w:tc>
          <w:tcPr>
            <w:tcW w:w="1085" w:type="dxa"/>
            <w:tcBorders/>
            <w:shd w:fill="CCEEFF" w:val="clear"/>
            <w:tcMar>
              <w:bottom w:w="0" w:type="dxa"/>
            </w:tcMar>
            <w:vAlign w:val="center"/>
          </w:tcPr>
          <w:p>
            <w:pPr>
              <w:pStyle w:val="TableContents"/>
              <w:spacing w:before="0" w:after="283"/>
              <w:jc w:val="right"/>
              <w:rPr/>
            </w:pPr>
            <w:r>
              <w:rPr/>
              <w:t>(152,147</w:t>
            </w:r>
          </w:p>
        </w:tc>
        <w:tc>
          <w:tcPr>
            <w:tcW w:w="125" w:type="dxa"/>
            <w:tcBorders/>
            <w:shd w:fill="CCEEFF" w:val="clear"/>
            <w:tcMar>
              <w:bottom w:w="0" w:type="dxa"/>
            </w:tcMar>
            <w:vAlign w:val="center"/>
          </w:tcPr>
          <w:p>
            <w:pPr>
              <w:pStyle w:val="TableContents"/>
              <w:spacing w:before="0" w:after="283"/>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470" w:type="dxa"/>
            <w:tcBorders/>
            <w:shd w:fill="CCEEFF" w:val="clear"/>
            <w:tcMar>
              <w:bottom w:w="0" w:type="dxa"/>
            </w:tcMar>
            <w:vAlign w:val="center"/>
          </w:tcPr>
          <w:p>
            <w:pPr>
              <w:pStyle w:val="TableContents"/>
              <w:spacing w:before="0" w:after="283"/>
              <w:jc w:val="right"/>
              <w:rPr/>
            </w:pPr>
            <w:r>
              <w:rPr/>
              <w:t>1.6</w:t>
            </w:r>
          </w:p>
        </w:tc>
        <w:tc>
          <w:tcPr>
            <w:tcW w:w="290" w:type="dxa"/>
            <w:tcBorders/>
            <w:shd w:fill="CCEEFF" w:val="clear"/>
            <w:tcMar>
              <w:bottom w:w="0" w:type="dxa"/>
            </w:tcMar>
            <w:vAlign w:val="center"/>
          </w:tcPr>
          <w:p>
            <w:pPr>
              <w:pStyle w:val="TableContents"/>
              <w:spacing w:before="0" w:after="0"/>
              <w:ind w:left="0" w:right="0" w:hanging="0"/>
              <w:rPr/>
            </w:pPr>
            <w:r>
              <w:rPr/>
              <w:t> </w:t>
            </w:r>
          </w:p>
        </w:tc>
      </w:tr>
      <w:tr>
        <w:trPr/>
        <w:tc>
          <w:tcPr>
            <w:tcW w:w="5430" w:type="dxa"/>
            <w:tcBorders/>
            <w:shd w:fill="FFFFFF" w:val="clear"/>
            <w:tcMar>
              <w:bottom w:w="0" w:type="dxa"/>
            </w:tcM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Non-taxable investment income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1085" w:type="dxa"/>
            <w:tcBorders/>
            <w:shd w:fill="FFFFFF" w:val="clear"/>
            <w:tcMar>
              <w:bottom w:w="0" w:type="dxa"/>
            </w:tcMar>
            <w:vAlign w:val="center"/>
          </w:tcPr>
          <w:p>
            <w:pPr>
              <w:pStyle w:val="TableContents"/>
              <w:spacing w:before="0" w:after="283"/>
              <w:jc w:val="right"/>
              <w:rPr/>
            </w:pPr>
            <w:r>
              <w:rPr/>
              <w:t>(95,763</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470" w:type="dxa"/>
            <w:tcBorders/>
            <w:shd w:fill="FFFFFF" w:val="clear"/>
            <w:tcMar>
              <w:bottom w:w="0" w:type="dxa"/>
            </w:tcMar>
            <w:vAlign w:val="center"/>
          </w:tcPr>
          <w:p>
            <w:pPr>
              <w:pStyle w:val="TableContents"/>
              <w:spacing w:before="0" w:after="283"/>
              <w:jc w:val="right"/>
              <w:rPr/>
            </w:pPr>
            <w:r>
              <w:rPr/>
              <w:t>0.3</w:t>
            </w:r>
          </w:p>
        </w:tc>
        <w:tc>
          <w:tcPr>
            <w:tcW w:w="24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1085" w:type="dxa"/>
            <w:tcBorders/>
            <w:shd w:fill="FFFFFF" w:val="clear"/>
            <w:tcMar>
              <w:bottom w:w="0" w:type="dxa"/>
            </w:tcMar>
            <w:vAlign w:val="center"/>
          </w:tcPr>
          <w:p>
            <w:pPr>
              <w:pStyle w:val="TableContents"/>
              <w:spacing w:before="0" w:after="283"/>
              <w:jc w:val="right"/>
              <w:rPr/>
            </w:pPr>
            <w:r>
              <w:rPr/>
              <w:t>(75,045</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470" w:type="dxa"/>
            <w:tcBorders/>
            <w:shd w:fill="FFFFFF" w:val="clear"/>
            <w:tcMar>
              <w:bottom w:w="0" w:type="dxa"/>
            </w:tcMar>
            <w:vAlign w:val="center"/>
          </w:tcPr>
          <w:p>
            <w:pPr>
              <w:pStyle w:val="TableContents"/>
              <w:spacing w:before="0" w:after="283"/>
              <w:jc w:val="right"/>
              <w:rPr/>
            </w:pPr>
            <w:r>
              <w:rPr/>
              <w:t>0.8</w:t>
            </w:r>
          </w:p>
        </w:tc>
        <w:tc>
          <w:tcPr>
            <w:tcW w:w="290" w:type="dxa"/>
            <w:tcBorders/>
            <w:shd w:fill="FFFFFF" w:val="clear"/>
            <w:tcMar>
              <w:bottom w:w="0" w:type="dxa"/>
            </w:tcMar>
            <w:vAlign w:val="center"/>
          </w:tcPr>
          <w:p>
            <w:pPr>
              <w:pStyle w:val="TableContents"/>
              <w:spacing w:before="0" w:after="0"/>
              <w:ind w:left="0" w:right="0" w:hanging="0"/>
              <w:rPr/>
            </w:pPr>
            <w:r>
              <w:rPr/>
              <w:t> </w:t>
            </w:r>
          </w:p>
        </w:tc>
      </w:tr>
      <w:tr>
        <w:trPr/>
        <w:tc>
          <w:tcPr>
            <w:tcW w:w="5430" w:type="dxa"/>
            <w:tcBorders/>
            <w:shd w:fill="CCEEFF" w:val="clear"/>
            <w:tcMar>
              <w:bottom w:w="0" w:type="dxa"/>
            </w:tcM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Stock-based compensation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0"/>
              <w:ind w:left="0" w:right="0" w:hanging="0"/>
              <w:rPr/>
            </w:pPr>
            <w:r>
              <w:rPr/>
              <w:t> </w:t>
            </w:r>
          </w:p>
        </w:tc>
        <w:tc>
          <w:tcPr>
            <w:tcW w:w="1085" w:type="dxa"/>
            <w:tcBorders/>
            <w:shd w:fill="CCEEFF" w:val="clear"/>
            <w:tcMar>
              <w:bottom w:w="0" w:type="dxa"/>
            </w:tcMar>
            <w:vAlign w:val="center"/>
          </w:tcPr>
          <w:p>
            <w:pPr>
              <w:pStyle w:val="TableContents"/>
              <w:spacing w:before="0" w:after="283"/>
              <w:jc w:val="right"/>
              <w:rPr/>
            </w:pPr>
            <w:r>
              <w:rPr/>
              <w:t>117,700</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470" w:type="dxa"/>
            <w:tcBorders/>
            <w:shd w:fill="CCEEFF" w:val="clear"/>
            <w:tcMar>
              <w:bottom w:w="0" w:type="dxa"/>
            </w:tcMar>
            <w:vAlign w:val="center"/>
          </w:tcPr>
          <w:p>
            <w:pPr>
              <w:pStyle w:val="TableContents"/>
              <w:spacing w:before="0" w:after="283"/>
              <w:jc w:val="right"/>
              <w:rPr/>
            </w:pPr>
            <w:r>
              <w:rPr/>
              <w:t>(0.4</w:t>
            </w:r>
          </w:p>
        </w:tc>
        <w:tc>
          <w:tcPr>
            <w:tcW w:w="245" w:type="dxa"/>
            <w:tcBorders/>
            <w:shd w:fill="CCEEFF" w:val="clear"/>
            <w:tcMar>
              <w:bottom w:w="0" w:type="dxa"/>
            </w:tcMar>
            <w:vAlign w:val="center"/>
          </w:tcPr>
          <w:p>
            <w:pPr>
              <w:pStyle w:val="TableContents"/>
              <w:spacing w:before="0" w:after="283"/>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0"/>
              <w:ind w:left="0" w:right="0" w:hanging="0"/>
              <w:rPr/>
            </w:pPr>
            <w:r>
              <w:rPr/>
              <w:t> </w:t>
            </w:r>
          </w:p>
        </w:tc>
        <w:tc>
          <w:tcPr>
            <w:tcW w:w="1085" w:type="dxa"/>
            <w:tcBorders/>
            <w:shd w:fill="CCEEFF" w:val="clear"/>
            <w:tcMar>
              <w:bottom w:w="0" w:type="dxa"/>
            </w:tcMar>
            <w:vAlign w:val="center"/>
          </w:tcPr>
          <w:p>
            <w:pPr>
              <w:pStyle w:val="TableContents"/>
              <w:spacing w:before="0" w:after="283"/>
              <w:jc w:val="right"/>
              <w:rPr/>
            </w:pPr>
            <w:r>
              <w:rPr/>
              <w:t>55,486</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470" w:type="dxa"/>
            <w:tcBorders/>
            <w:shd w:fill="CCEEFF" w:val="clear"/>
            <w:tcMar>
              <w:bottom w:w="0" w:type="dxa"/>
            </w:tcMar>
            <w:vAlign w:val="center"/>
          </w:tcPr>
          <w:p>
            <w:pPr>
              <w:pStyle w:val="TableContents"/>
              <w:spacing w:before="0" w:after="283"/>
              <w:jc w:val="right"/>
              <w:rPr/>
            </w:pPr>
            <w:r>
              <w:rPr/>
              <w:t>(0.6</w:t>
            </w:r>
          </w:p>
        </w:tc>
        <w:tc>
          <w:tcPr>
            <w:tcW w:w="290" w:type="dxa"/>
            <w:tcBorders/>
            <w:shd w:fill="CCEEFF" w:val="clear"/>
            <w:tcMar>
              <w:bottom w:w="0" w:type="dxa"/>
            </w:tcMar>
            <w:vAlign w:val="center"/>
          </w:tcPr>
          <w:p>
            <w:pPr>
              <w:pStyle w:val="TableContents"/>
              <w:spacing w:before="0" w:after="283"/>
              <w:rPr/>
            </w:pPr>
            <w:r>
              <w:rPr/>
              <w:t>)</w:t>
            </w:r>
          </w:p>
        </w:tc>
      </w:tr>
      <w:tr>
        <w:trPr/>
        <w:tc>
          <w:tcPr>
            <w:tcW w:w="5430" w:type="dxa"/>
            <w:tcBorders/>
            <w:shd w:fill="FFFFFF" w:val="clear"/>
            <w:tcMar>
              <w:bottom w:w="0" w:type="dxa"/>
            </w:tcM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Sale leaseback transaction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1085" w:type="dxa"/>
            <w:tcBorders/>
            <w:shd w:fill="FFFFFF" w:val="clear"/>
            <w:tcMar>
              <w:bottom w:w="0" w:type="dxa"/>
            </w:tcMar>
            <w:vAlign w:val="center"/>
          </w:tcPr>
          <w:p>
            <w:pPr>
              <w:pStyle w:val="TableContents"/>
              <w:spacing w:before="0" w:after="283"/>
              <w:jc w:val="right"/>
              <w:rPr/>
            </w:pPr>
            <w:r>
              <w:rPr/>
              <w:t>385,634</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470" w:type="dxa"/>
            <w:tcBorders/>
            <w:shd w:fill="FFFFFF" w:val="clear"/>
            <w:tcMar>
              <w:bottom w:w="0" w:type="dxa"/>
            </w:tcMar>
            <w:vAlign w:val="center"/>
          </w:tcPr>
          <w:p>
            <w:pPr>
              <w:pStyle w:val="TableContents"/>
              <w:spacing w:before="0" w:after="283"/>
              <w:jc w:val="right"/>
              <w:rPr/>
            </w:pPr>
            <w:r>
              <w:rPr/>
              <w:t>(1.4</w:t>
            </w:r>
          </w:p>
        </w:tc>
        <w:tc>
          <w:tcPr>
            <w:tcW w:w="24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1085" w:type="dxa"/>
            <w:tcBorders/>
            <w:shd w:fill="FFFFFF" w:val="clear"/>
            <w:tcMar>
              <w:bottom w:w="0" w:type="dxa"/>
            </w:tcMar>
            <w:vAlign w:val="center"/>
          </w:tcPr>
          <w:p>
            <w:pPr>
              <w:pStyle w:val="TableContents"/>
              <w:spacing w:before="0" w:after="283"/>
              <w:jc w:val="right"/>
              <w:rPr/>
            </w:pPr>
            <w:r>
              <w:rPr/>
              <w:t>-</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470" w:type="dxa"/>
            <w:tcBorders/>
            <w:shd w:fill="FFFFFF" w:val="clear"/>
            <w:tcMar>
              <w:bottom w:w="0" w:type="dxa"/>
            </w:tcMar>
            <w:vAlign w:val="center"/>
          </w:tcPr>
          <w:p>
            <w:pPr>
              <w:pStyle w:val="TableContents"/>
              <w:spacing w:before="0" w:after="283"/>
              <w:jc w:val="right"/>
              <w:rPr/>
            </w:pPr>
            <w:r>
              <w:rPr/>
              <w:t>-</w:t>
            </w:r>
          </w:p>
        </w:tc>
        <w:tc>
          <w:tcPr>
            <w:tcW w:w="290" w:type="dxa"/>
            <w:tcBorders/>
            <w:shd w:fill="FFFFFF" w:val="clear"/>
            <w:tcMar>
              <w:bottom w:w="0" w:type="dxa"/>
            </w:tcMar>
            <w:vAlign w:val="center"/>
          </w:tcPr>
          <w:p>
            <w:pPr>
              <w:pStyle w:val="TableContents"/>
              <w:spacing w:before="0" w:after="0"/>
              <w:ind w:left="0" w:right="0" w:hanging="0"/>
              <w:rPr/>
            </w:pPr>
            <w:r>
              <w:rPr/>
              <w:t> </w:t>
            </w:r>
          </w:p>
        </w:tc>
      </w:tr>
      <w:tr>
        <w:trPr/>
        <w:tc>
          <w:tcPr>
            <w:tcW w:w="5430" w:type="dxa"/>
            <w:tcBorders/>
            <w:shd w:fill="CCEEFF" w:val="clear"/>
            <w:tcMar>
              <w:bottom w:w="0" w:type="dxa"/>
            </w:tcM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Other permanent differences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0"/>
              <w:ind w:left="0" w:right="0" w:hanging="0"/>
              <w:rPr/>
            </w:pPr>
            <w:r>
              <w:rPr/>
              <w:t> </w:t>
            </w:r>
          </w:p>
        </w:tc>
        <w:tc>
          <w:tcPr>
            <w:tcW w:w="1085" w:type="dxa"/>
            <w:tcBorders/>
            <w:shd w:fill="CCEEFF" w:val="clear"/>
            <w:tcMar>
              <w:bottom w:w="0" w:type="dxa"/>
            </w:tcMar>
            <w:vAlign w:val="center"/>
          </w:tcPr>
          <w:p>
            <w:pPr>
              <w:pStyle w:val="TableContents"/>
              <w:spacing w:before="0" w:after="283"/>
              <w:jc w:val="right"/>
              <w:rPr/>
            </w:pPr>
            <w:r>
              <w:rPr/>
              <w:t>152,601</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470" w:type="dxa"/>
            <w:tcBorders/>
            <w:shd w:fill="CCEEFF" w:val="clear"/>
            <w:tcMar>
              <w:bottom w:w="0" w:type="dxa"/>
            </w:tcMar>
            <w:vAlign w:val="center"/>
          </w:tcPr>
          <w:p>
            <w:pPr>
              <w:pStyle w:val="TableContents"/>
              <w:spacing w:before="0" w:after="283"/>
              <w:jc w:val="right"/>
              <w:rPr/>
            </w:pPr>
            <w:r>
              <w:rPr/>
              <w:t>(0.5</w:t>
            </w:r>
          </w:p>
        </w:tc>
        <w:tc>
          <w:tcPr>
            <w:tcW w:w="245" w:type="dxa"/>
            <w:tcBorders/>
            <w:shd w:fill="CCEEFF" w:val="clear"/>
            <w:tcMar>
              <w:bottom w:w="0" w:type="dxa"/>
            </w:tcMar>
            <w:vAlign w:val="center"/>
          </w:tcPr>
          <w:p>
            <w:pPr>
              <w:pStyle w:val="TableContents"/>
              <w:spacing w:before="0" w:after="283"/>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shd w:fill="CCEEFF" w:val="clear"/>
            <w:tcMar>
              <w:bottom w:w="0" w:type="dxa"/>
            </w:tcMar>
            <w:vAlign w:val="center"/>
          </w:tcPr>
          <w:p>
            <w:pPr>
              <w:pStyle w:val="TableContents"/>
              <w:spacing w:before="0" w:after="0"/>
              <w:ind w:left="0" w:right="0" w:hanging="0"/>
              <w:rPr/>
            </w:pPr>
            <w:r>
              <w:rPr/>
              <w:t> </w:t>
            </w:r>
          </w:p>
        </w:tc>
        <w:tc>
          <w:tcPr>
            <w:tcW w:w="1085" w:type="dxa"/>
            <w:tcBorders/>
            <w:shd w:fill="CCEEFF" w:val="clear"/>
            <w:tcMar>
              <w:bottom w:w="0" w:type="dxa"/>
            </w:tcMar>
            <w:vAlign w:val="center"/>
          </w:tcPr>
          <w:p>
            <w:pPr>
              <w:pStyle w:val="TableContents"/>
              <w:spacing w:before="0" w:after="283"/>
              <w:jc w:val="right"/>
              <w:rPr/>
            </w:pPr>
            <w:r>
              <w:rPr/>
              <w:t>56,798</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470" w:type="dxa"/>
            <w:tcBorders/>
            <w:shd w:fill="CCEEFF" w:val="clear"/>
            <w:tcMar>
              <w:bottom w:w="0" w:type="dxa"/>
            </w:tcMar>
            <w:vAlign w:val="center"/>
          </w:tcPr>
          <w:p>
            <w:pPr>
              <w:pStyle w:val="TableContents"/>
              <w:spacing w:before="0" w:after="283"/>
              <w:jc w:val="right"/>
              <w:rPr/>
            </w:pPr>
            <w:r>
              <w:rPr/>
              <w:t>(0.6</w:t>
            </w:r>
          </w:p>
        </w:tc>
        <w:tc>
          <w:tcPr>
            <w:tcW w:w="290" w:type="dxa"/>
            <w:tcBorders/>
            <w:shd w:fill="CCEEFF" w:val="clear"/>
            <w:tcMar>
              <w:bottom w:w="0" w:type="dxa"/>
            </w:tcMar>
            <w:vAlign w:val="center"/>
          </w:tcPr>
          <w:p>
            <w:pPr>
              <w:pStyle w:val="TableContents"/>
              <w:spacing w:before="0" w:after="283"/>
              <w:rPr/>
            </w:pPr>
            <w:r>
              <w:rPr/>
              <w:t>)</w:t>
            </w:r>
          </w:p>
        </w:tc>
      </w:tr>
      <w:tr>
        <w:trPr/>
        <w:tc>
          <w:tcPr>
            <w:tcW w:w="5430" w:type="dxa"/>
            <w:tcBorders/>
            <w:shd w:fill="FFFFFF" w:val="clear"/>
            <w:tcMar>
              <w:bottom w:w="0" w:type="dxa"/>
            </w:tcMar>
            <w:vAlign w:val="center"/>
          </w:tcPr>
          <w:p>
            <w:pPr>
              <w:pStyle w:val="TableContents"/>
              <w:spacing w:before="0" w:after="283"/>
              <w:rPr/>
            </w:pPr>
            <w:r>
              <w:rPr/>
              <w:t xml:space="preserve">Prior year tax matters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1085" w:type="dxa"/>
            <w:tcBorders/>
            <w:shd w:fill="FFFFFF" w:val="clear"/>
            <w:tcMar>
              <w:bottom w:w="0" w:type="dxa"/>
            </w:tcMar>
            <w:vAlign w:val="center"/>
          </w:tcPr>
          <w:p>
            <w:pPr>
              <w:pStyle w:val="TableContents"/>
              <w:spacing w:before="0" w:after="283"/>
              <w:jc w:val="right"/>
              <w:rPr/>
            </w:pPr>
            <w:r>
              <w:rPr/>
              <w:t>(24,116</w:t>
            </w:r>
          </w:p>
        </w:tc>
        <w:tc>
          <w:tcPr>
            <w:tcW w:w="125" w:type="dxa"/>
            <w:tcBorders/>
            <w:shd w:fill="FFFFFF" w:val="clear"/>
            <w:tcMar>
              <w:bottom w:w="0" w:type="dxa"/>
            </w:tcMar>
            <w:vAlign w:val="center"/>
          </w:tcPr>
          <w:p>
            <w:pPr>
              <w:pStyle w:val="TableContents"/>
              <w:spacing w:before="0" w:after="283"/>
              <w:rPr/>
            </w:pPr>
            <w:r>
              <w:rPr/>
              <w:t>)</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470" w:type="dxa"/>
            <w:tcBorders/>
            <w:shd w:fill="FFFFFF" w:val="clear"/>
            <w:tcMar>
              <w:bottom w:w="0" w:type="dxa"/>
            </w:tcMar>
            <w:vAlign w:val="center"/>
          </w:tcPr>
          <w:p>
            <w:pPr>
              <w:pStyle w:val="TableContents"/>
              <w:spacing w:before="0" w:after="283"/>
              <w:jc w:val="right"/>
              <w:rPr/>
            </w:pPr>
            <w:r>
              <w:rPr/>
              <w:t>0.1</w:t>
            </w:r>
          </w:p>
        </w:tc>
        <w:tc>
          <w:tcPr>
            <w:tcW w:w="24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1085" w:type="dxa"/>
            <w:tcBorders/>
            <w:shd w:fill="FFFFFF" w:val="clear"/>
            <w:tcMar>
              <w:bottom w:w="0" w:type="dxa"/>
            </w:tcMar>
            <w:vAlign w:val="center"/>
          </w:tcPr>
          <w:p>
            <w:pPr>
              <w:pStyle w:val="TableContents"/>
              <w:spacing w:before="0" w:after="283"/>
              <w:jc w:val="right"/>
              <w:rPr/>
            </w:pPr>
            <w:r>
              <w:rPr/>
              <w:t>107,173</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470" w:type="dxa"/>
            <w:tcBorders/>
            <w:shd w:fill="FFFFFF" w:val="clear"/>
            <w:tcMar>
              <w:bottom w:w="0" w:type="dxa"/>
            </w:tcMar>
            <w:vAlign w:val="center"/>
          </w:tcPr>
          <w:p>
            <w:pPr>
              <w:pStyle w:val="TableContents"/>
              <w:spacing w:before="0" w:after="283"/>
              <w:jc w:val="right"/>
              <w:rPr/>
            </w:pPr>
            <w:r>
              <w:rPr/>
              <w:t>(1.1</w:t>
            </w:r>
          </w:p>
        </w:tc>
        <w:tc>
          <w:tcPr>
            <w:tcW w:w="290" w:type="dxa"/>
            <w:tcBorders/>
            <w:shd w:fill="FFFFFF" w:val="clear"/>
            <w:tcMar>
              <w:bottom w:w="0" w:type="dxa"/>
            </w:tcMar>
            <w:vAlign w:val="center"/>
          </w:tcPr>
          <w:p>
            <w:pPr>
              <w:pStyle w:val="TableContents"/>
              <w:spacing w:before="0" w:after="283"/>
              <w:rPr/>
            </w:pPr>
            <w:r>
              <w:rPr/>
              <w:t>)</w:t>
            </w:r>
          </w:p>
        </w:tc>
      </w:tr>
      <w:tr>
        <w:trPr/>
        <w:tc>
          <w:tcPr>
            <w:tcW w:w="5430" w:type="dxa"/>
            <w:tcBorders/>
            <w:shd w:fill="CCEEFF" w:val="clear"/>
            <w:tcMar>
              <w:bottom w:w="0" w:type="dxa"/>
            </w:tcMar>
            <w:vAlign w:val="center"/>
          </w:tcPr>
          <w:p>
            <w:pPr>
              <w:pStyle w:val="TableContents"/>
              <w:spacing w:before="0" w:after="283"/>
              <w:rPr/>
            </w:pPr>
            <w:r>
              <w:rPr/>
              <w:t xml:space="preserve">Other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bottom w:val="single" w:sz="2" w:space="0" w:color="000000"/>
            </w:tcBorders>
            <w:shd w:fill="CCEEFF" w:val="clear"/>
            <w:vAlign w:val="center"/>
          </w:tcPr>
          <w:p>
            <w:pPr>
              <w:pStyle w:val="TableContents"/>
              <w:spacing w:before="0" w:after="0"/>
              <w:ind w:left="0" w:right="0" w:hanging="0"/>
              <w:rPr/>
            </w:pPr>
            <w:r>
              <w:rPr/>
              <w:t> </w:t>
            </w:r>
          </w:p>
        </w:tc>
        <w:tc>
          <w:tcPr>
            <w:tcW w:w="1085" w:type="dxa"/>
            <w:tcBorders>
              <w:bottom w:val="single" w:sz="2" w:space="0" w:color="000000"/>
            </w:tcBorders>
            <w:shd w:fill="CCEEFF" w:val="clear"/>
            <w:vAlign w:val="center"/>
          </w:tcPr>
          <w:p>
            <w:pPr>
              <w:pStyle w:val="TableContents"/>
              <w:spacing w:before="0" w:after="283"/>
              <w:jc w:val="right"/>
              <w:rPr/>
            </w:pPr>
            <w:r>
              <w:rPr/>
              <w:t>29,297</w:t>
            </w:r>
          </w:p>
        </w:tc>
        <w:tc>
          <w:tcPr>
            <w:tcW w:w="125" w:type="dxa"/>
            <w:tcBorders/>
            <w:shd w:fill="CCEEFF" w:val="clear"/>
            <w:tcMar>
              <w:bottom w:w="0" w:type="dxa"/>
            </w:tcMar>
            <w:vAlign w:val="center"/>
          </w:tcPr>
          <w:p>
            <w:pPr>
              <w:pStyle w:val="TableContents"/>
              <w:spacing w:before="0" w:after="0"/>
              <w:ind w:left="0" w:right="0" w:hanging="0"/>
              <w:rPr/>
            </w:pPr>
            <w:r>
              <w:rPr/>
              <w:t>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CCEEFF" w:val="clear"/>
            <w:vAlign w:val="center"/>
          </w:tcPr>
          <w:p>
            <w:pPr>
              <w:pStyle w:val="TableContents"/>
              <w:spacing w:before="0" w:after="0"/>
              <w:ind w:left="0" w:right="0" w:hanging="0"/>
              <w:rPr/>
            </w:pPr>
            <w:r>
              <w:rPr/>
              <w:t> </w:t>
            </w:r>
          </w:p>
        </w:tc>
        <w:tc>
          <w:tcPr>
            <w:tcW w:w="470" w:type="dxa"/>
            <w:tcBorders>
              <w:bottom w:val="single" w:sz="2" w:space="0" w:color="000000"/>
            </w:tcBorders>
            <w:shd w:fill="CCEEFF" w:val="clear"/>
            <w:vAlign w:val="center"/>
          </w:tcPr>
          <w:p>
            <w:pPr>
              <w:pStyle w:val="TableContents"/>
              <w:spacing w:before="0" w:after="283"/>
              <w:jc w:val="right"/>
              <w:rPr/>
            </w:pPr>
            <w:r>
              <w:rPr/>
              <w:t>(0.1</w:t>
            </w:r>
          </w:p>
        </w:tc>
        <w:tc>
          <w:tcPr>
            <w:tcW w:w="245" w:type="dxa"/>
            <w:tcBorders/>
            <w:shd w:fill="CCEEFF" w:val="clear"/>
            <w:tcMar>
              <w:bottom w:w="0" w:type="dxa"/>
            </w:tcMar>
            <w:vAlign w:val="center"/>
          </w:tcPr>
          <w:p>
            <w:pPr>
              <w:pStyle w:val="TableContents"/>
              <w:spacing w:before="0" w:after="283"/>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bottom w:val="single" w:sz="2" w:space="0" w:color="000000"/>
            </w:tcBorders>
            <w:shd w:fill="CCEEFF" w:val="clear"/>
            <w:vAlign w:val="center"/>
          </w:tcPr>
          <w:p>
            <w:pPr>
              <w:pStyle w:val="TableContents"/>
              <w:spacing w:before="0" w:after="0"/>
              <w:ind w:left="0" w:right="0" w:hanging="0"/>
              <w:rPr/>
            </w:pPr>
            <w:r>
              <w:rPr/>
              <w:t> </w:t>
            </w:r>
          </w:p>
        </w:tc>
        <w:tc>
          <w:tcPr>
            <w:tcW w:w="1085" w:type="dxa"/>
            <w:tcBorders>
              <w:bottom w:val="single" w:sz="2" w:space="0" w:color="000000"/>
            </w:tcBorders>
            <w:shd w:fill="CCEEFF" w:val="clear"/>
            <w:vAlign w:val="center"/>
          </w:tcPr>
          <w:p>
            <w:pPr>
              <w:pStyle w:val="TableContents"/>
              <w:spacing w:before="0" w:after="283"/>
              <w:jc w:val="right"/>
              <w:rPr/>
            </w:pPr>
            <w:r>
              <w:rPr/>
              <w:t>(49,657</w:t>
            </w:r>
          </w:p>
        </w:tc>
        <w:tc>
          <w:tcPr>
            <w:tcW w:w="125" w:type="dxa"/>
            <w:tcBorders/>
            <w:shd w:fill="CCEEFF" w:val="clear"/>
            <w:tcMar>
              <w:bottom w:w="0" w:type="dxa"/>
            </w:tcMar>
            <w:vAlign w:val="center"/>
          </w:tcPr>
          <w:p>
            <w:pPr>
              <w:pStyle w:val="TableContents"/>
              <w:spacing w:before="0" w:after="283"/>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single" w:sz="2" w:space="0" w:color="000000"/>
            </w:tcBorders>
            <w:shd w:fill="CCEEFF" w:val="clear"/>
            <w:vAlign w:val="center"/>
          </w:tcPr>
          <w:p>
            <w:pPr>
              <w:pStyle w:val="TableContents"/>
              <w:spacing w:before="0" w:after="0"/>
              <w:ind w:left="0" w:right="0" w:hanging="0"/>
              <w:rPr/>
            </w:pPr>
            <w:r>
              <w:rPr/>
              <w:t> </w:t>
            </w:r>
          </w:p>
        </w:tc>
        <w:tc>
          <w:tcPr>
            <w:tcW w:w="470" w:type="dxa"/>
            <w:tcBorders>
              <w:bottom w:val="single" w:sz="2" w:space="0" w:color="000000"/>
            </w:tcBorders>
            <w:shd w:fill="CCEEFF" w:val="clear"/>
            <w:vAlign w:val="center"/>
          </w:tcPr>
          <w:p>
            <w:pPr>
              <w:pStyle w:val="TableContents"/>
              <w:spacing w:before="0" w:after="283"/>
              <w:jc w:val="right"/>
              <w:rPr/>
            </w:pPr>
            <w:r>
              <w:rPr/>
              <w:t>0.5</w:t>
            </w:r>
          </w:p>
        </w:tc>
        <w:tc>
          <w:tcPr>
            <w:tcW w:w="290" w:type="dxa"/>
            <w:tcBorders/>
            <w:shd w:fill="CCEEFF" w:val="clear"/>
            <w:tcMar>
              <w:bottom w:w="0" w:type="dxa"/>
            </w:tcMar>
            <w:vAlign w:val="center"/>
          </w:tcPr>
          <w:p>
            <w:pPr>
              <w:pStyle w:val="TableContents"/>
              <w:spacing w:before="0" w:after="0"/>
              <w:ind w:left="0" w:right="0" w:hanging="0"/>
              <w:rPr/>
            </w:pPr>
            <w:r>
              <w:rPr/>
              <w:t> </w:t>
            </w:r>
          </w:p>
        </w:tc>
      </w:tr>
      <w:tr>
        <w:trPr/>
        <w:tc>
          <w:tcPr>
            <w:tcW w:w="543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10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470" w:type="dxa"/>
            <w:tcBorders/>
            <w:shd w:fill="FFFFFF" w:val="clear"/>
            <w:tcMar>
              <w:bottom w:w="0" w:type="dxa"/>
            </w:tcMar>
            <w:vAlign w:val="center"/>
          </w:tcPr>
          <w:p>
            <w:pPr>
              <w:pStyle w:val="TableContents"/>
              <w:spacing w:before="0" w:after="0"/>
              <w:ind w:left="0" w:right="0" w:hanging="0"/>
              <w:rPr/>
            </w:pPr>
            <w:r>
              <w:rPr/>
              <w:t> </w:t>
            </w:r>
          </w:p>
        </w:tc>
        <w:tc>
          <w:tcPr>
            <w:tcW w:w="24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170" w:type="dxa"/>
            <w:tcBorders/>
            <w:shd w:fill="FFFFFF" w:val="clear"/>
            <w:tcMar>
              <w:bottom w:w="0" w:type="dxa"/>
            </w:tcMar>
            <w:vAlign w:val="center"/>
          </w:tcPr>
          <w:p>
            <w:pPr>
              <w:pStyle w:val="TableContents"/>
              <w:spacing w:before="0" w:after="0"/>
              <w:ind w:left="0" w:right="0" w:hanging="0"/>
              <w:rPr/>
            </w:pPr>
            <w:r>
              <w:rPr/>
              <w:t> </w:t>
            </w:r>
          </w:p>
        </w:tc>
        <w:tc>
          <w:tcPr>
            <w:tcW w:w="1085" w:type="dxa"/>
            <w:tcBorders/>
            <w:shd w:fill="FFFFFF" w:val="clear"/>
            <w:tcMar>
              <w:bottom w:w="0" w:type="dxa"/>
            </w:tcMar>
            <w:vAlign w:val="center"/>
          </w:tcPr>
          <w:p>
            <w:pPr>
              <w:pStyle w:val="TableContents"/>
              <w:spacing w:before="0" w:after="0"/>
              <w:ind w:left="0" w:right="0" w:hanging="0"/>
              <w:rPr/>
            </w:pPr>
            <w:r>
              <w:rPr/>
              <w:t> </w:t>
            </w:r>
          </w:p>
        </w:tc>
        <w:tc>
          <w:tcPr>
            <w:tcW w:w="125"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90" w:type="dxa"/>
            <w:tcBorders/>
            <w:shd w:fill="FFFFFF" w:val="clear"/>
            <w:tcMar>
              <w:bottom w:w="0" w:type="dxa"/>
            </w:tcMar>
            <w:vAlign w:val="center"/>
          </w:tcPr>
          <w:p>
            <w:pPr>
              <w:pStyle w:val="TableContents"/>
              <w:spacing w:before="0" w:after="0"/>
              <w:ind w:left="0" w:right="0" w:hanging="0"/>
              <w:rPr/>
            </w:pPr>
            <w:r>
              <w:rPr/>
              <w:t> </w:t>
            </w:r>
          </w:p>
        </w:tc>
        <w:tc>
          <w:tcPr>
            <w:tcW w:w="470" w:type="dxa"/>
            <w:tcBorders/>
            <w:shd w:fill="FFFFFF" w:val="clear"/>
            <w:tcMar>
              <w:bottom w:w="0" w:type="dxa"/>
            </w:tcMar>
            <w:vAlign w:val="center"/>
          </w:tcPr>
          <w:p>
            <w:pPr>
              <w:pStyle w:val="TableContents"/>
              <w:spacing w:before="0" w:after="0"/>
              <w:ind w:left="0" w:right="0" w:hanging="0"/>
              <w:rPr/>
            </w:pPr>
            <w:r>
              <w:rPr/>
              <w:t> </w:t>
            </w:r>
          </w:p>
        </w:tc>
        <w:tc>
          <w:tcPr>
            <w:tcW w:w="290" w:type="dxa"/>
            <w:tcBorders/>
            <w:shd w:fill="FFFFFF" w:val="clear"/>
            <w:tcMar>
              <w:bottom w:w="0" w:type="dxa"/>
            </w:tcMar>
            <w:vAlign w:val="center"/>
          </w:tcPr>
          <w:p>
            <w:pPr>
              <w:pStyle w:val="TableContents"/>
              <w:spacing w:before="0" w:after="0"/>
              <w:ind w:left="0" w:right="0" w:hanging="0"/>
              <w:rPr/>
            </w:pPr>
            <w:r>
              <w:rPr/>
              <w:t> </w:t>
            </w:r>
          </w:p>
        </w:tc>
      </w:tr>
      <w:tr>
        <w:trPr/>
        <w:tc>
          <w:tcPr>
            <w:tcW w:w="5430" w:type="dxa"/>
            <w:tcBorders/>
            <w:shd w:fill="CCEEFF" w:val="clear"/>
            <w:tcMar>
              <w:bottom w:w="0" w:type="dxa"/>
            </w:tcMar>
            <w:vAlign w:val="center"/>
          </w:tcPr>
          <w:p>
            <w:pPr>
              <w:pStyle w:val="TableContents"/>
              <w:spacing w:before="0" w:after="283"/>
              <w:rPr/>
            </w:pPr>
            <w:r>
              <w:rPr/>
              <w:t xml:space="preserve">Income tax benefit, as reported </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bottom w:val="double" w:sz="5" w:space="0" w:color="000000"/>
            </w:tcBorders>
            <w:shd w:fill="CCEEFF" w:val="clear"/>
            <w:vAlign w:val="center"/>
          </w:tcPr>
          <w:p>
            <w:pPr>
              <w:pStyle w:val="TableContents"/>
              <w:spacing w:before="0" w:after="283"/>
              <w:rPr/>
            </w:pPr>
            <w:r>
              <w:rPr/>
              <w:t>$</w:t>
            </w:r>
          </w:p>
        </w:tc>
        <w:tc>
          <w:tcPr>
            <w:tcW w:w="1085" w:type="dxa"/>
            <w:tcBorders>
              <w:bottom w:val="double" w:sz="5" w:space="0" w:color="000000"/>
            </w:tcBorders>
            <w:shd w:fill="CCEEFF" w:val="clear"/>
            <w:vAlign w:val="center"/>
          </w:tcPr>
          <w:p>
            <w:pPr>
              <w:pStyle w:val="TableContents"/>
              <w:spacing w:before="0" w:after="283"/>
              <w:jc w:val="right"/>
              <w:rPr/>
            </w:pPr>
            <w:r>
              <w:rPr/>
              <w:t>(5,417,546</w:t>
            </w:r>
          </w:p>
        </w:tc>
        <w:tc>
          <w:tcPr>
            <w:tcW w:w="125" w:type="dxa"/>
            <w:tcBorders/>
            <w:shd w:fill="CCEEFF" w:val="clear"/>
            <w:tcMar>
              <w:bottom w:w="0" w:type="dxa"/>
            </w:tcMar>
            <w:vAlign w:val="center"/>
          </w:tcPr>
          <w:p>
            <w:pPr>
              <w:pStyle w:val="TableContents"/>
              <w:spacing w:before="0" w:after="283"/>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double" w:sz="5" w:space="0" w:color="000000"/>
            </w:tcBorders>
            <w:shd w:fill="CCEEFF" w:val="clear"/>
            <w:vAlign w:val="center"/>
          </w:tcPr>
          <w:p>
            <w:pPr>
              <w:pStyle w:val="TableContents"/>
              <w:spacing w:before="0" w:after="0"/>
              <w:ind w:left="0" w:right="0" w:hanging="0"/>
              <w:rPr/>
            </w:pPr>
            <w:r>
              <w:rPr/>
              <w:t> </w:t>
            </w:r>
          </w:p>
        </w:tc>
        <w:tc>
          <w:tcPr>
            <w:tcW w:w="470" w:type="dxa"/>
            <w:tcBorders>
              <w:bottom w:val="double" w:sz="5" w:space="0" w:color="000000"/>
            </w:tcBorders>
            <w:shd w:fill="CCEEFF" w:val="clear"/>
            <w:vAlign w:val="center"/>
          </w:tcPr>
          <w:p>
            <w:pPr>
              <w:pStyle w:val="TableContents"/>
              <w:spacing w:before="0" w:after="283"/>
              <w:jc w:val="right"/>
              <w:rPr/>
            </w:pPr>
            <w:r>
              <w:rPr/>
              <w:t>19.4</w:t>
            </w:r>
          </w:p>
        </w:tc>
        <w:tc>
          <w:tcPr>
            <w:tcW w:w="245" w:type="dxa"/>
            <w:tcBorders/>
            <w:shd w:fill="CCEEFF" w:val="clear"/>
            <w:tcMar>
              <w:bottom w:w="0" w:type="dxa"/>
            </w:tcMar>
            <w:vAlign w:val="center"/>
          </w:tcPr>
          <w:p>
            <w:pPr>
              <w:pStyle w:val="TableContents"/>
              <w:spacing w:before="0" w:after="283"/>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170" w:type="dxa"/>
            <w:tcBorders>
              <w:bottom w:val="double" w:sz="5" w:space="0" w:color="000000"/>
            </w:tcBorders>
            <w:shd w:fill="CCEEFF" w:val="clear"/>
            <w:vAlign w:val="center"/>
          </w:tcPr>
          <w:p>
            <w:pPr>
              <w:pStyle w:val="TableContents"/>
              <w:spacing w:before="0" w:after="283"/>
              <w:rPr/>
            </w:pPr>
            <w:r>
              <w:rPr/>
              <w:t>$</w:t>
            </w:r>
          </w:p>
        </w:tc>
        <w:tc>
          <w:tcPr>
            <w:tcW w:w="1085" w:type="dxa"/>
            <w:tcBorders>
              <w:bottom w:val="double" w:sz="5" w:space="0" w:color="000000"/>
            </w:tcBorders>
            <w:shd w:fill="CCEEFF" w:val="clear"/>
            <w:vAlign w:val="center"/>
          </w:tcPr>
          <w:p>
            <w:pPr>
              <w:pStyle w:val="TableContents"/>
              <w:spacing w:before="0" w:after="283"/>
              <w:jc w:val="right"/>
              <w:rPr/>
            </w:pPr>
            <w:r>
              <w:rPr/>
              <w:t>(2,031,136</w:t>
            </w:r>
          </w:p>
        </w:tc>
        <w:tc>
          <w:tcPr>
            <w:tcW w:w="125" w:type="dxa"/>
            <w:tcBorders/>
            <w:shd w:fill="CCEEFF" w:val="clear"/>
            <w:tcMar>
              <w:bottom w:w="0" w:type="dxa"/>
            </w:tcMar>
            <w:vAlign w:val="center"/>
          </w:tcPr>
          <w:p>
            <w:pPr>
              <w:pStyle w:val="TableContents"/>
              <w:spacing w:before="0" w:after="283"/>
              <w:rPr/>
            </w:pPr>
            <w:r>
              <w:rPr/>
              <w:t>)</w:t>
            </w:r>
          </w:p>
        </w:tc>
        <w:tc>
          <w:tcPr>
            <w:tcW w:w="90" w:type="dxa"/>
            <w:tcBorders/>
            <w:shd w:fill="CCEEFF" w:val="clear"/>
            <w:tcMar>
              <w:bottom w:w="0" w:type="dxa"/>
            </w:tcMar>
            <w:vAlign w:val="center"/>
          </w:tcPr>
          <w:p>
            <w:pPr>
              <w:pStyle w:val="TableContents"/>
              <w:spacing w:before="0" w:after="0"/>
              <w:ind w:left="0" w:right="0" w:hanging="0"/>
              <w:rPr/>
            </w:pPr>
            <w:r>
              <w:rPr/>
              <w:t> </w:t>
            </w:r>
          </w:p>
        </w:tc>
        <w:tc>
          <w:tcPr>
            <w:tcW w:w="90" w:type="dxa"/>
            <w:tcBorders>
              <w:bottom w:val="double" w:sz="5" w:space="0" w:color="000000"/>
            </w:tcBorders>
            <w:shd w:fill="CCEEFF" w:val="clear"/>
            <w:vAlign w:val="center"/>
          </w:tcPr>
          <w:p>
            <w:pPr>
              <w:pStyle w:val="TableContents"/>
              <w:spacing w:before="0" w:after="0"/>
              <w:ind w:left="0" w:right="0" w:hanging="0"/>
              <w:rPr/>
            </w:pPr>
            <w:r>
              <w:rPr/>
              <w:t> </w:t>
            </w:r>
          </w:p>
        </w:tc>
        <w:tc>
          <w:tcPr>
            <w:tcW w:w="470" w:type="dxa"/>
            <w:tcBorders>
              <w:bottom w:val="double" w:sz="5" w:space="0" w:color="000000"/>
            </w:tcBorders>
            <w:shd w:fill="CCEEFF" w:val="clear"/>
            <w:vAlign w:val="center"/>
          </w:tcPr>
          <w:p>
            <w:pPr>
              <w:pStyle w:val="TableContents"/>
              <w:spacing w:before="0" w:after="283"/>
              <w:jc w:val="right"/>
              <w:rPr/>
            </w:pPr>
            <w:r>
              <w:rPr/>
              <w:t>21.6</w:t>
            </w:r>
          </w:p>
        </w:tc>
        <w:tc>
          <w:tcPr>
            <w:tcW w:w="290" w:type="dxa"/>
            <w:tcBorders/>
            <w:shd w:fill="CCEEFF" w:val="clear"/>
            <w:tcMar>
              <w:bottom w:w="0" w:type="dxa"/>
            </w:tcMar>
            <w:vAlign w:val="center"/>
          </w:tcPr>
          <w:p>
            <w:pPr>
              <w:pStyle w:val="TableContents"/>
              <w:spacing w:before="0" w:after="283"/>
              <w:rPr/>
            </w:pPr>
            <w:r>
              <w:rPr/>
              <w:t>%</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Deferred tax assets and liabilities are determined using the enacted tax rates applicable to the period the temporary differences are expected to be recovered. Accordingly, the current period income tax provision can be affected by the enactment of new tax rates. The net deferred income taxes on the balance sheets reflect temporary differences between the carrying amounts of the assets and liabilities for financial reporting purposes and income tax purposes, tax effected at various rates depending on whether the temporary differences are subject to federal taxes, state taxes, or both.</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F-47</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2022 AND 2021</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Significant components of the Company’s deferred tax assets and liabilities are as follows:</w:t>
      </w:r>
    </w:p>
    <w:p>
      <w:pPr>
        <w:pStyle w:val="TextBody"/>
        <w:spacing w:before="0" w:after="0"/>
        <w:ind w:left="0" w:right="0" w:hanging="0"/>
        <w:jc w:val="both"/>
        <w:rPr/>
      </w:pPr>
      <w:r>
        <w:rPr/>
        <w:t> </w:t>
      </w:r>
    </w:p>
    <w:tbl>
      <w:tblPr>
        <w:tblW w:w="6373" w:type="dxa"/>
        <w:jc w:val="left"/>
        <w:tblInd w:w="0" w:type="dxa"/>
        <w:tblCellMar>
          <w:top w:w="0" w:type="dxa"/>
          <w:left w:w="0" w:type="dxa"/>
          <w:bottom w:w="0" w:type="dxa"/>
          <w:right w:w="0" w:type="dxa"/>
        </w:tblCellMar>
      </w:tblPr>
      <w:tblGrid>
        <w:gridCol w:w="3350"/>
        <w:gridCol w:w="90"/>
        <w:gridCol w:w="171"/>
        <w:gridCol w:w="1138"/>
        <w:gridCol w:w="90"/>
        <w:gridCol w:w="90"/>
        <w:gridCol w:w="188"/>
        <w:gridCol w:w="1121"/>
        <w:gridCol w:w="135"/>
      </w:tblGrid>
      <w:tr>
        <w:trPr/>
        <w:tc>
          <w:tcPr>
            <w:tcW w:w="335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9"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December 31,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9"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December 31, </w:t>
            </w:r>
          </w:p>
        </w:tc>
        <w:tc>
          <w:tcPr>
            <w:tcW w:w="135" w:type="dxa"/>
            <w:tcBorders/>
            <w:shd w:fill="auto" w:val="clear"/>
            <w:vAlign w:val="center"/>
          </w:tcPr>
          <w:p>
            <w:pPr>
              <w:pStyle w:val="TableContents"/>
              <w:spacing w:before="0" w:after="0"/>
              <w:ind w:left="0" w:right="0" w:hanging="0"/>
              <w:rPr/>
            </w:pPr>
            <w:r>
              <w:rPr/>
              <w:t> </w:t>
            </w:r>
          </w:p>
        </w:tc>
      </w:tr>
      <w:tr>
        <w:trPr/>
        <w:tc>
          <w:tcPr>
            <w:tcW w:w="335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2022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2021 </w:t>
            </w:r>
          </w:p>
        </w:tc>
        <w:tc>
          <w:tcPr>
            <w:tcW w:w="135" w:type="dxa"/>
            <w:tcBorders/>
            <w:shd w:fill="auto" w:val="clear"/>
            <w:vAlign w:val="center"/>
          </w:tcPr>
          <w:p>
            <w:pPr>
              <w:pStyle w:val="TableContents"/>
              <w:spacing w:before="0" w:after="0"/>
              <w:ind w:left="0" w:right="0" w:hanging="0"/>
              <w:rPr/>
            </w:pPr>
            <w:r>
              <w:rPr/>
              <w:t> </w:t>
            </w:r>
          </w:p>
        </w:tc>
      </w:tr>
      <w:tr>
        <w:trPr/>
        <w:tc>
          <w:tcPr>
            <w:tcW w:w="335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9"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9" w:type="dxa"/>
            <w:gridSpan w:val="2"/>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3350" w:type="dxa"/>
            <w:tcBorders/>
            <w:shd w:fill="auto" w:val="clear"/>
            <w:vAlign w:val="center"/>
          </w:tcPr>
          <w:p>
            <w:pPr>
              <w:pStyle w:val="TableContents"/>
              <w:spacing w:before="0" w:after="0"/>
              <w:ind w:left="0" w:right="0" w:hanging="0"/>
              <w:rPr/>
            </w:pPr>
            <w:r>
              <w:rPr/>
              <w:t> </w:t>
            </w:r>
            <w:r>
              <w:rPr>
                <w:rFonts w:ascii="times new roman" w:hAnsi="times new roman"/>
                <w:sz w:val="20"/>
              </w:rPr>
              <w:t xml:space="preserve">Deferred tax asset:  </w:t>
            </w:r>
          </w:p>
        </w:tc>
        <w:tc>
          <w:tcPr>
            <w:tcW w:w="90" w:type="dxa"/>
            <w:tcBorders/>
            <w:shd w:fill="auto" w:val="clear"/>
            <w:vAlign w:val="center"/>
          </w:tcPr>
          <w:p>
            <w:pPr>
              <w:pStyle w:val="TableContents"/>
              <w:spacing w:before="0" w:after="0"/>
              <w:ind w:left="0" w:right="0" w:hanging="0"/>
              <w:rPr/>
            </w:pPr>
            <w:r>
              <w:rPr/>
              <w:t> </w:t>
            </w:r>
          </w:p>
        </w:tc>
        <w:tc>
          <w:tcPr>
            <w:tcW w:w="1309"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9" w:type="dxa"/>
            <w:gridSpan w:val="2"/>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3350" w:type="dxa"/>
            <w:tcBorders/>
            <w:shd w:fill="CCEEFF" w:val="clear"/>
            <w:vAlign w:val="center"/>
          </w:tcPr>
          <w:p>
            <w:pPr>
              <w:pStyle w:val="TableContents"/>
              <w:spacing w:before="0" w:after="0"/>
              <w:ind w:left="0" w:right="0" w:firstLine="180"/>
              <w:rPr/>
            </w:pPr>
            <w:r>
              <w:rPr/>
              <w:t> </w:t>
            </w:r>
            <w:r>
              <w:rPr>
                <w:rFonts w:ascii="times new roman" w:hAnsi="times new roman"/>
                <w:sz w:val="20"/>
              </w:rPr>
              <w:t xml:space="preserve">Net operating loss carryovers (1) </w:t>
            </w:r>
          </w:p>
        </w:tc>
        <w:tc>
          <w:tcPr>
            <w:tcW w:w="90" w:type="dxa"/>
            <w:tcBorders/>
            <w:shd w:fill="CCEEFF" w:val="clear"/>
            <w:vAlign w:val="center"/>
          </w:tcPr>
          <w:p>
            <w:pPr>
              <w:pStyle w:val="TableContents"/>
              <w:spacing w:before="0" w:after="0"/>
              <w:ind w:left="0" w:right="0" w:hanging="0"/>
              <w:rPr/>
            </w:pPr>
            <w:r>
              <w:rPr/>
              <w:t> </w:t>
            </w:r>
          </w:p>
        </w:tc>
        <w:tc>
          <w:tcPr>
            <w:tcW w:w="171" w:type="dxa"/>
            <w:tcBorders/>
            <w:shd w:fill="CCEEFF" w:val="clear"/>
            <w:vAlign w:val="center"/>
          </w:tcPr>
          <w:p>
            <w:pPr>
              <w:pStyle w:val="TableContents"/>
              <w:spacing w:before="0" w:after="283"/>
              <w:rPr/>
            </w:pPr>
            <w:r>
              <w:rPr/>
              <w:t>$</w:t>
            </w:r>
          </w:p>
        </w:tc>
        <w:tc>
          <w:tcPr>
            <w:tcW w:w="1138" w:type="dxa"/>
            <w:tcBorders/>
            <w:shd w:fill="CCEEFF" w:val="clear"/>
            <w:vAlign w:val="center"/>
          </w:tcPr>
          <w:p>
            <w:pPr>
              <w:pStyle w:val="TableContents"/>
              <w:spacing w:before="0" w:after="283"/>
              <w:jc w:val="right"/>
              <w:rPr/>
            </w:pPr>
            <w:r>
              <w:rPr/>
              <w:t>3,828,947</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8" w:type="dxa"/>
            <w:tcBorders/>
            <w:shd w:fill="CCEEFF" w:val="clear"/>
            <w:vAlign w:val="center"/>
          </w:tcPr>
          <w:p>
            <w:pPr>
              <w:pStyle w:val="TableContents"/>
              <w:spacing w:before="0" w:after="283"/>
              <w:rPr/>
            </w:pPr>
            <w:r>
              <w:rPr/>
              <w:t>$</w:t>
            </w:r>
          </w:p>
        </w:tc>
        <w:tc>
          <w:tcPr>
            <w:tcW w:w="1121" w:type="dxa"/>
            <w:tcBorders/>
            <w:shd w:fill="CCEEFF" w:val="clear"/>
            <w:vAlign w:val="center"/>
          </w:tcPr>
          <w:p>
            <w:pPr>
              <w:pStyle w:val="TableContents"/>
              <w:spacing w:before="0" w:after="283"/>
              <w:jc w:val="right"/>
              <w:rPr/>
            </w:pPr>
            <w:r>
              <w:rPr/>
              <w:t>1,112,318</w:t>
            </w:r>
          </w:p>
        </w:tc>
        <w:tc>
          <w:tcPr>
            <w:tcW w:w="135" w:type="dxa"/>
            <w:tcBorders/>
            <w:shd w:fill="CCEEFF" w:val="clear"/>
            <w:vAlign w:val="center"/>
          </w:tcPr>
          <w:p>
            <w:pPr>
              <w:pStyle w:val="TableContents"/>
              <w:spacing w:before="0" w:after="0"/>
              <w:ind w:left="0" w:right="0" w:hanging="0"/>
              <w:rPr/>
            </w:pPr>
            <w:r>
              <w:rPr/>
              <w:t> </w:t>
            </w:r>
          </w:p>
        </w:tc>
      </w:tr>
      <w:tr>
        <w:trPr/>
        <w:tc>
          <w:tcPr>
            <w:tcW w:w="3350" w:type="dxa"/>
            <w:tcBorders/>
            <w:shd w:fill="FFFFFF" w:val="clear"/>
            <w:vAlign w:val="center"/>
          </w:tcPr>
          <w:p>
            <w:pPr>
              <w:pStyle w:val="TableContents"/>
              <w:spacing w:before="0" w:after="0"/>
              <w:ind w:left="0" w:right="0" w:firstLine="180"/>
              <w:rPr/>
            </w:pPr>
            <w:r>
              <w:rPr/>
              <w:t> </w:t>
            </w:r>
            <w:r>
              <w:rPr>
                <w:rFonts w:ascii="times new roman" w:hAnsi="times new roman"/>
                <w:sz w:val="20"/>
              </w:rPr>
              <w:t xml:space="preserve">Claims reserve discount  </w:t>
            </w:r>
          </w:p>
        </w:tc>
        <w:tc>
          <w:tcPr>
            <w:tcW w:w="90" w:type="dxa"/>
            <w:tcBorders/>
            <w:shd w:fill="FFFFFF" w:val="clear"/>
            <w:vAlign w:val="center"/>
          </w:tcPr>
          <w:p>
            <w:pPr>
              <w:pStyle w:val="TableContents"/>
              <w:spacing w:before="0" w:after="0"/>
              <w:ind w:left="0" w:right="0" w:hanging="0"/>
              <w:rPr/>
            </w:pPr>
            <w:r>
              <w:rPr/>
              <w:t> </w:t>
            </w:r>
          </w:p>
        </w:tc>
        <w:tc>
          <w:tcPr>
            <w:tcW w:w="171" w:type="dxa"/>
            <w:tcBorders/>
            <w:shd w:fill="FFFFFF" w:val="clear"/>
            <w:vAlign w:val="center"/>
          </w:tcPr>
          <w:p>
            <w:pPr>
              <w:pStyle w:val="TableContents"/>
              <w:spacing w:before="0" w:after="0"/>
              <w:ind w:left="0" w:right="0" w:hanging="0"/>
              <w:rPr/>
            </w:pPr>
            <w:r>
              <w:rPr/>
              <w:t> </w:t>
            </w:r>
          </w:p>
        </w:tc>
        <w:tc>
          <w:tcPr>
            <w:tcW w:w="1138" w:type="dxa"/>
            <w:tcBorders/>
            <w:shd w:fill="FFFFFF" w:val="clear"/>
            <w:vAlign w:val="center"/>
          </w:tcPr>
          <w:p>
            <w:pPr>
              <w:pStyle w:val="TableContents"/>
              <w:spacing w:before="0" w:after="283"/>
              <w:jc w:val="right"/>
              <w:rPr/>
            </w:pPr>
            <w:r>
              <w:rPr/>
              <w:t>1,238,544</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8" w:type="dxa"/>
            <w:tcBorders/>
            <w:shd w:fill="FFFFFF" w:val="clear"/>
            <w:vAlign w:val="center"/>
          </w:tcPr>
          <w:p>
            <w:pPr>
              <w:pStyle w:val="TableContents"/>
              <w:spacing w:before="0" w:after="0"/>
              <w:ind w:left="0" w:right="0" w:hanging="0"/>
              <w:rPr/>
            </w:pPr>
            <w:r>
              <w:rPr/>
              <w:t> </w:t>
            </w:r>
          </w:p>
        </w:tc>
        <w:tc>
          <w:tcPr>
            <w:tcW w:w="1121" w:type="dxa"/>
            <w:tcBorders/>
            <w:shd w:fill="FFFFFF" w:val="clear"/>
            <w:vAlign w:val="center"/>
          </w:tcPr>
          <w:p>
            <w:pPr>
              <w:pStyle w:val="TableContents"/>
              <w:spacing w:before="0" w:after="283"/>
              <w:jc w:val="right"/>
              <w:rPr/>
            </w:pPr>
            <w:r>
              <w:rPr/>
              <w:t>1,186,789</w:t>
            </w:r>
          </w:p>
        </w:tc>
        <w:tc>
          <w:tcPr>
            <w:tcW w:w="135" w:type="dxa"/>
            <w:tcBorders/>
            <w:shd w:fill="FFFFFF" w:val="clear"/>
            <w:vAlign w:val="center"/>
          </w:tcPr>
          <w:p>
            <w:pPr>
              <w:pStyle w:val="TableContents"/>
              <w:spacing w:before="0" w:after="0"/>
              <w:ind w:left="0" w:right="0" w:hanging="0"/>
              <w:rPr/>
            </w:pPr>
            <w:r>
              <w:rPr/>
              <w:t> </w:t>
            </w:r>
          </w:p>
        </w:tc>
      </w:tr>
      <w:tr>
        <w:trPr/>
        <w:tc>
          <w:tcPr>
            <w:tcW w:w="3350" w:type="dxa"/>
            <w:tcBorders/>
            <w:shd w:fill="CCEEFF" w:val="clear"/>
            <w:vAlign w:val="center"/>
          </w:tcPr>
          <w:p>
            <w:pPr>
              <w:pStyle w:val="TableContents"/>
              <w:spacing w:before="0" w:after="0"/>
              <w:ind w:left="0" w:right="0" w:firstLine="180"/>
              <w:rPr/>
            </w:pPr>
            <w:r>
              <w:rPr/>
              <w:t> </w:t>
            </w:r>
            <w:r>
              <w:rPr>
                <w:rFonts w:ascii="times new roman" w:hAnsi="times new roman"/>
                <w:sz w:val="20"/>
              </w:rPr>
              <w:t xml:space="preserve">Unearned premium  </w:t>
            </w:r>
          </w:p>
        </w:tc>
        <w:tc>
          <w:tcPr>
            <w:tcW w:w="90" w:type="dxa"/>
            <w:tcBorders/>
            <w:shd w:fill="CCEEFF" w:val="clear"/>
            <w:vAlign w:val="center"/>
          </w:tcPr>
          <w:p>
            <w:pPr>
              <w:pStyle w:val="TableContents"/>
              <w:spacing w:before="0" w:after="0"/>
              <w:ind w:left="0" w:right="0" w:hanging="0"/>
              <w:rPr/>
            </w:pPr>
            <w:r>
              <w:rPr/>
              <w:t> </w:t>
            </w:r>
          </w:p>
        </w:tc>
        <w:tc>
          <w:tcPr>
            <w:tcW w:w="171" w:type="dxa"/>
            <w:tcBorders/>
            <w:shd w:fill="CCEEFF" w:val="clear"/>
            <w:vAlign w:val="center"/>
          </w:tcPr>
          <w:p>
            <w:pPr>
              <w:pStyle w:val="TableContents"/>
              <w:spacing w:before="0" w:after="0"/>
              <w:ind w:left="0" w:right="0" w:hanging="0"/>
              <w:rPr/>
            </w:pPr>
            <w:r>
              <w:rPr/>
              <w:t> </w:t>
            </w:r>
          </w:p>
        </w:tc>
        <w:tc>
          <w:tcPr>
            <w:tcW w:w="1138" w:type="dxa"/>
            <w:tcBorders/>
            <w:shd w:fill="CCEEFF" w:val="clear"/>
            <w:vAlign w:val="center"/>
          </w:tcPr>
          <w:p>
            <w:pPr>
              <w:pStyle w:val="TableContents"/>
              <w:spacing w:before="0" w:after="283"/>
              <w:jc w:val="right"/>
              <w:rPr/>
            </w:pPr>
            <w:r>
              <w:rPr/>
              <w:t>3,574,840</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8" w:type="dxa"/>
            <w:tcBorders/>
            <w:shd w:fill="CCEEFF" w:val="clear"/>
            <w:vAlign w:val="center"/>
          </w:tcPr>
          <w:p>
            <w:pPr>
              <w:pStyle w:val="TableContents"/>
              <w:spacing w:before="0" w:after="0"/>
              <w:ind w:left="0" w:right="0" w:hanging="0"/>
              <w:rPr/>
            </w:pPr>
            <w:r>
              <w:rPr/>
              <w:t> </w:t>
            </w:r>
          </w:p>
        </w:tc>
        <w:tc>
          <w:tcPr>
            <w:tcW w:w="1121" w:type="dxa"/>
            <w:tcBorders/>
            <w:shd w:fill="CCEEFF" w:val="clear"/>
            <w:vAlign w:val="center"/>
          </w:tcPr>
          <w:p>
            <w:pPr>
              <w:pStyle w:val="TableContents"/>
              <w:spacing w:before="0" w:after="283"/>
              <w:jc w:val="right"/>
              <w:rPr/>
            </w:pPr>
            <w:r>
              <w:rPr/>
              <w:t>3,246,364</w:t>
            </w:r>
          </w:p>
        </w:tc>
        <w:tc>
          <w:tcPr>
            <w:tcW w:w="135" w:type="dxa"/>
            <w:tcBorders/>
            <w:shd w:fill="CCEEFF" w:val="clear"/>
            <w:vAlign w:val="center"/>
          </w:tcPr>
          <w:p>
            <w:pPr>
              <w:pStyle w:val="TableContents"/>
              <w:spacing w:before="0" w:after="0"/>
              <w:ind w:left="0" w:right="0" w:hanging="0"/>
              <w:rPr/>
            </w:pPr>
            <w:r>
              <w:rPr/>
              <w:t> </w:t>
            </w:r>
          </w:p>
        </w:tc>
      </w:tr>
      <w:tr>
        <w:trPr/>
        <w:tc>
          <w:tcPr>
            <w:tcW w:w="3350" w:type="dxa"/>
            <w:tcBorders/>
            <w:shd w:fill="FFFFFF" w:val="clear"/>
            <w:vAlign w:val="center"/>
          </w:tcPr>
          <w:p>
            <w:pPr>
              <w:pStyle w:val="TableContents"/>
              <w:spacing w:before="0" w:after="0"/>
              <w:ind w:left="0" w:right="0" w:firstLine="180"/>
              <w:rPr/>
            </w:pPr>
            <w:r>
              <w:rPr/>
              <w:t> </w:t>
            </w:r>
            <w:r>
              <w:rPr>
                <w:rFonts w:ascii="times new roman" w:hAnsi="times new roman"/>
                <w:sz w:val="20"/>
              </w:rPr>
              <w:t xml:space="preserve">Deferred ceding commission revenue </w:t>
            </w:r>
          </w:p>
        </w:tc>
        <w:tc>
          <w:tcPr>
            <w:tcW w:w="90" w:type="dxa"/>
            <w:tcBorders/>
            <w:shd w:fill="FFFFFF" w:val="clear"/>
            <w:vAlign w:val="center"/>
          </w:tcPr>
          <w:p>
            <w:pPr>
              <w:pStyle w:val="TableContents"/>
              <w:spacing w:before="0" w:after="0"/>
              <w:ind w:left="0" w:right="0" w:hanging="0"/>
              <w:rPr/>
            </w:pPr>
            <w:r>
              <w:rPr/>
              <w:t> </w:t>
            </w:r>
          </w:p>
        </w:tc>
        <w:tc>
          <w:tcPr>
            <w:tcW w:w="171" w:type="dxa"/>
            <w:tcBorders/>
            <w:shd w:fill="FFFFFF" w:val="clear"/>
            <w:vAlign w:val="center"/>
          </w:tcPr>
          <w:p>
            <w:pPr>
              <w:pStyle w:val="TableContents"/>
              <w:spacing w:before="0" w:after="0"/>
              <w:ind w:left="0" w:right="0" w:hanging="0"/>
              <w:rPr/>
            </w:pPr>
            <w:r>
              <w:rPr/>
              <w:t> </w:t>
            </w:r>
          </w:p>
        </w:tc>
        <w:tc>
          <w:tcPr>
            <w:tcW w:w="1138" w:type="dxa"/>
            <w:tcBorders/>
            <w:shd w:fill="FFFFFF" w:val="clear"/>
            <w:vAlign w:val="center"/>
          </w:tcPr>
          <w:p>
            <w:pPr>
              <w:pStyle w:val="TableContents"/>
              <w:spacing w:before="0" w:after="283"/>
              <w:jc w:val="right"/>
              <w:rPr/>
            </w:pPr>
            <w:r>
              <w:rPr/>
              <w:t>2,230,109</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8" w:type="dxa"/>
            <w:tcBorders/>
            <w:shd w:fill="FFFFFF" w:val="clear"/>
            <w:vAlign w:val="center"/>
          </w:tcPr>
          <w:p>
            <w:pPr>
              <w:pStyle w:val="TableContents"/>
              <w:spacing w:before="0" w:after="0"/>
              <w:ind w:left="0" w:right="0" w:hanging="0"/>
              <w:rPr/>
            </w:pPr>
            <w:r>
              <w:rPr/>
              <w:t> </w:t>
            </w:r>
          </w:p>
        </w:tc>
        <w:tc>
          <w:tcPr>
            <w:tcW w:w="1121" w:type="dxa"/>
            <w:tcBorders/>
            <w:shd w:fill="FFFFFF" w:val="clear"/>
            <w:vAlign w:val="center"/>
          </w:tcPr>
          <w:p>
            <w:pPr>
              <w:pStyle w:val="TableContents"/>
              <w:spacing w:before="0" w:after="283"/>
              <w:jc w:val="right"/>
              <w:rPr/>
            </w:pPr>
            <w:r>
              <w:rPr/>
              <w:t>2,047,187</w:t>
            </w:r>
          </w:p>
        </w:tc>
        <w:tc>
          <w:tcPr>
            <w:tcW w:w="135" w:type="dxa"/>
            <w:tcBorders/>
            <w:shd w:fill="FFFFFF" w:val="clear"/>
            <w:vAlign w:val="center"/>
          </w:tcPr>
          <w:p>
            <w:pPr>
              <w:pStyle w:val="TableContents"/>
              <w:spacing w:before="0" w:after="0"/>
              <w:ind w:left="0" w:right="0" w:hanging="0"/>
              <w:rPr/>
            </w:pPr>
            <w:r>
              <w:rPr/>
              <w:t> </w:t>
            </w:r>
          </w:p>
        </w:tc>
      </w:tr>
      <w:tr>
        <w:trPr/>
        <w:tc>
          <w:tcPr>
            <w:tcW w:w="3350" w:type="dxa"/>
            <w:tcBorders/>
            <w:shd w:fill="CCEEFF" w:val="clear"/>
            <w:vAlign w:val="center"/>
          </w:tcPr>
          <w:p>
            <w:pPr>
              <w:pStyle w:val="TableContents"/>
              <w:spacing w:before="0" w:after="0"/>
              <w:ind w:left="0" w:right="0" w:firstLine="180"/>
              <w:rPr/>
            </w:pPr>
            <w:r>
              <w:rPr/>
              <w:t> </w:t>
            </w:r>
            <w:r>
              <w:rPr>
                <w:rFonts w:ascii="times new roman" w:hAnsi="times new roman"/>
                <w:sz w:val="20"/>
              </w:rPr>
              <w:t xml:space="preserve">Net unrealized losses on securities </w:t>
            </w:r>
          </w:p>
        </w:tc>
        <w:tc>
          <w:tcPr>
            <w:tcW w:w="90" w:type="dxa"/>
            <w:tcBorders/>
            <w:shd w:fill="CCEEFF" w:val="clear"/>
            <w:vAlign w:val="center"/>
          </w:tcPr>
          <w:p>
            <w:pPr>
              <w:pStyle w:val="TableContents"/>
              <w:spacing w:before="0" w:after="0"/>
              <w:ind w:left="0" w:right="0" w:hanging="0"/>
              <w:rPr/>
            </w:pPr>
            <w:r>
              <w:rPr/>
              <w:t> </w:t>
            </w:r>
          </w:p>
        </w:tc>
        <w:tc>
          <w:tcPr>
            <w:tcW w:w="171" w:type="dxa"/>
            <w:tcBorders/>
            <w:shd w:fill="CCEEFF" w:val="clear"/>
            <w:vAlign w:val="center"/>
          </w:tcPr>
          <w:p>
            <w:pPr>
              <w:pStyle w:val="TableContents"/>
              <w:spacing w:before="0" w:after="0"/>
              <w:ind w:left="0" w:right="0" w:hanging="0"/>
              <w:rPr/>
            </w:pPr>
            <w:r>
              <w:rPr/>
              <w:t> </w:t>
            </w:r>
          </w:p>
        </w:tc>
        <w:tc>
          <w:tcPr>
            <w:tcW w:w="1138" w:type="dxa"/>
            <w:tcBorders/>
            <w:shd w:fill="CCEEFF" w:val="clear"/>
            <w:vAlign w:val="center"/>
          </w:tcPr>
          <w:p>
            <w:pPr>
              <w:pStyle w:val="TableContents"/>
              <w:spacing w:before="0" w:after="283"/>
              <w:jc w:val="right"/>
              <w:rPr/>
            </w:pPr>
            <w:r>
              <w:rPr/>
              <w:t>4,920,837</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8" w:type="dxa"/>
            <w:tcBorders/>
            <w:shd w:fill="CCEEFF" w:val="clear"/>
            <w:vAlign w:val="center"/>
          </w:tcPr>
          <w:p>
            <w:pPr>
              <w:pStyle w:val="TableContents"/>
              <w:spacing w:before="0" w:after="0"/>
              <w:ind w:left="0" w:right="0" w:hanging="0"/>
              <w:rPr/>
            </w:pPr>
            <w:r>
              <w:rPr/>
              <w:t> </w:t>
            </w:r>
          </w:p>
        </w:tc>
        <w:tc>
          <w:tcPr>
            <w:tcW w:w="1121" w:type="dxa"/>
            <w:tcBorders/>
            <w:shd w:fill="CCEEFF" w:val="clear"/>
            <w:vAlign w:val="center"/>
          </w:tcPr>
          <w:p>
            <w:pPr>
              <w:pStyle w:val="TableContents"/>
              <w:spacing w:before="0" w:after="283"/>
              <w:jc w:val="right"/>
              <w:rPr/>
            </w:pPr>
            <w:r>
              <w:rPr/>
              <w:t>-</w:t>
            </w:r>
          </w:p>
        </w:tc>
        <w:tc>
          <w:tcPr>
            <w:tcW w:w="135" w:type="dxa"/>
            <w:tcBorders/>
            <w:shd w:fill="CCEEFF" w:val="clear"/>
            <w:vAlign w:val="center"/>
          </w:tcPr>
          <w:p>
            <w:pPr>
              <w:pStyle w:val="TableContents"/>
              <w:spacing w:before="0" w:after="0"/>
              <w:ind w:left="0" w:right="0" w:hanging="0"/>
              <w:rPr/>
            </w:pPr>
            <w:r>
              <w:rPr/>
              <w:t> </w:t>
            </w:r>
          </w:p>
        </w:tc>
      </w:tr>
      <w:tr>
        <w:trPr/>
        <w:tc>
          <w:tcPr>
            <w:tcW w:w="3350" w:type="dxa"/>
            <w:tcBorders/>
            <w:shd w:fill="FFFFFF" w:val="clear"/>
            <w:vAlign w:val="center"/>
          </w:tcPr>
          <w:p>
            <w:pPr>
              <w:pStyle w:val="TableContents"/>
              <w:spacing w:before="0" w:after="0"/>
              <w:ind w:left="0" w:right="0" w:firstLine="180"/>
              <w:rPr/>
            </w:pPr>
            <w:r>
              <w:rPr/>
              <w:t> </w:t>
            </w:r>
            <w:r>
              <w:rPr>
                <w:rFonts w:ascii="times new roman" w:hAnsi="times new roman"/>
                <w:sz w:val="20"/>
              </w:rPr>
              <w:t xml:space="preserve">Other </w:t>
            </w:r>
          </w:p>
        </w:tc>
        <w:tc>
          <w:tcPr>
            <w:tcW w:w="90" w:type="dxa"/>
            <w:tcBorders/>
            <w:shd w:fill="FFFFFF" w:val="clear"/>
            <w:vAlign w:val="center"/>
          </w:tcPr>
          <w:p>
            <w:pPr>
              <w:pStyle w:val="TableContents"/>
              <w:spacing w:before="0" w:after="0"/>
              <w:ind w:left="0" w:right="0" w:hanging="0"/>
              <w:rPr/>
            </w:pPr>
            <w:r>
              <w:rPr/>
              <w:t> </w:t>
            </w:r>
          </w:p>
        </w:tc>
        <w:tc>
          <w:tcPr>
            <w:tcW w:w="171"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8" w:type="dxa"/>
            <w:tcBorders>
              <w:bottom w:val="single" w:sz="2" w:space="0" w:color="000000"/>
            </w:tcBorders>
            <w:shd w:fill="FFFFFF" w:val="clear"/>
            <w:tcMar>
              <w:bottom w:w="28" w:type="dxa"/>
            </w:tcMar>
            <w:vAlign w:val="center"/>
          </w:tcPr>
          <w:p>
            <w:pPr>
              <w:pStyle w:val="TableContents"/>
              <w:spacing w:before="0" w:after="283"/>
              <w:jc w:val="right"/>
              <w:rPr/>
            </w:pPr>
            <w:r>
              <w:rPr/>
              <w:t>503,692</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8"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21" w:type="dxa"/>
            <w:tcBorders>
              <w:bottom w:val="single" w:sz="2" w:space="0" w:color="000000"/>
            </w:tcBorders>
            <w:shd w:fill="FFFFFF" w:val="clear"/>
            <w:tcMar>
              <w:bottom w:w="28" w:type="dxa"/>
            </w:tcMar>
            <w:vAlign w:val="center"/>
          </w:tcPr>
          <w:p>
            <w:pPr>
              <w:pStyle w:val="TableContents"/>
              <w:spacing w:before="0" w:after="283"/>
              <w:jc w:val="right"/>
              <w:rPr/>
            </w:pPr>
            <w:r>
              <w:rPr/>
              <w:t>1,220,898</w:t>
            </w:r>
          </w:p>
        </w:tc>
        <w:tc>
          <w:tcPr>
            <w:tcW w:w="135" w:type="dxa"/>
            <w:tcBorders/>
            <w:shd w:fill="FFFFFF" w:val="clear"/>
            <w:vAlign w:val="center"/>
          </w:tcPr>
          <w:p>
            <w:pPr>
              <w:pStyle w:val="TableContents"/>
              <w:spacing w:before="0" w:after="0"/>
              <w:ind w:left="0" w:right="0" w:hanging="0"/>
              <w:rPr/>
            </w:pPr>
            <w:r>
              <w:rPr/>
              <w:t> </w:t>
            </w:r>
          </w:p>
        </w:tc>
      </w:tr>
      <w:tr>
        <w:trPr/>
        <w:tc>
          <w:tcPr>
            <w:tcW w:w="3350" w:type="dxa"/>
            <w:tcBorders/>
            <w:shd w:fill="CCEEFF" w:val="clear"/>
            <w:vAlign w:val="center"/>
          </w:tcPr>
          <w:p>
            <w:pPr>
              <w:pStyle w:val="TableContents"/>
              <w:spacing w:before="0" w:after="0"/>
              <w:ind w:left="0" w:right="0" w:hanging="0"/>
              <w:rPr/>
            </w:pPr>
            <w:r>
              <w:rPr/>
              <w:t> </w:t>
            </w:r>
            <w:r>
              <w:rPr>
                <w:rFonts w:ascii="times new roman" w:hAnsi="times new roman"/>
                <w:sz w:val="20"/>
              </w:rPr>
              <w:t xml:space="preserve">Total deferred tax assets  </w:t>
            </w:r>
          </w:p>
        </w:tc>
        <w:tc>
          <w:tcPr>
            <w:tcW w:w="90" w:type="dxa"/>
            <w:tcBorders/>
            <w:shd w:fill="CCEEFF" w:val="clear"/>
            <w:vAlign w:val="center"/>
          </w:tcPr>
          <w:p>
            <w:pPr>
              <w:pStyle w:val="TableContents"/>
              <w:spacing w:before="0" w:after="0"/>
              <w:ind w:left="0" w:right="0" w:hanging="0"/>
              <w:rPr/>
            </w:pPr>
            <w:r>
              <w:rPr/>
              <w:t> </w:t>
            </w:r>
          </w:p>
        </w:tc>
        <w:tc>
          <w:tcPr>
            <w:tcW w:w="17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8" w:type="dxa"/>
            <w:tcBorders>
              <w:bottom w:val="single" w:sz="2" w:space="0" w:color="000000"/>
            </w:tcBorders>
            <w:shd w:fill="CCEEFF" w:val="clear"/>
            <w:tcMar>
              <w:bottom w:w="28" w:type="dxa"/>
            </w:tcMar>
            <w:vAlign w:val="center"/>
          </w:tcPr>
          <w:p>
            <w:pPr>
              <w:pStyle w:val="TableContents"/>
              <w:spacing w:before="0" w:after="283"/>
              <w:jc w:val="right"/>
              <w:rPr/>
            </w:pPr>
            <w:r>
              <w:rPr/>
              <w:t>16,296,969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21" w:type="dxa"/>
            <w:tcBorders>
              <w:bottom w:val="single" w:sz="2" w:space="0" w:color="000000"/>
            </w:tcBorders>
            <w:shd w:fill="CCEEFF" w:val="clear"/>
            <w:tcMar>
              <w:bottom w:w="28" w:type="dxa"/>
            </w:tcMar>
            <w:vAlign w:val="center"/>
          </w:tcPr>
          <w:p>
            <w:pPr>
              <w:pStyle w:val="TableContents"/>
              <w:spacing w:before="0" w:after="283"/>
              <w:jc w:val="right"/>
              <w:rPr/>
            </w:pPr>
            <w:r>
              <w:rPr/>
              <w:t>8,813,556</w:t>
            </w:r>
          </w:p>
        </w:tc>
        <w:tc>
          <w:tcPr>
            <w:tcW w:w="135" w:type="dxa"/>
            <w:tcBorders/>
            <w:shd w:fill="CCEEFF" w:val="clear"/>
            <w:vAlign w:val="center"/>
          </w:tcPr>
          <w:p>
            <w:pPr>
              <w:pStyle w:val="TableContents"/>
              <w:spacing w:before="0" w:after="0"/>
              <w:ind w:left="0" w:right="0" w:hanging="0"/>
              <w:rPr/>
            </w:pPr>
            <w:r>
              <w:rPr/>
              <w:t> </w:t>
            </w:r>
          </w:p>
        </w:tc>
      </w:tr>
      <w:tr>
        <w:trPr/>
        <w:tc>
          <w:tcPr>
            <w:tcW w:w="33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1" w:type="dxa"/>
            <w:tcBorders/>
            <w:shd w:fill="FFFFFF" w:val="clear"/>
            <w:vAlign w:val="center"/>
          </w:tcPr>
          <w:p>
            <w:pPr>
              <w:pStyle w:val="TableContents"/>
              <w:spacing w:before="0" w:after="0"/>
              <w:ind w:left="0" w:right="0" w:hanging="0"/>
              <w:rPr/>
            </w:pPr>
            <w:r>
              <w:rPr/>
              <w:t> </w:t>
            </w:r>
          </w:p>
        </w:tc>
        <w:tc>
          <w:tcPr>
            <w:tcW w:w="113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8" w:type="dxa"/>
            <w:tcBorders/>
            <w:shd w:fill="FFFFFF" w:val="clear"/>
            <w:vAlign w:val="center"/>
          </w:tcPr>
          <w:p>
            <w:pPr>
              <w:pStyle w:val="TableContents"/>
              <w:spacing w:before="0" w:after="0"/>
              <w:ind w:left="0" w:right="0" w:hanging="0"/>
              <w:rPr/>
            </w:pPr>
            <w:r>
              <w:rPr/>
              <w:t> </w:t>
            </w:r>
          </w:p>
        </w:tc>
        <w:tc>
          <w:tcPr>
            <w:tcW w:w="1121" w:type="dxa"/>
            <w:tcBorders/>
            <w:shd w:fill="FFFFFF" w:val="clear"/>
            <w:vAlign w:val="center"/>
          </w:tcPr>
          <w:p>
            <w:pPr>
              <w:pStyle w:val="TableContents"/>
              <w:spacing w:before="0" w:after="0"/>
              <w:ind w:left="0" w:right="0" w:hanging="0"/>
              <w:rPr/>
            </w:pPr>
            <w:r>
              <w:rPr/>
              <w:t> </w:t>
            </w:r>
          </w:p>
        </w:tc>
        <w:tc>
          <w:tcPr>
            <w:tcW w:w="135" w:type="dxa"/>
            <w:tcBorders/>
            <w:shd w:fill="FFFFFF" w:val="clear"/>
            <w:vAlign w:val="center"/>
          </w:tcPr>
          <w:p>
            <w:pPr>
              <w:pStyle w:val="TableContents"/>
              <w:spacing w:before="0" w:after="0"/>
              <w:ind w:left="0" w:right="0" w:hanging="0"/>
              <w:rPr/>
            </w:pPr>
            <w:r>
              <w:rPr/>
              <w:t> </w:t>
            </w:r>
          </w:p>
        </w:tc>
      </w:tr>
      <w:tr>
        <w:trPr/>
        <w:tc>
          <w:tcPr>
            <w:tcW w:w="3350" w:type="dxa"/>
            <w:tcBorders/>
            <w:shd w:fill="CCEEFF" w:val="clear"/>
            <w:vAlign w:val="center"/>
          </w:tcPr>
          <w:p>
            <w:pPr>
              <w:pStyle w:val="TableContents"/>
              <w:spacing w:before="0" w:after="0"/>
              <w:ind w:left="0" w:right="0" w:hanging="0"/>
              <w:rPr/>
            </w:pPr>
            <w:r>
              <w:rPr/>
              <w:t> </w:t>
            </w:r>
            <w:r>
              <w:rPr>
                <w:rFonts w:ascii="times new roman" w:hAnsi="times new roman"/>
                <w:sz w:val="20"/>
              </w:rPr>
              <w:t xml:space="preserve">Deferred tax liability:  </w:t>
            </w:r>
          </w:p>
        </w:tc>
        <w:tc>
          <w:tcPr>
            <w:tcW w:w="90" w:type="dxa"/>
            <w:tcBorders/>
            <w:shd w:fill="CCEEFF" w:val="clear"/>
            <w:vAlign w:val="center"/>
          </w:tcPr>
          <w:p>
            <w:pPr>
              <w:pStyle w:val="TableContents"/>
              <w:spacing w:before="0" w:after="0"/>
              <w:ind w:left="0" w:right="0" w:hanging="0"/>
              <w:rPr/>
            </w:pPr>
            <w:r>
              <w:rPr/>
              <w:t> </w:t>
            </w:r>
          </w:p>
        </w:tc>
        <w:tc>
          <w:tcPr>
            <w:tcW w:w="171" w:type="dxa"/>
            <w:tcBorders/>
            <w:shd w:fill="CCEEFF" w:val="clear"/>
            <w:vAlign w:val="center"/>
          </w:tcPr>
          <w:p>
            <w:pPr>
              <w:pStyle w:val="TableContents"/>
              <w:spacing w:before="0" w:after="0"/>
              <w:ind w:left="0" w:right="0" w:hanging="0"/>
              <w:rPr/>
            </w:pPr>
            <w:r>
              <w:rPr/>
              <w:t> </w:t>
            </w:r>
          </w:p>
        </w:tc>
        <w:tc>
          <w:tcPr>
            <w:tcW w:w="1138"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8" w:type="dxa"/>
            <w:tcBorders/>
            <w:shd w:fill="CCEEFF" w:val="clear"/>
            <w:vAlign w:val="center"/>
          </w:tcPr>
          <w:p>
            <w:pPr>
              <w:pStyle w:val="TableContents"/>
              <w:spacing w:before="0" w:after="0"/>
              <w:ind w:left="0" w:right="0" w:hanging="0"/>
              <w:rPr/>
            </w:pPr>
            <w:r>
              <w:rPr/>
              <w:t> </w:t>
            </w:r>
          </w:p>
        </w:tc>
        <w:tc>
          <w:tcPr>
            <w:tcW w:w="1121" w:type="dxa"/>
            <w:tcBorders/>
            <w:shd w:fill="CCEEFF" w:val="clear"/>
            <w:vAlign w:val="center"/>
          </w:tcPr>
          <w:p>
            <w:pPr>
              <w:pStyle w:val="TableContents"/>
              <w:spacing w:before="0" w:after="0"/>
              <w:ind w:left="0" w:right="0" w:hanging="0"/>
              <w:rPr/>
            </w:pPr>
            <w:r>
              <w:rPr/>
              <w:t> </w:t>
            </w:r>
          </w:p>
        </w:tc>
        <w:tc>
          <w:tcPr>
            <w:tcW w:w="135" w:type="dxa"/>
            <w:tcBorders/>
            <w:shd w:fill="CCEEFF" w:val="clear"/>
            <w:vAlign w:val="center"/>
          </w:tcPr>
          <w:p>
            <w:pPr>
              <w:pStyle w:val="TableContents"/>
              <w:spacing w:before="0" w:after="0"/>
              <w:ind w:left="0" w:right="0" w:hanging="0"/>
              <w:rPr/>
            </w:pPr>
            <w:r>
              <w:rPr/>
              <w:t> </w:t>
            </w:r>
          </w:p>
        </w:tc>
      </w:tr>
      <w:tr>
        <w:trPr/>
        <w:tc>
          <w:tcPr>
            <w:tcW w:w="3350" w:type="dxa"/>
            <w:tcBorders/>
            <w:shd w:fill="FFFFFF" w:val="clear"/>
            <w:vAlign w:val="center"/>
          </w:tcPr>
          <w:p>
            <w:pPr>
              <w:pStyle w:val="TableContents"/>
              <w:spacing w:before="0" w:after="0"/>
              <w:ind w:left="0" w:right="0" w:firstLine="180"/>
              <w:rPr/>
            </w:pPr>
            <w:r>
              <w:rPr/>
              <w:t> </w:t>
            </w:r>
            <w:r>
              <w:rPr>
                <w:rFonts w:ascii="times new roman" w:hAnsi="times new roman"/>
                <w:sz w:val="20"/>
              </w:rPr>
              <w:t xml:space="preserve">Investment in KICO (2) </w:t>
            </w:r>
          </w:p>
        </w:tc>
        <w:tc>
          <w:tcPr>
            <w:tcW w:w="90" w:type="dxa"/>
            <w:tcBorders/>
            <w:shd w:fill="FFFFFF" w:val="clear"/>
            <w:vAlign w:val="center"/>
          </w:tcPr>
          <w:p>
            <w:pPr>
              <w:pStyle w:val="TableContents"/>
              <w:spacing w:before="0" w:after="0"/>
              <w:ind w:left="0" w:right="0" w:hanging="0"/>
              <w:rPr/>
            </w:pPr>
            <w:r>
              <w:rPr/>
              <w:t> </w:t>
            </w:r>
          </w:p>
        </w:tc>
        <w:tc>
          <w:tcPr>
            <w:tcW w:w="171" w:type="dxa"/>
            <w:tcBorders/>
            <w:shd w:fill="FFFFFF" w:val="clear"/>
            <w:vAlign w:val="center"/>
          </w:tcPr>
          <w:p>
            <w:pPr>
              <w:pStyle w:val="TableContents"/>
              <w:spacing w:before="0" w:after="0"/>
              <w:ind w:left="0" w:right="0" w:hanging="0"/>
              <w:rPr/>
            </w:pPr>
            <w:r>
              <w:rPr/>
              <w:t> </w:t>
            </w:r>
          </w:p>
        </w:tc>
        <w:tc>
          <w:tcPr>
            <w:tcW w:w="1138" w:type="dxa"/>
            <w:tcBorders/>
            <w:shd w:fill="FFFFFF" w:val="clear"/>
            <w:vAlign w:val="center"/>
          </w:tcPr>
          <w:p>
            <w:pPr>
              <w:pStyle w:val="TableContents"/>
              <w:spacing w:before="0" w:after="283"/>
              <w:jc w:val="right"/>
              <w:rPr/>
            </w:pPr>
            <w:r>
              <w:rPr/>
              <w:t>759,543</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8" w:type="dxa"/>
            <w:tcBorders/>
            <w:shd w:fill="FFFFFF" w:val="clear"/>
            <w:vAlign w:val="center"/>
          </w:tcPr>
          <w:p>
            <w:pPr>
              <w:pStyle w:val="TableContents"/>
              <w:spacing w:before="0" w:after="0"/>
              <w:ind w:left="0" w:right="0" w:hanging="0"/>
              <w:rPr/>
            </w:pPr>
            <w:r>
              <w:rPr/>
              <w:t> </w:t>
            </w:r>
          </w:p>
        </w:tc>
        <w:tc>
          <w:tcPr>
            <w:tcW w:w="1121" w:type="dxa"/>
            <w:tcBorders/>
            <w:shd w:fill="FFFFFF" w:val="clear"/>
            <w:vAlign w:val="center"/>
          </w:tcPr>
          <w:p>
            <w:pPr>
              <w:pStyle w:val="TableContents"/>
              <w:spacing w:before="0" w:after="283"/>
              <w:jc w:val="right"/>
              <w:rPr/>
            </w:pPr>
            <w:r>
              <w:rPr/>
              <w:t>759,543</w:t>
            </w:r>
          </w:p>
        </w:tc>
        <w:tc>
          <w:tcPr>
            <w:tcW w:w="135" w:type="dxa"/>
            <w:tcBorders/>
            <w:shd w:fill="FFFFFF" w:val="clear"/>
            <w:vAlign w:val="center"/>
          </w:tcPr>
          <w:p>
            <w:pPr>
              <w:pStyle w:val="TableContents"/>
              <w:spacing w:before="0" w:after="0"/>
              <w:ind w:left="0" w:right="0" w:hanging="0"/>
              <w:rPr/>
            </w:pPr>
            <w:r>
              <w:rPr/>
              <w:t> </w:t>
            </w:r>
          </w:p>
        </w:tc>
      </w:tr>
      <w:tr>
        <w:trPr/>
        <w:tc>
          <w:tcPr>
            <w:tcW w:w="3350" w:type="dxa"/>
            <w:tcBorders/>
            <w:shd w:fill="CCEEFF" w:val="clear"/>
            <w:vAlign w:val="center"/>
          </w:tcPr>
          <w:p>
            <w:pPr>
              <w:pStyle w:val="TableContents"/>
              <w:spacing w:before="0" w:after="0"/>
              <w:ind w:left="0" w:right="0" w:firstLine="180"/>
              <w:rPr/>
            </w:pPr>
            <w:r>
              <w:rPr/>
              <w:t> </w:t>
            </w:r>
            <w:r>
              <w:rPr>
                <w:rFonts w:ascii="times new roman" w:hAnsi="times new roman"/>
                <w:sz w:val="20"/>
              </w:rPr>
              <w:t xml:space="preserve">Deferred acquisition costs </w:t>
            </w:r>
          </w:p>
        </w:tc>
        <w:tc>
          <w:tcPr>
            <w:tcW w:w="90" w:type="dxa"/>
            <w:tcBorders/>
            <w:shd w:fill="CCEEFF" w:val="clear"/>
            <w:vAlign w:val="center"/>
          </w:tcPr>
          <w:p>
            <w:pPr>
              <w:pStyle w:val="TableContents"/>
              <w:spacing w:before="0" w:after="0"/>
              <w:ind w:left="0" w:right="0" w:hanging="0"/>
              <w:rPr/>
            </w:pPr>
            <w:r>
              <w:rPr/>
              <w:t> </w:t>
            </w:r>
          </w:p>
        </w:tc>
        <w:tc>
          <w:tcPr>
            <w:tcW w:w="171" w:type="dxa"/>
            <w:tcBorders/>
            <w:shd w:fill="CCEEFF" w:val="clear"/>
            <w:vAlign w:val="center"/>
          </w:tcPr>
          <w:p>
            <w:pPr>
              <w:pStyle w:val="TableContents"/>
              <w:spacing w:before="0" w:after="0"/>
              <w:ind w:left="0" w:right="0" w:hanging="0"/>
              <w:rPr/>
            </w:pPr>
            <w:r>
              <w:rPr/>
              <w:t> </w:t>
            </w:r>
          </w:p>
        </w:tc>
        <w:tc>
          <w:tcPr>
            <w:tcW w:w="1138" w:type="dxa"/>
            <w:tcBorders/>
            <w:shd w:fill="CCEEFF" w:val="clear"/>
            <w:vAlign w:val="center"/>
          </w:tcPr>
          <w:p>
            <w:pPr>
              <w:pStyle w:val="TableContents"/>
              <w:spacing w:before="0" w:after="283"/>
              <w:jc w:val="right"/>
              <w:rPr/>
            </w:pPr>
            <w:r>
              <w:rPr/>
              <w:t>5,002,085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8" w:type="dxa"/>
            <w:tcBorders/>
            <w:shd w:fill="CCEEFF" w:val="clear"/>
            <w:vAlign w:val="center"/>
          </w:tcPr>
          <w:p>
            <w:pPr>
              <w:pStyle w:val="TableContents"/>
              <w:spacing w:before="0" w:after="0"/>
              <w:ind w:left="0" w:right="0" w:hanging="0"/>
              <w:rPr/>
            </w:pPr>
            <w:r>
              <w:rPr/>
              <w:t> </w:t>
            </w:r>
          </w:p>
        </w:tc>
        <w:tc>
          <w:tcPr>
            <w:tcW w:w="1121" w:type="dxa"/>
            <w:tcBorders/>
            <w:shd w:fill="CCEEFF" w:val="clear"/>
            <w:vAlign w:val="center"/>
          </w:tcPr>
          <w:p>
            <w:pPr>
              <w:pStyle w:val="TableContents"/>
              <w:spacing w:before="0" w:after="283"/>
              <w:jc w:val="right"/>
              <w:rPr/>
            </w:pPr>
            <w:r>
              <w:rPr/>
              <w:t>4,670,187</w:t>
            </w:r>
          </w:p>
        </w:tc>
        <w:tc>
          <w:tcPr>
            <w:tcW w:w="135" w:type="dxa"/>
            <w:tcBorders/>
            <w:shd w:fill="CCEEFF" w:val="clear"/>
            <w:vAlign w:val="center"/>
          </w:tcPr>
          <w:p>
            <w:pPr>
              <w:pStyle w:val="TableContents"/>
              <w:spacing w:before="0" w:after="0"/>
              <w:ind w:left="0" w:right="0" w:hanging="0"/>
              <w:rPr/>
            </w:pPr>
            <w:r>
              <w:rPr/>
              <w:t> </w:t>
            </w:r>
          </w:p>
        </w:tc>
      </w:tr>
      <w:tr>
        <w:trPr/>
        <w:tc>
          <w:tcPr>
            <w:tcW w:w="3350" w:type="dxa"/>
            <w:tcBorders/>
            <w:shd w:fill="FFFFFF" w:val="clear"/>
            <w:vAlign w:val="center"/>
          </w:tcPr>
          <w:p>
            <w:pPr>
              <w:pStyle w:val="TableContents"/>
              <w:spacing w:before="0" w:after="0"/>
              <w:ind w:left="0" w:right="0" w:firstLine="180"/>
              <w:rPr/>
            </w:pPr>
            <w:r>
              <w:rPr/>
              <w:t> </w:t>
            </w:r>
            <w:r>
              <w:rPr>
                <w:rFonts w:ascii="times new roman" w:hAnsi="times new roman"/>
                <w:sz w:val="20"/>
              </w:rPr>
              <w:t xml:space="preserve">Intangibles </w:t>
            </w:r>
          </w:p>
        </w:tc>
        <w:tc>
          <w:tcPr>
            <w:tcW w:w="90" w:type="dxa"/>
            <w:tcBorders/>
            <w:shd w:fill="FFFFFF" w:val="clear"/>
            <w:vAlign w:val="center"/>
          </w:tcPr>
          <w:p>
            <w:pPr>
              <w:pStyle w:val="TableContents"/>
              <w:spacing w:before="0" w:after="0"/>
              <w:ind w:left="0" w:right="0" w:hanging="0"/>
              <w:rPr/>
            </w:pPr>
            <w:r>
              <w:rPr/>
              <w:t> </w:t>
            </w:r>
          </w:p>
        </w:tc>
        <w:tc>
          <w:tcPr>
            <w:tcW w:w="171" w:type="dxa"/>
            <w:tcBorders/>
            <w:shd w:fill="FFFFFF" w:val="clear"/>
            <w:vAlign w:val="center"/>
          </w:tcPr>
          <w:p>
            <w:pPr>
              <w:pStyle w:val="TableContents"/>
              <w:spacing w:before="0" w:after="0"/>
              <w:ind w:left="0" w:right="0" w:hanging="0"/>
              <w:rPr/>
            </w:pPr>
            <w:r>
              <w:rPr/>
              <w:t> </w:t>
            </w:r>
          </w:p>
        </w:tc>
        <w:tc>
          <w:tcPr>
            <w:tcW w:w="1138" w:type="dxa"/>
            <w:tcBorders/>
            <w:shd w:fill="FFFFFF" w:val="clear"/>
            <w:vAlign w:val="center"/>
          </w:tcPr>
          <w:p>
            <w:pPr>
              <w:pStyle w:val="TableContents"/>
              <w:spacing w:before="0" w:after="283"/>
              <w:jc w:val="right"/>
              <w:rPr/>
            </w:pPr>
            <w:r>
              <w:rPr/>
              <w:t>105,000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8" w:type="dxa"/>
            <w:tcBorders/>
            <w:shd w:fill="FFFFFF" w:val="clear"/>
            <w:vAlign w:val="center"/>
          </w:tcPr>
          <w:p>
            <w:pPr>
              <w:pStyle w:val="TableContents"/>
              <w:spacing w:before="0" w:after="0"/>
              <w:ind w:left="0" w:right="0" w:hanging="0"/>
              <w:rPr/>
            </w:pPr>
            <w:r>
              <w:rPr/>
              <w:t> </w:t>
            </w:r>
          </w:p>
        </w:tc>
        <w:tc>
          <w:tcPr>
            <w:tcW w:w="1121" w:type="dxa"/>
            <w:tcBorders/>
            <w:shd w:fill="FFFFFF" w:val="clear"/>
            <w:vAlign w:val="center"/>
          </w:tcPr>
          <w:p>
            <w:pPr>
              <w:pStyle w:val="TableContents"/>
              <w:spacing w:before="0" w:after="283"/>
              <w:jc w:val="right"/>
              <w:rPr/>
            </w:pPr>
            <w:r>
              <w:rPr/>
              <w:t>105,000</w:t>
            </w:r>
          </w:p>
        </w:tc>
        <w:tc>
          <w:tcPr>
            <w:tcW w:w="135" w:type="dxa"/>
            <w:tcBorders/>
            <w:shd w:fill="FFFFFF" w:val="clear"/>
            <w:vAlign w:val="center"/>
          </w:tcPr>
          <w:p>
            <w:pPr>
              <w:pStyle w:val="TableContents"/>
              <w:spacing w:before="0" w:after="0"/>
              <w:ind w:left="0" w:right="0" w:hanging="0"/>
              <w:rPr/>
            </w:pPr>
            <w:r>
              <w:rPr/>
              <w:t> </w:t>
            </w:r>
          </w:p>
        </w:tc>
      </w:tr>
      <w:tr>
        <w:trPr/>
        <w:tc>
          <w:tcPr>
            <w:tcW w:w="3350" w:type="dxa"/>
            <w:tcBorders/>
            <w:shd w:fill="CCEEFF" w:val="clear"/>
            <w:vAlign w:val="center"/>
          </w:tcPr>
          <w:p>
            <w:pPr>
              <w:pStyle w:val="TableContents"/>
              <w:spacing w:before="0" w:after="0"/>
              <w:ind w:left="0" w:right="0" w:firstLine="180"/>
              <w:rPr/>
            </w:pPr>
            <w:r>
              <w:rPr/>
              <w:t> </w:t>
            </w:r>
            <w:r>
              <w:rPr>
                <w:rFonts w:ascii="times new roman" w:hAnsi="times new roman"/>
                <w:sz w:val="20"/>
              </w:rPr>
              <w:t xml:space="preserve">Depreciation and amortization  </w:t>
            </w:r>
          </w:p>
        </w:tc>
        <w:tc>
          <w:tcPr>
            <w:tcW w:w="90" w:type="dxa"/>
            <w:tcBorders/>
            <w:shd w:fill="CCEEFF" w:val="clear"/>
            <w:vAlign w:val="center"/>
          </w:tcPr>
          <w:p>
            <w:pPr>
              <w:pStyle w:val="TableContents"/>
              <w:spacing w:before="0" w:after="0"/>
              <w:ind w:left="0" w:right="0" w:hanging="0"/>
              <w:rPr/>
            </w:pPr>
            <w:r>
              <w:rPr/>
              <w:t> </w:t>
            </w:r>
          </w:p>
        </w:tc>
        <w:tc>
          <w:tcPr>
            <w:tcW w:w="171" w:type="dxa"/>
            <w:tcBorders/>
            <w:shd w:fill="CCEEFF" w:val="clear"/>
            <w:vAlign w:val="center"/>
          </w:tcPr>
          <w:p>
            <w:pPr>
              <w:pStyle w:val="TableContents"/>
              <w:spacing w:before="0" w:after="0"/>
              <w:ind w:left="0" w:right="0" w:hanging="0"/>
              <w:rPr/>
            </w:pPr>
            <w:r>
              <w:rPr/>
              <w:t> </w:t>
            </w:r>
          </w:p>
        </w:tc>
        <w:tc>
          <w:tcPr>
            <w:tcW w:w="1138" w:type="dxa"/>
            <w:tcBorders/>
            <w:shd w:fill="CCEEFF" w:val="clear"/>
            <w:vAlign w:val="center"/>
          </w:tcPr>
          <w:p>
            <w:pPr>
              <w:pStyle w:val="TableContents"/>
              <w:spacing w:before="0" w:after="283"/>
              <w:jc w:val="right"/>
              <w:rPr/>
            </w:pPr>
            <w:r>
              <w:rPr/>
              <w:t>99,183</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8" w:type="dxa"/>
            <w:tcBorders/>
            <w:shd w:fill="CCEEFF" w:val="clear"/>
            <w:vAlign w:val="center"/>
          </w:tcPr>
          <w:p>
            <w:pPr>
              <w:pStyle w:val="TableContents"/>
              <w:spacing w:before="0" w:after="0"/>
              <w:ind w:left="0" w:right="0" w:hanging="0"/>
              <w:rPr/>
            </w:pPr>
            <w:r>
              <w:rPr/>
              <w:t> </w:t>
            </w:r>
          </w:p>
        </w:tc>
        <w:tc>
          <w:tcPr>
            <w:tcW w:w="1121" w:type="dxa"/>
            <w:tcBorders/>
            <w:shd w:fill="CCEEFF" w:val="clear"/>
            <w:vAlign w:val="center"/>
          </w:tcPr>
          <w:p>
            <w:pPr>
              <w:pStyle w:val="TableContents"/>
              <w:spacing w:before="0" w:after="283"/>
              <w:jc w:val="right"/>
              <w:rPr/>
            </w:pPr>
            <w:r>
              <w:rPr/>
              <w:t>1,046,817</w:t>
            </w:r>
          </w:p>
        </w:tc>
        <w:tc>
          <w:tcPr>
            <w:tcW w:w="135" w:type="dxa"/>
            <w:tcBorders/>
            <w:shd w:fill="CCEEFF" w:val="clear"/>
            <w:vAlign w:val="center"/>
          </w:tcPr>
          <w:p>
            <w:pPr>
              <w:pStyle w:val="TableContents"/>
              <w:spacing w:before="0" w:after="0"/>
              <w:ind w:left="0" w:right="0" w:hanging="0"/>
              <w:rPr/>
            </w:pPr>
            <w:r>
              <w:rPr/>
              <w:t> </w:t>
            </w:r>
          </w:p>
        </w:tc>
      </w:tr>
      <w:tr>
        <w:trPr/>
        <w:tc>
          <w:tcPr>
            <w:tcW w:w="3350" w:type="dxa"/>
            <w:tcBorders/>
            <w:shd w:fill="FFFFFF" w:val="clear"/>
            <w:vAlign w:val="center"/>
          </w:tcPr>
          <w:p>
            <w:pPr>
              <w:pStyle w:val="TableContents"/>
              <w:spacing w:before="0" w:after="0"/>
              <w:ind w:left="0" w:right="0" w:firstLine="180"/>
              <w:rPr/>
            </w:pPr>
            <w:r>
              <w:rPr/>
              <w:t> </w:t>
            </w:r>
            <w:r>
              <w:rPr>
                <w:rFonts w:ascii="times new roman" w:hAnsi="times new roman"/>
                <w:sz w:val="20"/>
              </w:rPr>
              <w:t xml:space="preserve">Net unrealized gains on securities </w:t>
            </w:r>
          </w:p>
        </w:tc>
        <w:tc>
          <w:tcPr>
            <w:tcW w:w="90" w:type="dxa"/>
            <w:tcBorders/>
            <w:shd w:fill="FFFFFF" w:val="clear"/>
            <w:vAlign w:val="center"/>
          </w:tcPr>
          <w:p>
            <w:pPr>
              <w:pStyle w:val="TableContents"/>
              <w:spacing w:before="0" w:after="0"/>
              <w:ind w:left="0" w:right="0" w:hanging="0"/>
              <w:rPr/>
            </w:pPr>
            <w:r>
              <w:rPr/>
              <w:t> </w:t>
            </w:r>
          </w:p>
        </w:tc>
        <w:tc>
          <w:tcPr>
            <w:tcW w:w="171"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8"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8"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21" w:type="dxa"/>
            <w:tcBorders>
              <w:bottom w:val="single" w:sz="2" w:space="0" w:color="000000"/>
            </w:tcBorders>
            <w:shd w:fill="FFFFFF" w:val="clear"/>
            <w:tcMar>
              <w:bottom w:w="28" w:type="dxa"/>
            </w:tcMar>
            <w:vAlign w:val="center"/>
          </w:tcPr>
          <w:p>
            <w:pPr>
              <w:pStyle w:val="TableContents"/>
              <w:spacing w:before="0" w:after="283"/>
              <w:jc w:val="right"/>
              <w:rPr/>
            </w:pPr>
            <w:r>
              <w:rPr/>
              <w:t>2,039,756</w:t>
            </w:r>
          </w:p>
        </w:tc>
        <w:tc>
          <w:tcPr>
            <w:tcW w:w="135" w:type="dxa"/>
            <w:tcBorders/>
            <w:shd w:fill="FFFFFF" w:val="clear"/>
            <w:vAlign w:val="center"/>
          </w:tcPr>
          <w:p>
            <w:pPr>
              <w:pStyle w:val="TableContents"/>
              <w:spacing w:before="0" w:after="0"/>
              <w:ind w:left="0" w:right="0" w:hanging="0"/>
              <w:rPr/>
            </w:pPr>
            <w:r>
              <w:rPr/>
              <w:t> </w:t>
            </w:r>
          </w:p>
        </w:tc>
      </w:tr>
      <w:tr>
        <w:trPr/>
        <w:tc>
          <w:tcPr>
            <w:tcW w:w="3350" w:type="dxa"/>
            <w:tcBorders/>
            <w:shd w:fill="CCEEFF" w:val="clear"/>
            <w:vAlign w:val="center"/>
          </w:tcPr>
          <w:p>
            <w:pPr>
              <w:pStyle w:val="TableContents"/>
              <w:spacing w:before="0" w:after="0"/>
              <w:ind w:left="0" w:right="0" w:hanging="0"/>
              <w:rPr/>
            </w:pPr>
            <w:r>
              <w:rPr/>
              <w:t> </w:t>
            </w:r>
            <w:r>
              <w:rPr>
                <w:rFonts w:ascii="times new roman" w:hAnsi="times new roman"/>
                <w:sz w:val="20"/>
              </w:rPr>
              <w:t xml:space="preserve">Total deferred tax liabilities  </w:t>
            </w:r>
          </w:p>
        </w:tc>
        <w:tc>
          <w:tcPr>
            <w:tcW w:w="90" w:type="dxa"/>
            <w:tcBorders/>
            <w:shd w:fill="CCEEFF" w:val="clear"/>
            <w:vAlign w:val="center"/>
          </w:tcPr>
          <w:p>
            <w:pPr>
              <w:pStyle w:val="TableContents"/>
              <w:spacing w:before="0" w:after="0"/>
              <w:ind w:left="0" w:right="0" w:hanging="0"/>
              <w:rPr/>
            </w:pPr>
            <w:r>
              <w:rPr/>
              <w:t> </w:t>
            </w:r>
          </w:p>
        </w:tc>
        <w:tc>
          <w:tcPr>
            <w:tcW w:w="17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38" w:type="dxa"/>
            <w:tcBorders>
              <w:bottom w:val="single" w:sz="2" w:space="0" w:color="000000"/>
            </w:tcBorders>
            <w:shd w:fill="CCEEFF" w:val="clear"/>
            <w:tcMar>
              <w:bottom w:w="28" w:type="dxa"/>
            </w:tcMar>
            <w:vAlign w:val="center"/>
          </w:tcPr>
          <w:p>
            <w:pPr>
              <w:pStyle w:val="TableContents"/>
              <w:spacing w:before="0" w:after="283"/>
              <w:jc w:val="right"/>
              <w:rPr/>
            </w:pPr>
            <w:r>
              <w:rPr/>
              <w:t>5,965,811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21" w:type="dxa"/>
            <w:tcBorders>
              <w:bottom w:val="single" w:sz="2" w:space="0" w:color="000000"/>
            </w:tcBorders>
            <w:shd w:fill="CCEEFF" w:val="clear"/>
            <w:tcMar>
              <w:bottom w:w="28" w:type="dxa"/>
            </w:tcMar>
            <w:vAlign w:val="center"/>
          </w:tcPr>
          <w:p>
            <w:pPr>
              <w:pStyle w:val="TableContents"/>
              <w:spacing w:before="0" w:after="283"/>
              <w:jc w:val="right"/>
              <w:rPr/>
            </w:pPr>
            <w:r>
              <w:rPr/>
              <w:t>8,621,303</w:t>
            </w:r>
          </w:p>
        </w:tc>
        <w:tc>
          <w:tcPr>
            <w:tcW w:w="135" w:type="dxa"/>
            <w:tcBorders/>
            <w:shd w:fill="CCEEFF" w:val="clear"/>
            <w:vAlign w:val="center"/>
          </w:tcPr>
          <w:p>
            <w:pPr>
              <w:pStyle w:val="TableContents"/>
              <w:spacing w:before="0" w:after="0"/>
              <w:ind w:left="0" w:right="0" w:hanging="0"/>
              <w:rPr/>
            </w:pPr>
            <w:r>
              <w:rPr/>
              <w:t> </w:t>
            </w:r>
          </w:p>
        </w:tc>
      </w:tr>
      <w:tr>
        <w:trPr/>
        <w:tc>
          <w:tcPr>
            <w:tcW w:w="335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1" w:type="dxa"/>
            <w:tcBorders/>
            <w:shd w:fill="FFFFFF" w:val="clear"/>
            <w:vAlign w:val="center"/>
          </w:tcPr>
          <w:p>
            <w:pPr>
              <w:pStyle w:val="TableContents"/>
              <w:spacing w:before="0" w:after="0"/>
              <w:ind w:left="0" w:right="0" w:hanging="0"/>
              <w:rPr/>
            </w:pPr>
            <w:r>
              <w:rPr/>
              <w:t> </w:t>
            </w:r>
          </w:p>
        </w:tc>
        <w:tc>
          <w:tcPr>
            <w:tcW w:w="1138"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88" w:type="dxa"/>
            <w:tcBorders/>
            <w:shd w:fill="FFFFFF" w:val="clear"/>
            <w:vAlign w:val="center"/>
          </w:tcPr>
          <w:p>
            <w:pPr>
              <w:pStyle w:val="TableContents"/>
              <w:spacing w:before="0" w:after="0"/>
              <w:ind w:left="0" w:right="0" w:hanging="0"/>
              <w:rPr/>
            </w:pPr>
            <w:r>
              <w:rPr/>
              <w:t> </w:t>
            </w:r>
          </w:p>
        </w:tc>
        <w:tc>
          <w:tcPr>
            <w:tcW w:w="1121" w:type="dxa"/>
            <w:tcBorders/>
            <w:shd w:fill="FFFFFF" w:val="clear"/>
            <w:vAlign w:val="center"/>
          </w:tcPr>
          <w:p>
            <w:pPr>
              <w:pStyle w:val="TableContents"/>
              <w:spacing w:before="0" w:after="0"/>
              <w:ind w:left="0" w:right="0" w:hanging="0"/>
              <w:rPr/>
            </w:pPr>
            <w:r>
              <w:rPr/>
              <w:t> </w:t>
            </w:r>
          </w:p>
        </w:tc>
        <w:tc>
          <w:tcPr>
            <w:tcW w:w="135" w:type="dxa"/>
            <w:tcBorders/>
            <w:shd w:fill="FFFFFF" w:val="clear"/>
            <w:vAlign w:val="center"/>
          </w:tcPr>
          <w:p>
            <w:pPr>
              <w:pStyle w:val="TableContents"/>
              <w:spacing w:before="0" w:after="0"/>
              <w:ind w:left="0" w:right="0" w:hanging="0"/>
              <w:rPr/>
            </w:pPr>
            <w:r>
              <w:rPr/>
              <w:t> </w:t>
            </w:r>
          </w:p>
        </w:tc>
      </w:tr>
      <w:tr>
        <w:trPr/>
        <w:tc>
          <w:tcPr>
            <w:tcW w:w="3350" w:type="dxa"/>
            <w:tcBorders/>
            <w:shd w:fill="CCEEFF" w:val="clear"/>
            <w:vAlign w:val="center"/>
          </w:tcPr>
          <w:p>
            <w:pPr>
              <w:pStyle w:val="TableContents"/>
              <w:spacing w:before="0" w:after="0"/>
              <w:ind w:left="0" w:right="0" w:hanging="0"/>
              <w:rPr/>
            </w:pPr>
            <w:r>
              <w:rPr/>
              <w:t> </w:t>
            </w:r>
            <w:r>
              <w:rPr>
                <w:rFonts w:ascii="times new roman" w:hAnsi="times new roman"/>
                <w:sz w:val="20"/>
              </w:rPr>
              <w:t xml:space="preserve">Net deferred income tax asset </w:t>
            </w:r>
          </w:p>
        </w:tc>
        <w:tc>
          <w:tcPr>
            <w:tcW w:w="90" w:type="dxa"/>
            <w:tcBorders/>
            <w:shd w:fill="CCEEFF" w:val="clear"/>
            <w:vAlign w:val="center"/>
          </w:tcPr>
          <w:p>
            <w:pPr>
              <w:pStyle w:val="TableContents"/>
              <w:spacing w:before="0" w:after="0"/>
              <w:ind w:left="0" w:right="0" w:hanging="0"/>
              <w:rPr/>
            </w:pPr>
            <w:r>
              <w:rPr/>
              <w:t> </w:t>
            </w:r>
          </w:p>
        </w:tc>
        <w:tc>
          <w:tcPr>
            <w:tcW w:w="171" w:type="dxa"/>
            <w:tcBorders>
              <w:bottom w:val="double" w:sz="6" w:space="0" w:color="000000"/>
            </w:tcBorders>
            <w:shd w:fill="CCEEFF" w:val="clear"/>
            <w:tcMar>
              <w:bottom w:w="28" w:type="dxa"/>
            </w:tcMar>
            <w:vAlign w:val="center"/>
          </w:tcPr>
          <w:p>
            <w:pPr>
              <w:pStyle w:val="TableContents"/>
              <w:spacing w:before="0" w:after="283"/>
              <w:rPr/>
            </w:pPr>
            <w:r>
              <w:rPr/>
              <w:t>$</w:t>
            </w:r>
          </w:p>
        </w:tc>
        <w:tc>
          <w:tcPr>
            <w:tcW w:w="1138" w:type="dxa"/>
            <w:tcBorders>
              <w:bottom w:val="double" w:sz="6" w:space="0" w:color="000000"/>
            </w:tcBorders>
            <w:shd w:fill="CCEEFF" w:val="clear"/>
            <w:tcMar>
              <w:bottom w:w="28" w:type="dxa"/>
            </w:tcMar>
            <w:vAlign w:val="center"/>
          </w:tcPr>
          <w:p>
            <w:pPr>
              <w:pStyle w:val="TableContents"/>
              <w:spacing w:before="0" w:after="283"/>
              <w:jc w:val="right"/>
              <w:rPr/>
            </w:pPr>
            <w:r>
              <w:rPr/>
              <w:t>10,331,158</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88" w:type="dxa"/>
            <w:tcBorders>
              <w:bottom w:val="double" w:sz="6" w:space="0" w:color="000000"/>
            </w:tcBorders>
            <w:shd w:fill="CCEEFF" w:val="clear"/>
            <w:tcMar>
              <w:bottom w:w="28" w:type="dxa"/>
            </w:tcMar>
            <w:vAlign w:val="center"/>
          </w:tcPr>
          <w:p>
            <w:pPr>
              <w:pStyle w:val="TableContents"/>
              <w:spacing w:before="0" w:after="283"/>
              <w:rPr/>
            </w:pPr>
            <w:r>
              <w:rPr/>
              <w:t>$</w:t>
            </w:r>
          </w:p>
        </w:tc>
        <w:tc>
          <w:tcPr>
            <w:tcW w:w="1121" w:type="dxa"/>
            <w:tcBorders>
              <w:bottom w:val="double" w:sz="6" w:space="0" w:color="000000"/>
            </w:tcBorders>
            <w:shd w:fill="CCEEFF" w:val="clear"/>
            <w:tcMar>
              <w:bottom w:w="28" w:type="dxa"/>
            </w:tcMar>
            <w:vAlign w:val="center"/>
          </w:tcPr>
          <w:p>
            <w:pPr>
              <w:pStyle w:val="TableContents"/>
              <w:spacing w:before="0" w:after="283"/>
              <w:jc w:val="right"/>
              <w:rPr/>
            </w:pPr>
            <w:r>
              <w:rPr/>
              <w:t>192,253</w:t>
            </w:r>
          </w:p>
        </w:tc>
        <w:tc>
          <w:tcPr>
            <w:tcW w:w="135"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tbl>
      <w:tblPr>
        <w:tblW w:w="6205" w:type="dxa"/>
        <w:jc w:val="left"/>
        <w:tblInd w:w="0" w:type="dxa"/>
        <w:tblCellMar>
          <w:top w:w="0" w:type="dxa"/>
          <w:left w:w="0" w:type="dxa"/>
          <w:bottom w:w="0" w:type="dxa"/>
          <w:right w:w="0" w:type="dxa"/>
        </w:tblCellMar>
      </w:tblPr>
      <w:tblGrid>
        <w:gridCol w:w="290"/>
        <w:gridCol w:w="5915"/>
      </w:tblGrid>
      <w:tr>
        <w:trPr/>
        <w:tc>
          <w:tcPr>
            <w:tcW w:w="290"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591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The deferred tax assets from net operating loss carryovers are as follows:</w:t>
            </w:r>
          </w:p>
        </w:tc>
      </w:tr>
    </w:tbl>
    <w:p>
      <w:pPr>
        <w:pStyle w:val="TextBody"/>
        <w:spacing w:before="0" w:after="0"/>
        <w:ind w:left="0" w:right="0" w:hanging="0"/>
        <w:jc w:val="both"/>
        <w:rPr/>
      </w:pPr>
      <w:r>
        <w:rPr/>
        <w:t> </w:t>
      </w:r>
    </w:p>
    <w:p>
      <w:pPr>
        <w:pStyle w:val="TextBody"/>
        <w:spacing w:before="0" w:after="0"/>
        <w:ind w:left="360" w:right="0" w:hanging="0"/>
        <w:jc w:val="both"/>
        <w:rPr/>
      </w:pPr>
      <w:r>
        <w:rPr/>
        <w:t> </w:t>
      </w:r>
    </w:p>
    <w:tbl>
      <w:tblPr>
        <w:tblW w:w="10205" w:type="dxa"/>
        <w:jc w:val="left"/>
        <w:tblInd w:w="0" w:type="dxa"/>
        <w:tblCellMar>
          <w:top w:w="0" w:type="dxa"/>
          <w:left w:w="0" w:type="dxa"/>
          <w:bottom w:w="0" w:type="dxa"/>
          <w:right w:w="0" w:type="dxa"/>
        </w:tblCellMar>
      </w:tblPr>
      <w:tblGrid>
        <w:gridCol w:w="4362"/>
        <w:gridCol w:w="90"/>
        <w:gridCol w:w="176"/>
        <w:gridCol w:w="1127"/>
        <w:gridCol w:w="125"/>
        <w:gridCol w:w="90"/>
        <w:gridCol w:w="176"/>
        <w:gridCol w:w="1127"/>
        <w:gridCol w:w="125"/>
        <w:gridCol w:w="90"/>
        <w:gridCol w:w="2579"/>
        <w:gridCol w:w="138"/>
      </w:tblGrid>
      <w:tr>
        <w:trPr/>
        <w:tc>
          <w:tcPr>
            <w:tcW w:w="4362"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3"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December 31,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3" w:type="dxa"/>
            <w:gridSpan w:val="2"/>
            <w:tcBorders/>
            <w:shd w:fill="auto" w:val="clear"/>
            <w:vAlign w:val="center"/>
          </w:tcPr>
          <w:p>
            <w:pPr>
              <w:pStyle w:val="TableContents"/>
              <w:spacing w:before="0" w:after="0"/>
              <w:ind w:left="0" w:right="0" w:hanging="0"/>
              <w:jc w:val="center"/>
              <w:rPr/>
            </w:pPr>
            <w:r>
              <w:rPr>
                <w:rStyle w:val="StrongEmphasis"/>
              </w:rPr>
              <w:t> </w:t>
            </w:r>
            <w:r>
              <w:rPr>
                <w:rStyle w:val="StrongEmphasis"/>
                <w:rFonts w:ascii="times new roman" w:hAnsi="times new roman"/>
                <w:sz w:val="20"/>
              </w:rPr>
              <w:t xml:space="preserve">December 31,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579"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pPr>
            <w:r>
              <w:rPr/>
              <w:t> </w:t>
            </w:r>
          </w:p>
        </w:tc>
      </w:tr>
      <w:tr>
        <w:trPr/>
        <w:tc>
          <w:tcPr>
            <w:tcW w:w="4362"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Type of NOL </w:t>
            </w:r>
          </w:p>
        </w:tc>
        <w:tc>
          <w:tcPr>
            <w:tcW w:w="90" w:type="dxa"/>
            <w:tcBorders/>
            <w:shd w:fill="auto" w:val="clear"/>
            <w:vAlign w:val="center"/>
          </w:tcPr>
          <w:p>
            <w:pPr>
              <w:pStyle w:val="TableContents"/>
              <w:spacing w:before="0" w:after="0"/>
              <w:ind w:left="0" w:right="0" w:hanging="0"/>
              <w:rPr/>
            </w:pPr>
            <w:r>
              <w:rPr/>
              <w:t> </w:t>
            </w:r>
          </w:p>
        </w:tc>
        <w:tc>
          <w:tcPr>
            <w:tcW w:w="130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2022</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2021</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579"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Expiration</w:t>
            </w:r>
          </w:p>
        </w:tc>
        <w:tc>
          <w:tcPr>
            <w:tcW w:w="138" w:type="dxa"/>
            <w:tcBorders/>
            <w:shd w:fill="auto" w:val="clear"/>
            <w:vAlign w:val="center"/>
          </w:tcPr>
          <w:p>
            <w:pPr>
              <w:pStyle w:val="TableContents"/>
              <w:spacing w:before="0" w:after="283"/>
              <w:rPr/>
            </w:pPr>
            <w:r>
              <w:rPr/>
              <w:t> </w:t>
            </w:r>
          </w:p>
        </w:tc>
      </w:tr>
      <w:tr>
        <w:trPr/>
        <w:tc>
          <w:tcPr>
            <w:tcW w:w="4362"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3"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3"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579" w:type="dxa"/>
            <w:tcBorders/>
            <w:shd w:fill="auto" w:val="clear"/>
            <w:vAlign w:val="center"/>
          </w:tcPr>
          <w:p>
            <w:pPr>
              <w:pStyle w:val="TableContents"/>
              <w:spacing w:before="0" w:after="0"/>
              <w:ind w:left="0" w:right="0" w:hanging="0"/>
              <w:rPr/>
            </w:pPr>
            <w:r>
              <w:rPr/>
              <w:t> </w:t>
            </w:r>
          </w:p>
        </w:tc>
        <w:tc>
          <w:tcPr>
            <w:tcW w:w="138" w:type="dxa"/>
            <w:tcBorders/>
            <w:shd w:fill="auto" w:val="clear"/>
            <w:vAlign w:val="center"/>
          </w:tcPr>
          <w:p>
            <w:pPr>
              <w:pStyle w:val="TableContents"/>
              <w:spacing w:before="0" w:after="283"/>
              <w:rPr/>
            </w:pPr>
            <w:r>
              <w:rPr/>
              <w:t> </w:t>
            </w:r>
          </w:p>
        </w:tc>
      </w:tr>
      <w:tr>
        <w:trPr/>
        <w:tc>
          <w:tcPr>
            <w:tcW w:w="436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Federal only, NOL from 2022 and 2021</w:t>
            </w:r>
          </w:p>
        </w:tc>
        <w:tc>
          <w:tcPr>
            <w:tcW w:w="90" w:type="dxa"/>
            <w:tcBorders/>
            <w:shd w:fill="CCEEFF" w:val="clear"/>
            <w:vAlign w:val="center"/>
          </w:tcPr>
          <w:p>
            <w:pPr>
              <w:pStyle w:val="TableContents"/>
              <w:spacing w:before="0" w:after="0"/>
              <w:ind w:left="0" w:right="0" w:hanging="0"/>
              <w:rPr/>
            </w:pPr>
            <w:r>
              <w:rPr/>
              <w:t> </w:t>
            </w:r>
          </w:p>
        </w:tc>
        <w:tc>
          <w:tcPr>
            <w:tcW w:w="176" w:type="dxa"/>
            <w:tcBorders>
              <w:bottom w:val="single" w:sz="2" w:space="0" w:color="000000"/>
            </w:tcBorders>
            <w:shd w:fill="CCEEFF" w:val="clear"/>
            <w:tcMar>
              <w:bottom w:w="28" w:type="dxa"/>
            </w:tcMar>
            <w:vAlign w:val="center"/>
          </w:tcPr>
          <w:p>
            <w:pPr>
              <w:pStyle w:val="TableContents"/>
              <w:spacing w:before="0" w:after="283"/>
              <w:rPr/>
            </w:pPr>
            <w:r>
              <w:rPr/>
              <w:t>$</w:t>
            </w:r>
          </w:p>
        </w:tc>
        <w:tc>
          <w:tcPr>
            <w:tcW w:w="1127" w:type="dxa"/>
            <w:tcBorders>
              <w:bottom w:val="single" w:sz="2" w:space="0" w:color="000000"/>
            </w:tcBorders>
            <w:shd w:fill="CCEEFF" w:val="clear"/>
            <w:tcMar>
              <w:bottom w:w="28" w:type="dxa"/>
            </w:tcMar>
            <w:vAlign w:val="center"/>
          </w:tcPr>
          <w:p>
            <w:pPr>
              <w:pStyle w:val="TableContents"/>
              <w:spacing w:before="0" w:after="283"/>
              <w:jc w:val="right"/>
              <w:rPr/>
            </w:pPr>
            <w:r>
              <w:rPr/>
              <w:t>3,828,947</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6" w:type="dxa"/>
            <w:tcBorders>
              <w:bottom w:val="single" w:sz="2" w:space="0" w:color="000000"/>
            </w:tcBorders>
            <w:shd w:fill="CCEEFF" w:val="clear"/>
            <w:tcMar>
              <w:bottom w:w="28" w:type="dxa"/>
            </w:tcMar>
            <w:vAlign w:val="center"/>
          </w:tcPr>
          <w:p>
            <w:pPr>
              <w:pStyle w:val="TableContents"/>
              <w:spacing w:before="0" w:after="283"/>
              <w:rPr/>
            </w:pPr>
            <w:r>
              <w:rPr/>
              <w:t>$</w:t>
            </w:r>
          </w:p>
        </w:tc>
        <w:tc>
          <w:tcPr>
            <w:tcW w:w="1127" w:type="dxa"/>
            <w:tcBorders>
              <w:bottom w:val="single" w:sz="2" w:space="0" w:color="000000"/>
            </w:tcBorders>
            <w:shd w:fill="CCEEFF" w:val="clear"/>
            <w:tcMar>
              <w:bottom w:w="28" w:type="dxa"/>
            </w:tcMar>
            <w:vAlign w:val="center"/>
          </w:tcPr>
          <w:p>
            <w:pPr>
              <w:pStyle w:val="TableContents"/>
              <w:spacing w:before="0" w:after="283"/>
              <w:jc w:val="right"/>
              <w:rPr/>
            </w:pPr>
            <w:r>
              <w:rPr/>
              <w:t>1,112,318</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579"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None</w:t>
            </w:r>
          </w:p>
        </w:tc>
        <w:tc>
          <w:tcPr>
            <w:tcW w:w="138" w:type="dxa"/>
            <w:tcBorders/>
            <w:shd w:fill="CCEEFF" w:val="clear"/>
            <w:vAlign w:val="center"/>
          </w:tcPr>
          <w:p>
            <w:pPr>
              <w:pStyle w:val="TableContents"/>
              <w:spacing w:before="0" w:after="283"/>
              <w:rPr/>
            </w:pPr>
            <w:r>
              <w:rPr/>
              <w:t> </w:t>
            </w:r>
          </w:p>
        </w:tc>
      </w:tr>
      <w:tr>
        <w:trPr/>
        <w:tc>
          <w:tcPr>
            <w:tcW w:w="4362"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6" w:type="dxa"/>
            <w:tcBorders/>
            <w:shd w:fill="FFFFFF" w:val="clear"/>
            <w:vAlign w:val="center"/>
          </w:tcPr>
          <w:p>
            <w:pPr>
              <w:pStyle w:val="TableContents"/>
              <w:spacing w:before="0" w:after="0"/>
              <w:ind w:left="0" w:right="0" w:hanging="0"/>
              <w:rPr/>
            </w:pPr>
            <w:r>
              <w:rPr/>
              <w:t> </w:t>
            </w:r>
          </w:p>
        </w:tc>
        <w:tc>
          <w:tcPr>
            <w:tcW w:w="1127"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6" w:type="dxa"/>
            <w:tcBorders/>
            <w:shd w:fill="FFFFFF" w:val="clear"/>
            <w:vAlign w:val="center"/>
          </w:tcPr>
          <w:p>
            <w:pPr>
              <w:pStyle w:val="TableContents"/>
              <w:spacing w:before="0" w:after="0"/>
              <w:ind w:left="0" w:right="0" w:hanging="0"/>
              <w:rPr/>
            </w:pPr>
            <w:r>
              <w:rPr/>
              <w:t> </w:t>
            </w:r>
          </w:p>
        </w:tc>
        <w:tc>
          <w:tcPr>
            <w:tcW w:w="1127"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579" w:type="dxa"/>
            <w:tcBorders/>
            <w:shd w:fill="FFFFFF" w:val="clear"/>
            <w:vAlign w:val="center"/>
          </w:tcPr>
          <w:p>
            <w:pPr>
              <w:pStyle w:val="TableContents"/>
              <w:spacing w:before="0" w:after="0"/>
              <w:ind w:left="0" w:right="0" w:hanging="0"/>
              <w:rPr/>
            </w:pPr>
            <w:r>
              <w:rPr/>
              <w:t> </w:t>
            </w:r>
          </w:p>
        </w:tc>
        <w:tc>
          <w:tcPr>
            <w:tcW w:w="138" w:type="dxa"/>
            <w:tcBorders/>
            <w:shd w:fill="FFFFFF" w:val="clear"/>
            <w:vAlign w:val="center"/>
          </w:tcPr>
          <w:p>
            <w:pPr>
              <w:pStyle w:val="TableContents"/>
              <w:spacing w:before="0" w:after="283"/>
              <w:rPr/>
            </w:pPr>
            <w:r>
              <w:rPr/>
              <w:t> </w:t>
            </w:r>
          </w:p>
        </w:tc>
      </w:tr>
      <w:tr>
        <w:trPr/>
        <w:tc>
          <w:tcPr>
            <w:tcW w:w="436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State only (A)</w:t>
            </w:r>
          </w:p>
        </w:tc>
        <w:tc>
          <w:tcPr>
            <w:tcW w:w="90" w:type="dxa"/>
            <w:tcBorders/>
            <w:shd w:fill="CCEEFF" w:val="clear"/>
            <w:vAlign w:val="center"/>
          </w:tcPr>
          <w:p>
            <w:pPr>
              <w:pStyle w:val="TableContents"/>
              <w:spacing w:before="0" w:after="0"/>
              <w:ind w:left="0" w:right="0" w:hanging="0"/>
              <w:rPr/>
            </w:pPr>
            <w:r>
              <w:rPr/>
              <w:t> </w:t>
            </w:r>
          </w:p>
        </w:tc>
        <w:tc>
          <w:tcPr>
            <w:tcW w:w="176" w:type="dxa"/>
            <w:tcBorders/>
            <w:shd w:fill="CCEEFF" w:val="clear"/>
            <w:vAlign w:val="center"/>
          </w:tcPr>
          <w:p>
            <w:pPr>
              <w:pStyle w:val="TableContents"/>
              <w:spacing w:before="0" w:after="0"/>
              <w:ind w:left="0" w:right="0" w:hanging="0"/>
              <w:rPr/>
            </w:pPr>
            <w:r>
              <w:rPr/>
              <w:t> </w:t>
            </w:r>
          </w:p>
        </w:tc>
        <w:tc>
          <w:tcPr>
            <w:tcW w:w="1127" w:type="dxa"/>
            <w:tcBorders/>
            <w:shd w:fill="CCEEFF" w:val="clear"/>
            <w:vAlign w:val="center"/>
          </w:tcPr>
          <w:p>
            <w:pPr>
              <w:pStyle w:val="TableContents"/>
              <w:spacing w:before="0" w:after="283"/>
              <w:jc w:val="right"/>
              <w:rPr/>
            </w:pPr>
            <w:r>
              <w:rPr/>
              <w:t>2,276,595</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6" w:type="dxa"/>
            <w:tcBorders/>
            <w:shd w:fill="CCEEFF" w:val="clear"/>
            <w:vAlign w:val="center"/>
          </w:tcPr>
          <w:p>
            <w:pPr>
              <w:pStyle w:val="TableContents"/>
              <w:spacing w:before="0" w:after="0"/>
              <w:ind w:left="0" w:right="0" w:hanging="0"/>
              <w:rPr/>
            </w:pPr>
            <w:r>
              <w:rPr/>
              <w:t> </w:t>
            </w:r>
          </w:p>
        </w:tc>
        <w:tc>
          <w:tcPr>
            <w:tcW w:w="1127" w:type="dxa"/>
            <w:tcBorders/>
            <w:shd w:fill="CCEEFF" w:val="clear"/>
            <w:vAlign w:val="center"/>
          </w:tcPr>
          <w:p>
            <w:pPr>
              <w:pStyle w:val="TableContents"/>
              <w:spacing w:before="0" w:after="283"/>
              <w:jc w:val="right"/>
              <w:rPr/>
            </w:pPr>
            <w:r>
              <w:rPr/>
              <w:t>2,099,239</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579"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December 2027 - December 2042</w:t>
            </w:r>
          </w:p>
        </w:tc>
        <w:tc>
          <w:tcPr>
            <w:tcW w:w="138" w:type="dxa"/>
            <w:tcBorders/>
            <w:shd w:fill="CCEEFF" w:val="clear"/>
            <w:vAlign w:val="center"/>
          </w:tcPr>
          <w:p>
            <w:pPr>
              <w:pStyle w:val="TableContents"/>
              <w:spacing w:before="0" w:after="283"/>
              <w:rPr/>
            </w:pPr>
            <w:r>
              <w:rPr/>
              <w:t> </w:t>
            </w:r>
          </w:p>
        </w:tc>
      </w:tr>
      <w:tr>
        <w:trPr/>
        <w:tc>
          <w:tcPr>
            <w:tcW w:w="4362" w:type="dxa"/>
            <w:tcBorders/>
            <w:shd w:fill="FFFF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Valuation allowance</w:t>
            </w:r>
          </w:p>
        </w:tc>
        <w:tc>
          <w:tcPr>
            <w:tcW w:w="90" w:type="dxa"/>
            <w:tcBorders/>
            <w:shd w:fill="FFFFFF" w:val="clear"/>
            <w:vAlign w:val="center"/>
          </w:tcPr>
          <w:p>
            <w:pPr>
              <w:pStyle w:val="TableContents"/>
              <w:spacing w:before="0" w:after="0"/>
              <w:ind w:left="0" w:right="0" w:hanging="0"/>
              <w:rPr/>
            </w:pPr>
            <w:r>
              <w:rPr/>
              <w:t> </w:t>
            </w:r>
          </w:p>
        </w:tc>
        <w:tc>
          <w:tcPr>
            <w:tcW w:w="176"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27" w:type="dxa"/>
            <w:tcBorders>
              <w:bottom w:val="single" w:sz="2" w:space="0" w:color="000000"/>
            </w:tcBorders>
            <w:shd w:fill="FFFFFF" w:val="clear"/>
            <w:tcMar>
              <w:bottom w:w="28" w:type="dxa"/>
            </w:tcMar>
            <w:vAlign w:val="center"/>
          </w:tcPr>
          <w:p>
            <w:pPr>
              <w:pStyle w:val="TableContents"/>
              <w:spacing w:before="0" w:after="283"/>
              <w:jc w:val="right"/>
              <w:rPr/>
            </w:pPr>
            <w:r>
              <w:rPr/>
              <w:t>(2,276,595</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6"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27" w:type="dxa"/>
            <w:tcBorders>
              <w:bottom w:val="single" w:sz="2" w:space="0" w:color="000000"/>
            </w:tcBorders>
            <w:shd w:fill="FFFFFF" w:val="clear"/>
            <w:tcMar>
              <w:bottom w:w="28" w:type="dxa"/>
            </w:tcMar>
            <w:vAlign w:val="center"/>
          </w:tcPr>
          <w:p>
            <w:pPr>
              <w:pStyle w:val="TableContents"/>
              <w:spacing w:before="0" w:after="283"/>
              <w:jc w:val="right"/>
              <w:rPr/>
            </w:pPr>
            <w:r>
              <w:rPr/>
              <w:t>(2,099,239</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2579" w:type="dxa"/>
            <w:tcBorders/>
            <w:shd w:fill="FFFFFF" w:val="clear"/>
            <w:vAlign w:val="center"/>
          </w:tcPr>
          <w:p>
            <w:pPr>
              <w:pStyle w:val="TableContents"/>
              <w:spacing w:before="0" w:after="0"/>
              <w:ind w:left="0" w:right="0" w:hanging="0"/>
              <w:rPr/>
            </w:pPr>
            <w:r>
              <w:rPr/>
              <w:t> </w:t>
            </w:r>
          </w:p>
        </w:tc>
        <w:tc>
          <w:tcPr>
            <w:tcW w:w="138" w:type="dxa"/>
            <w:tcBorders/>
            <w:shd w:fill="FFFFFF" w:val="clear"/>
            <w:vAlign w:val="center"/>
          </w:tcPr>
          <w:p>
            <w:pPr>
              <w:pStyle w:val="TableContents"/>
              <w:spacing w:before="0" w:after="283"/>
              <w:rPr/>
            </w:pPr>
            <w:r>
              <w:rPr/>
              <w:t> </w:t>
            </w:r>
          </w:p>
        </w:tc>
      </w:tr>
      <w:tr>
        <w:trPr/>
        <w:tc>
          <w:tcPr>
            <w:tcW w:w="436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State only, net of valuation allowance</w:t>
            </w:r>
          </w:p>
        </w:tc>
        <w:tc>
          <w:tcPr>
            <w:tcW w:w="90" w:type="dxa"/>
            <w:tcBorders/>
            <w:shd w:fill="CCEEFF" w:val="clear"/>
            <w:vAlign w:val="center"/>
          </w:tcPr>
          <w:p>
            <w:pPr>
              <w:pStyle w:val="TableContents"/>
              <w:spacing w:before="0" w:after="0"/>
              <w:ind w:left="0" w:right="0" w:hanging="0"/>
              <w:rPr/>
            </w:pPr>
            <w:r>
              <w:rPr/>
              <w:t> </w:t>
            </w:r>
          </w:p>
        </w:tc>
        <w:tc>
          <w:tcPr>
            <w:tcW w:w="17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27"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127"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579" w:type="dxa"/>
            <w:tcBorders/>
            <w:shd w:fill="CCEEFF" w:val="clear"/>
            <w:vAlign w:val="center"/>
          </w:tcPr>
          <w:p>
            <w:pPr>
              <w:pStyle w:val="TableContents"/>
              <w:spacing w:before="0" w:after="0"/>
              <w:ind w:left="0" w:right="0" w:hanging="0"/>
              <w:rPr/>
            </w:pPr>
            <w:r>
              <w:rPr/>
              <w:t> </w:t>
            </w:r>
          </w:p>
        </w:tc>
        <w:tc>
          <w:tcPr>
            <w:tcW w:w="138" w:type="dxa"/>
            <w:tcBorders/>
            <w:shd w:fill="CCEEFF" w:val="clear"/>
            <w:vAlign w:val="center"/>
          </w:tcPr>
          <w:p>
            <w:pPr>
              <w:pStyle w:val="TableContents"/>
              <w:spacing w:before="0" w:after="283"/>
              <w:rPr/>
            </w:pPr>
            <w:r>
              <w:rPr/>
              <w:t> </w:t>
            </w:r>
          </w:p>
        </w:tc>
      </w:tr>
      <w:tr>
        <w:trPr/>
        <w:tc>
          <w:tcPr>
            <w:tcW w:w="4362"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6" w:type="dxa"/>
            <w:tcBorders/>
            <w:shd w:fill="FFFFFF" w:val="clear"/>
            <w:vAlign w:val="center"/>
          </w:tcPr>
          <w:p>
            <w:pPr>
              <w:pStyle w:val="TableContents"/>
              <w:spacing w:before="0" w:after="0"/>
              <w:ind w:left="0" w:right="0" w:hanging="0"/>
              <w:rPr/>
            </w:pPr>
            <w:r>
              <w:rPr/>
              <w:t> </w:t>
            </w:r>
          </w:p>
        </w:tc>
        <w:tc>
          <w:tcPr>
            <w:tcW w:w="1127"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6" w:type="dxa"/>
            <w:tcBorders/>
            <w:shd w:fill="FFFFFF" w:val="clear"/>
            <w:vAlign w:val="center"/>
          </w:tcPr>
          <w:p>
            <w:pPr>
              <w:pStyle w:val="TableContents"/>
              <w:spacing w:before="0" w:after="0"/>
              <w:ind w:left="0" w:right="0" w:hanging="0"/>
              <w:rPr/>
            </w:pPr>
            <w:r>
              <w:rPr/>
              <w:t> </w:t>
            </w:r>
          </w:p>
        </w:tc>
        <w:tc>
          <w:tcPr>
            <w:tcW w:w="1127" w:type="dxa"/>
            <w:tcBorders/>
            <w:shd w:fill="FFFFFF" w:val="clear"/>
            <w:vAlign w:val="center"/>
          </w:tcPr>
          <w:p>
            <w:pPr>
              <w:pStyle w:val="TableContents"/>
              <w:spacing w:before="0" w:after="0"/>
              <w:ind w:left="0" w:right="0" w:hanging="0"/>
              <w:rPr/>
            </w:pPr>
            <w:r>
              <w:rPr/>
              <w:t> </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579" w:type="dxa"/>
            <w:tcBorders/>
            <w:shd w:fill="FFFFFF" w:val="clear"/>
            <w:vAlign w:val="center"/>
          </w:tcPr>
          <w:p>
            <w:pPr>
              <w:pStyle w:val="TableContents"/>
              <w:spacing w:before="0" w:after="0"/>
              <w:ind w:left="0" w:right="0" w:hanging="0"/>
              <w:rPr/>
            </w:pPr>
            <w:r>
              <w:rPr/>
              <w:t> </w:t>
            </w:r>
          </w:p>
        </w:tc>
        <w:tc>
          <w:tcPr>
            <w:tcW w:w="138" w:type="dxa"/>
            <w:tcBorders/>
            <w:shd w:fill="FFFFFF" w:val="clear"/>
            <w:vAlign w:val="center"/>
          </w:tcPr>
          <w:p>
            <w:pPr>
              <w:pStyle w:val="TableContents"/>
              <w:spacing w:before="0" w:after="283"/>
              <w:rPr/>
            </w:pPr>
            <w:r>
              <w:rPr/>
              <w:t> </w:t>
            </w:r>
          </w:p>
        </w:tc>
      </w:tr>
      <w:tr>
        <w:trPr/>
        <w:tc>
          <w:tcPr>
            <w:tcW w:w="4362" w:type="dxa"/>
            <w:tcBorders/>
            <w:shd w:fill="CCEEFF"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Total deferred tax asset from net operating loss carryovers</w:t>
            </w:r>
          </w:p>
        </w:tc>
        <w:tc>
          <w:tcPr>
            <w:tcW w:w="90" w:type="dxa"/>
            <w:tcBorders/>
            <w:shd w:fill="CCEEFF" w:val="clear"/>
            <w:vAlign w:val="center"/>
          </w:tcPr>
          <w:p>
            <w:pPr>
              <w:pStyle w:val="TableContents"/>
              <w:spacing w:before="0" w:after="0"/>
              <w:ind w:left="0" w:right="0" w:hanging="0"/>
              <w:rPr/>
            </w:pPr>
            <w:r>
              <w:rPr/>
              <w:t> </w:t>
            </w:r>
          </w:p>
        </w:tc>
        <w:tc>
          <w:tcPr>
            <w:tcW w:w="176" w:type="dxa"/>
            <w:tcBorders>
              <w:bottom w:val="double" w:sz="6" w:space="0" w:color="000000"/>
            </w:tcBorders>
            <w:shd w:fill="CCEEFF" w:val="clear"/>
            <w:tcMar>
              <w:bottom w:w="28" w:type="dxa"/>
            </w:tcMar>
            <w:vAlign w:val="center"/>
          </w:tcPr>
          <w:p>
            <w:pPr>
              <w:pStyle w:val="TableContents"/>
              <w:spacing w:before="0" w:after="283"/>
              <w:rPr/>
            </w:pPr>
            <w:r>
              <w:rPr/>
              <w:t>$</w:t>
            </w:r>
          </w:p>
        </w:tc>
        <w:tc>
          <w:tcPr>
            <w:tcW w:w="1127" w:type="dxa"/>
            <w:tcBorders>
              <w:bottom w:val="double" w:sz="6" w:space="0" w:color="000000"/>
            </w:tcBorders>
            <w:shd w:fill="CCEEFF" w:val="clear"/>
            <w:tcMar>
              <w:bottom w:w="28" w:type="dxa"/>
            </w:tcMar>
            <w:vAlign w:val="center"/>
          </w:tcPr>
          <w:p>
            <w:pPr>
              <w:pStyle w:val="TableContents"/>
              <w:spacing w:before="0" w:after="283"/>
              <w:jc w:val="right"/>
              <w:rPr/>
            </w:pPr>
            <w:r>
              <w:rPr/>
              <w:t>3,828,947</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6" w:type="dxa"/>
            <w:tcBorders>
              <w:bottom w:val="double" w:sz="6" w:space="0" w:color="000000"/>
            </w:tcBorders>
            <w:shd w:fill="CCEEFF" w:val="clear"/>
            <w:tcMar>
              <w:bottom w:w="28" w:type="dxa"/>
            </w:tcMar>
            <w:vAlign w:val="center"/>
          </w:tcPr>
          <w:p>
            <w:pPr>
              <w:pStyle w:val="TableContents"/>
              <w:spacing w:before="0" w:after="283"/>
              <w:rPr/>
            </w:pPr>
            <w:r>
              <w:rPr/>
              <w:t>$</w:t>
            </w:r>
          </w:p>
        </w:tc>
        <w:tc>
          <w:tcPr>
            <w:tcW w:w="1127" w:type="dxa"/>
            <w:tcBorders>
              <w:bottom w:val="double" w:sz="6" w:space="0" w:color="000000"/>
            </w:tcBorders>
            <w:shd w:fill="CCEEFF" w:val="clear"/>
            <w:tcMar>
              <w:bottom w:w="28" w:type="dxa"/>
            </w:tcMar>
            <w:vAlign w:val="center"/>
          </w:tcPr>
          <w:p>
            <w:pPr>
              <w:pStyle w:val="TableContents"/>
              <w:spacing w:before="0" w:after="283"/>
              <w:jc w:val="right"/>
              <w:rPr/>
            </w:pPr>
            <w:r>
              <w:rPr/>
              <w:t>1,112,318</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579" w:type="dxa"/>
            <w:tcBorders/>
            <w:shd w:fill="CCEEFF" w:val="clear"/>
            <w:vAlign w:val="center"/>
          </w:tcPr>
          <w:p>
            <w:pPr>
              <w:pStyle w:val="TableContents"/>
              <w:spacing w:before="0" w:after="0"/>
              <w:ind w:left="0" w:right="0" w:hanging="0"/>
              <w:rPr/>
            </w:pPr>
            <w:r>
              <w:rPr/>
              <w:t> </w:t>
            </w:r>
          </w:p>
        </w:tc>
        <w:tc>
          <w:tcPr>
            <w:tcW w:w="138" w:type="dxa"/>
            <w:tcBorders/>
            <w:shd w:fill="CCEEFF" w:val="clear"/>
            <w:vAlign w:val="center"/>
          </w:tcPr>
          <w:p>
            <w:pPr>
              <w:pStyle w:val="TableContents"/>
              <w:spacing w:before="0" w:after="283"/>
              <w:rPr/>
            </w:pPr>
            <w:r>
              <w:rPr/>
              <w:t> </w:t>
            </w:r>
          </w:p>
        </w:tc>
      </w:tr>
    </w:tbl>
    <w:p>
      <w:pPr>
        <w:pStyle w:val="TextBody"/>
        <w:spacing w:before="0" w:after="0"/>
        <w:ind w:left="720" w:right="0" w:hanging="0"/>
        <w:jc w:val="both"/>
        <w:rPr/>
      </w:pPr>
      <w:r>
        <w:rPr/>
        <w:t> </w:t>
      </w:r>
    </w:p>
    <w:p>
      <w:pPr>
        <w:pStyle w:val="TextBody"/>
        <w:spacing w:before="0" w:after="0"/>
        <w:ind w:left="720" w:right="0" w:hanging="0"/>
        <w:jc w:val="both"/>
        <w:rPr>
          <w:rFonts w:ascii="times new roman" w:hAnsi="times new roman"/>
          <w:sz w:val="20"/>
        </w:rPr>
      </w:pPr>
      <w:r>
        <w:rPr>
          <w:rFonts w:ascii="times new roman" w:hAnsi="times new roman"/>
          <w:sz w:val="20"/>
        </w:rPr>
        <w:t xml:space="preserve">(A) Kingstone generates operating losses for state purposes and has prior year NOLs available. The state NOL as of December 31, 2022 and 2021 was approximately $35,025,000 and $32,296,000, respectively. KICO, the Company’s insurance underwriting subsidiary, is not subject to state income taxes. KICO’s state tax obligations are paid through a gross premiums tax, which is included in the consolidated statements of operations and comprehensive income (loss) within other underwriting expenses. Kingstone has recorded a valuation allowance due to the uncertainty of generating enough state taxable income to utilize 100% of the available state NOLs over their remaining lives, which expire between 2027 and 2042.  </w:t>
      </w:r>
    </w:p>
    <w:p>
      <w:pPr>
        <w:pStyle w:val="TextBody"/>
        <w:spacing w:before="0" w:after="0"/>
        <w:ind w:left="0" w:right="0" w:hanging="0"/>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F-48</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2022 AND 2021</w:t>
      </w:r>
    </w:p>
    <w:p>
      <w:pPr>
        <w:pStyle w:val="TextBody"/>
        <w:spacing w:before="0" w:after="0"/>
        <w:ind w:left="0" w:right="0" w:hanging="0"/>
        <w:jc w:val="center"/>
        <w:rPr/>
      </w:pPr>
      <w:r>
        <w:rPr/>
        <w:t>   </w:t>
      </w:r>
    </w:p>
    <w:tbl>
      <w:tblPr>
        <w:tblW w:w="4115" w:type="dxa"/>
        <w:jc w:val="left"/>
        <w:tblInd w:w="0" w:type="dxa"/>
        <w:tblCellMar>
          <w:top w:w="0" w:type="dxa"/>
          <w:left w:w="0" w:type="dxa"/>
          <w:bottom w:w="0" w:type="dxa"/>
          <w:right w:w="0" w:type="dxa"/>
        </w:tblCellMar>
      </w:tblPr>
      <w:tblGrid>
        <w:gridCol w:w="555"/>
        <w:gridCol w:w="3560"/>
      </w:tblGrid>
      <w:tr>
        <w:trPr/>
        <w:tc>
          <w:tcPr>
            <w:tcW w:w="55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3560"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Deferred tax liability - investment in KICO</w:t>
            </w:r>
          </w:p>
        </w:tc>
      </w:tr>
      <w:tr>
        <w:trPr/>
        <w:tc>
          <w:tcPr>
            <w:tcW w:w="555" w:type="dxa"/>
            <w:tcBorders/>
            <w:shd w:fill="auto" w:val="clear"/>
            <w:vAlign w:val="center"/>
          </w:tcPr>
          <w:p>
            <w:pPr>
              <w:pStyle w:val="TableContents"/>
              <w:spacing w:before="0" w:after="0"/>
              <w:ind w:left="0" w:right="0" w:firstLine="450"/>
              <w:rPr/>
            </w:pPr>
            <w:r>
              <w:rPr/>
              <w:t> </w:t>
            </w:r>
          </w:p>
        </w:tc>
        <w:tc>
          <w:tcPr>
            <w:tcW w:w="3560" w:type="dxa"/>
            <w:tcBorders/>
            <w:shd w:fill="auto" w:val="clear"/>
            <w:vAlign w:val="center"/>
          </w:tcPr>
          <w:p>
            <w:pPr>
              <w:pStyle w:val="TableContents"/>
              <w:spacing w:before="0" w:after="0"/>
              <w:ind w:left="0" w:right="0" w:hanging="0"/>
              <w:rPr/>
            </w:pPr>
            <w:r>
              <w:rPr/>
              <w:t> </w:t>
            </w:r>
          </w:p>
        </w:tc>
      </w:tr>
    </w:tbl>
    <w:p>
      <w:pPr>
        <w:pStyle w:val="TextBody"/>
        <w:spacing w:before="0" w:after="0"/>
        <w:ind w:left="0" w:right="0" w:hanging="0"/>
        <w:rPr>
          <w:rFonts w:ascii="times new roman" w:hAnsi="times new roman"/>
          <w:sz w:val="20"/>
        </w:rPr>
      </w:pPr>
      <w:r>
        <w:rPr>
          <w:rFonts w:ascii="times new roman" w:hAnsi="times new roman"/>
          <w:sz w:val="20"/>
        </w:rPr>
        <w:t xml:space="preserve">On July 1, 2009, the Company completed the acquisition of 100% of the issued and outstanding common stock of KICO (formerly known as Commercial Mutual Insurance Company (“CMIC”)) pursuant to the conversion of CMIC from an advance premium cooperative insurance company to a stock property and casualty insurance company. Pursuant to the plan of conversion, the Company acquired a 100% equity interest in KICO, in consideration for the exchange of $3,750,000 principal amount of surplus notes of CMIC. In addition, the Company forgave all accrued and unpaid interest on the surplus notes as of the date of conversion. As of the date of acquisition, unpaid accrued interest on the surplus notes along with the accretion of the discount on the original purchase of the surplus notes totaled $2,921,319 (collectively the “Untaxed Interest”). As of the date of acquisition, the deferred tax liability on the Untaxed Interest was $1,169,000. Under GAAP guidance for business combinations, a temporary difference with an indefinite life exists when the parent company has a lower carrying value of its subsidiary for income tax purposes. The deferred tax liability was reduced to $759,543 upon the reduction of federal income tax rates as of December 31, 2017.  The Company is required to maintain its deferred tax liability of $759,543 related to this temporary difference until the stock of KICO is sold, or the assets of KICO are sold or KICO and the parent are merged. </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table below reconciles the changes in net deferred income tax assets (liabilities) to the deferred income tax provision for the year ended December 31, 2022:</w:t>
      </w:r>
    </w:p>
    <w:p>
      <w:pPr>
        <w:pStyle w:val="TextBody"/>
        <w:spacing w:before="0" w:after="0"/>
        <w:ind w:left="0" w:right="0" w:hanging="0"/>
        <w:jc w:val="both"/>
        <w:rPr/>
      </w:pPr>
      <w:r>
        <w:rPr/>
        <w:t> </w:t>
      </w:r>
    </w:p>
    <w:tbl>
      <w:tblPr>
        <w:tblW w:w="7565" w:type="dxa"/>
        <w:jc w:val="left"/>
        <w:tblInd w:w="0" w:type="dxa"/>
        <w:tblCellMar>
          <w:top w:w="0" w:type="dxa"/>
          <w:left w:w="0" w:type="dxa"/>
          <w:bottom w:w="0" w:type="dxa"/>
          <w:right w:w="0" w:type="dxa"/>
        </w:tblCellMar>
      </w:tblPr>
      <w:tblGrid>
        <w:gridCol w:w="5930"/>
        <w:gridCol w:w="90"/>
        <w:gridCol w:w="170"/>
        <w:gridCol w:w="1205"/>
        <w:gridCol w:w="170"/>
      </w:tblGrid>
      <w:tr>
        <w:trPr/>
        <w:tc>
          <w:tcPr>
            <w:tcW w:w="5930" w:type="dxa"/>
            <w:tcBorders/>
            <w:shd w:fill="CCEEFF" w:val="clear"/>
            <w:vAlign w:val="center"/>
          </w:tcPr>
          <w:p>
            <w:pPr>
              <w:pStyle w:val="TableContents"/>
              <w:spacing w:before="0" w:after="283"/>
              <w:rPr/>
            </w:pPr>
            <w:r>
              <w:rPr/>
              <w:t xml:space="preserve">Decrease in net deferred income tax assets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05" w:type="dxa"/>
            <w:tcBorders/>
            <w:shd w:fill="CCEEFF" w:val="clear"/>
            <w:vAlign w:val="center"/>
          </w:tcPr>
          <w:p>
            <w:pPr>
              <w:pStyle w:val="TableContents"/>
              <w:spacing w:before="0" w:after="283"/>
              <w:jc w:val="right"/>
              <w:rPr/>
            </w:pPr>
            <w:r>
              <w:rPr/>
              <w:t>(10,138,905</w:t>
            </w:r>
          </w:p>
        </w:tc>
        <w:tc>
          <w:tcPr>
            <w:tcW w:w="170" w:type="dxa"/>
            <w:tcBorders/>
            <w:shd w:fill="CCEEFF" w:val="clear"/>
            <w:vAlign w:val="center"/>
          </w:tcPr>
          <w:p>
            <w:pPr>
              <w:pStyle w:val="TableContents"/>
              <w:spacing w:before="0" w:after="283"/>
              <w:rPr/>
            </w:pPr>
            <w:r>
              <w:rPr/>
              <w:t>)</w:t>
            </w:r>
          </w:p>
        </w:tc>
      </w:tr>
      <w:tr>
        <w:trPr/>
        <w:tc>
          <w:tcPr>
            <w:tcW w:w="5930" w:type="dxa"/>
            <w:tcBorders/>
            <w:shd w:fill="FFFFFF" w:val="clear"/>
            <w:vAlign w:val="center"/>
          </w:tcPr>
          <w:p>
            <w:pPr>
              <w:pStyle w:val="TableContents"/>
              <w:spacing w:before="0" w:after="283"/>
              <w:rPr/>
            </w:pPr>
            <w:r>
              <w:rPr/>
              <w:t xml:space="preserve">Deferred tax benefit allocated to other comprehensive income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jc w:val="right"/>
              <w:rPr/>
            </w:pPr>
            <w:r>
              <w:rPr/>
              <w:t>(4,719,729</w:t>
            </w:r>
          </w:p>
        </w:tc>
        <w:tc>
          <w:tcPr>
            <w:tcW w:w="170" w:type="dxa"/>
            <w:tcBorders/>
            <w:shd w:fill="FFFFFF" w:val="clear"/>
            <w:vAlign w:val="center"/>
          </w:tcPr>
          <w:p>
            <w:pPr>
              <w:pStyle w:val="TableContents"/>
              <w:spacing w:before="0" w:after="283"/>
              <w:rPr/>
            </w:pPr>
            <w:r>
              <w:rPr/>
              <w:t>)</w:t>
            </w:r>
          </w:p>
        </w:tc>
      </w:tr>
      <w:tr>
        <w:trPr/>
        <w:tc>
          <w:tcPr>
            <w:tcW w:w="5930" w:type="dxa"/>
            <w:tcBorders/>
            <w:shd w:fill="CCEEFF" w:val="clear"/>
            <w:vAlign w:val="center"/>
          </w:tcPr>
          <w:p>
            <w:pPr>
              <w:pStyle w:val="TableContents"/>
              <w:spacing w:before="0" w:after="283"/>
              <w:rPr/>
            </w:pPr>
            <w:r>
              <w:rPr/>
              <w:t xml:space="preserve">Deferred income tax benefit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1205" w:type="dxa"/>
            <w:tcBorders>
              <w:bottom w:val="double" w:sz="5" w:space="0" w:color="000000"/>
            </w:tcBorders>
            <w:shd w:fill="CCEEFF" w:val="clear"/>
            <w:tcMar>
              <w:bottom w:w="28" w:type="dxa"/>
            </w:tcMar>
            <w:vAlign w:val="center"/>
          </w:tcPr>
          <w:p>
            <w:pPr>
              <w:pStyle w:val="TableContents"/>
              <w:spacing w:before="0" w:after="283"/>
              <w:jc w:val="right"/>
              <w:rPr/>
            </w:pPr>
            <w:r>
              <w:rPr/>
              <w:t>(5,419,176</w:t>
            </w:r>
          </w:p>
        </w:tc>
        <w:tc>
          <w:tcPr>
            <w:tcW w:w="170" w:type="dxa"/>
            <w:tcBorders/>
            <w:shd w:fill="CCEEFF" w:val="clear"/>
            <w:vAlign w:val="center"/>
          </w:tcPr>
          <w:p>
            <w:pPr>
              <w:pStyle w:val="TableContents"/>
              <w:spacing w:before="0" w:after="283"/>
              <w:rPr/>
            </w:pPr>
            <w:r>
              <w:rPr/>
              <w:t>)</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 assessing the valuation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No valuation allowance against deferred tax assets has been established, except for NOL limitations, as the Company believes it is more likely than not the deferred tax assets will be realized based on the historical taxable income of KICO, or by offset to deferred tax liabilities.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Company had no material unrecognized tax benefit and no adjustments to liabilities or operations were required. There were no interest or penalties related to income taxes that have been accrued or recognized as of and for the years ended December 31, 2022 and 2021. If any had been recognized these would have been reported in income tax expense.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Generally, taxing authorities may examine the Company’s tax returns for the three years from the date of filing.  The Company’s tax returns for the years ended December 31, 2019 through December 31, 2021 remain subject to examination. </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 xml:space="preserve">Note 16 - Employee Benefit Plans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Employee Bonus Plan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For the years ended December 31, 2022 and 2021 the Company did not accrue for, or pay, bonuses related to the employee bonus plan.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401 (k) Plan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Company maintains a salary reduction plan under Section 401(k) of the Internal Revenue Code (the “401(k) Plan”) for its qualified employees. The Company matches 100% of each participant’s contribution up to 4% of the participant’s eligible contribution.  The Company incurred approximately $264,000 and $249,000, respectively, of expense for the years ended December 31, 2022 and 2021, related to the 401(k) Plan, which is recorded in other underwriting expenses on the accompanying consolidated statements of operations and comprehensive income (loss).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F-49</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2022 AND 2021</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Deferred Compensation Plan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On June 18, 2018, the Company adopted the Kingstone Companies, Inc. Deferred Compensation Plan (the “Deferred Compensation Plan”). The Deferred Compensation Plan is offered to a select group (“Participants”), consisting of management and highly compensated employees as a method of recognizing and retaining such Participants. The Deferred Compensation Plan provides for eligible Participants to elect to defer up to 75% of their base compensation and up to 100% of bonuses and other compensation and to have such deferred amounts deemed to be invested in specified investment options. In addition to the Participant deferrals, the Company may choose to make matching contributions to some or all of the Participants in the Deferred Compensation Plan to the extent the Participant did not receive the maximum matching or non-elective contributions permissible under the Company’s 401(k) Plan due to limitations under the Internal Revenue Code or the 401(k) Plan. Participants may elect to receive payment of their account balances in a single cash payment or in annual installments for a period of up to ten years. The deferred compensation liability as of December 31, 2022 and 2021 amounted to $1,155,860 and $907,914, respectively, and is recorded in accounts payable, accrued expenses and other liabilities in the accompanying  consolidated balance sheets. The Company did not make any voluntary contributions for the years ended December 31, 2022 and 2021.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Effective December 22, 2022, the Company terminated the Deferred Compensation Plan. The assets of the Deferred Compensation Plan will be liquidated by making payments to Participants in full satisfaction of their interest in the Deferred Compensation Plan (“Termination Payments”), which Termination Payments will be made no earlier than December 22, 2023 and will be completed no later than December 22, 2024.</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Note 17 - Commitments and Contingencies</w:t>
      </w:r>
    </w:p>
    <w:p>
      <w:pPr>
        <w:pStyle w:val="TextBody"/>
        <w:spacing w:before="0" w:after="0"/>
        <w:ind w:left="0" w:right="0" w:hanging="0"/>
        <w:jc w:val="both"/>
        <w:rPr/>
      </w:pPr>
      <w:r>
        <w:rPr/>
        <w:t> </w:t>
      </w:r>
    </w:p>
    <w:p>
      <w:pPr>
        <w:pStyle w:val="TextBody"/>
        <w:spacing w:before="0" w:after="0"/>
        <w:ind w:left="0" w:right="0" w:hanging="0"/>
        <w:rPr>
          <w:rFonts w:ascii="times new roman" w:hAnsi="times new roman"/>
          <w:sz w:val="20"/>
          <w:u w:val="single"/>
        </w:rPr>
      </w:pPr>
      <w:r>
        <w:rPr>
          <w:rFonts w:ascii="times new roman" w:hAnsi="times new roman"/>
          <w:sz w:val="20"/>
          <w:u w:val="single"/>
        </w:rPr>
        <w:t>Litigation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From time to time, the Company is involved in various legal proceedings in the ordinary course of business. For example, to the extent a claim is asserted by a third party in a lawsuit against one of the Company’s insureds covered by a particular policy, the Company may have a duty to defend the insured party against the claim. These claims may relate to bodily injury, property damage or other compensable injuries as set forth in the policy. Such proceedings are considered in estimating the liability for loss and LAE expenses. </w:t>
      </w:r>
    </w:p>
    <w:p>
      <w:pPr>
        <w:pStyle w:val="TextBody"/>
        <w:spacing w:before="0" w:after="0"/>
        <w:ind w:left="0" w:right="0" w:hanging="0"/>
        <w:rPr/>
      </w:pPr>
      <w:r>
        <w:rPr/>
        <w:t> </w:t>
      </w:r>
    </w:p>
    <w:p>
      <w:pPr>
        <w:pStyle w:val="TextBody"/>
        <w:spacing w:before="0" w:after="0"/>
        <w:ind w:left="0" w:right="0" w:hanging="0"/>
        <w:rPr>
          <w:rFonts w:ascii="times new roman" w:hAnsi="times new roman"/>
          <w:sz w:val="20"/>
          <w:u w:val="single"/>
        </w:rPr>
      </w:pPr>
      <w:r>
        <w:rPr>
          <w:rFonts w:ascii="times new roman" w:hAnsi="times new roman"/>
          <w:sz w:val="20"/>
          <w:u w:val="single"/>
        </w:rPr>
        <w:t>Office Leases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enters into lease agreements for real estate that is primarily used for office space in the ordinary course of business. These leases are accounted for as operating leases, whereby lease expense is recognized on a straight-line basis over the term of the lease. See Note 2 - Accounting Policies for additional information regarding the accounting for leases.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Company is a party to a non-cancellable operating lease, dated March 27, 2015, for its office facility for KICO located in Valley Stream, New York expiring March 31, 2024.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On July 8, 2019, the Company entered into a lease agreement for an additional office facility for Cosi located in Valley Stream, New York under a non-cancelable operating lease. The lease had a term of seven years and two months expiring December 31, 2026.  During January 2022, pursuant to a mutual agreement with the landlord at a cost of $40,000, the Cosi lease was terminated effective as of January 31, 2022. </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F-50</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2022 AND 2021</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Additional information regarding the Company’s office operating leases is as follows:</w:t>
      </w:r>
    </w:p>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6422"/>
        <w:gridCol w:w="90"/>
        <w:gridCol w:w="260"/>
        <w:gridCol w:w="1273"/>
        <w:gridCol w:w="245"/>
        <w:gridCol w:w="90"/>
        <w:gridCol w:w="260"/>
        <w:gridCol w:w="1273"/>
        <w:gridCol w:w="292"/>
      </w:tblGrid>
      <w:tr>
        <w:trPr/>
        <w:tc>
          <w:tcPr>
            <w:tcW w:w="6422"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533"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Year ended </w:t>
            </w:r>
          </w:p>
        </w:tc>
        <w:tc>
          <w:tcPr>
            <w:tcW w:w="24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533" w:type="dxa"/>
            <w:gridSpan w:val="2"/>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Year ended </w:t>
            </w:r>
          </w:p>
        </w:tc>
        <w:tc>
          <w:tcPr>
            <w:tcW w:w="292" w:type="dxa"/>
            <w:tcBorders/>
            <w:shd w:fill="auto" w:val="clear"/>
            <w:vAlign w:val="center"/>
          </w:tcPr>
          <w:p>
            <w:pPr>
              <w:pStyle w:val="TableContents"/>
              <w:spacing w:before="0" w:after="0"/>
              <w:ind w:left="0" w:right="0" w:hanging="0"/>
              <w:rPr/>
            </w:pPr>
            <w:r>
              <w:rPr>
                <w:rStyle w:val="StrongEmphasis"/>
              </w:rPr>
              <w:t> </w:t>
            </w:r>
          </w:p>
        </w:tc>
      </w:tr>
      <w:tr>
        <w:trPr/>
        <w:tc>
          <w:tcPr>
            <w:tcW w:w="6422" w:type="dxa"/>
            <w:tcBorders>
              <w:bottom w:val="single" w:sz="2" w:space="0" w:color="000000"/>
            </w:tcBorders>
            <w:shd w:fill="auto" w:val="clear"/>
            <w:tcMar>
              <w:bottom w:w="28" w:type="dxa"/>
            </w:tcMar>
            <w:vAlign w:val="center"/>
          </w:tcPr>
          <w:p>
            <w:pPr>
              <w:pStyle w:val="TableContents"/>
              <w:spacing w:before="0" w:after="283"/>
              <w:rPr/>
            </w:pPr>
            <w:r>
              <w:rPr>
                <w:rStyle w:val="StrongEmphasis"/>
              </w:rPr>
              <w:t xml:space="preserve">Lease cost </w:t>
            </w:r>
          </w:p>
        </w:tc>
        <w:tc>
          <w:tcPr>
            <w:tcW w:w="90" w:type="dxa"/>
            <w:tcBorders/>
            <w:shd w:fill="auto" w:val="clear"/>
            <w:vAlign w:val="center"/>
          </w:tcPr>
          <w:p>
            <w:pPr>
              <w:pStyle w:val="TableContents"/>
              <w:spacing w:before="0" w:after="0"/>
              <w:ind w:left="0" w:right="0" w:hanging="0"/>
              <w:rPr/>
            </w:pPr>
            <w:r>
              <w:rPr>
                <w:rStyle w:val="StrongEmphasis"/>
              </w:rPr>
              <w:t> </w:t>
            </w:r>
          </w:p>
        </w:tc>
        <w:tc>
          <w:tcPr>
            <w:tcW w:w="153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2022</w:t>
            </w:r>
          </w:p>
        </w:tc>
        <w:tc>
          <w:tcPr>
            <w:tcW w:w="24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53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 2021</w:t>
            </w:r>
          </w:p>
        </w:tc>
        <w:tc>
          <w:tcPr>
            <w:tcW w:w="292" w:type="dxa"/>
            <w:tcBorders/>
            <w:shd w:fill="auto" w:val="clear"/>
            <w:vAlign w:val="center"/>
          </w:tcPr>
          <w:p>
            <w:pPr>
              <w:pStyle w:val="TableContents"/>
              <w:spacing w:before="0" w:after="0"/>
              <w:ind w:left="0" w:right="0" w:hanging="0"/>
              <w:rPr/>
            </w:pPr>
            <w:r>
              <w:rPr/>
              <w:t> </w:t>
            </w:r>
          </w:p>
        </w:tc>
      </w:tr>
      <w:tr>
        <w:trPr/>
        <w:tc>
          <w:tcPr>
            <w:tcW w:w="6422" w:type="dxa"/>
            <w:tcBorders/>
            <w:shd w:fill="CCEEFF" w:val="clear"/>
            <w:vAlign w:val="center"/>
          </w:tcPr>
          <w:p>
            <w:pPr>
              <w:pStyle w:val="TableContents"/>
              <w:spacing w:before="0" w:after="283"/>
              <w:rPr/>
            </w:pPr>
            <w:r>
              <w:rPr/>
              <w:t xml:space="preserve">Operating lease (1) (2) </w:t>
            </w:r>
          </w:p>
        </w:tc>
        <w:tc>
          <w:tcPr>
            <w:tcW w:w="90" w:type="dxa"/>
            <w:tcBorders/>
            <w:shd w:fill="CCEEFF" w:val="clear"/>
            <w:vAlign w:val="center"/>
          </w:tcPr>
          <w:p>
            <w:pPr>
              <w:pStyle w:val="TableContents"/>
              <w:spacing w:before="0" w:after="0"/>
              <w:ind w:left="0" w:right="0" w:hanging="0"/>
              <w:rPr/>
            </w:pPr>
            <w:r>
              <w:rPr/>
              <w:t> </w:t>
            </w:r>
          </w:p>
        </w:tc>
        <w:tc>
          <w:tcPr>
            <w:tcW w:w="260" w:type="dxa"/>
            <w:tcBorders/>
            <w:shd w:fill="CCEEFF" w:val="clear"/>
            <w:vAlign w:val="center"/>
          </w:tcPr>
          <w:p>
            <w:pPr>
              <w:pStyle w:val="TableContents"/>
              <w:spacing w:before="0" w:after="283"/>
              <w:rPr/>
            </w:pPr>
            <w:r>
              <w:rPr/>
              <w:t>$</w:t>
            </w:r>
          </w:p>
        </w:tc>
        <w:tc>
          <w:tcPr>
            <w:tcW w:w="1273" w:type="dxa"/>
            <w:tcBorders/>
            <w:shd w:fill="CCEEFF" w:val="clear"/>
            <w:vAlign w:val="center"/>
          </w:tcPr>
          <w:p>
            <w:pPr>
              <w:pStyle w:val="TableContents"/>
              <w:spacing w:before="0" w:after="283"/>
              <w:jc w:val="right"/>
              <w:rPr/>
            </w:pPr>
            <w:r>
              <w:rPr/>
              <w:t>172,494</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60" w:type="dxa"/>
            <w:tcBorders/>
            <w:shd w:fill="CCEEFF" w:val="clear"/>
            <w:vAlign w:val="center"/>
          </w:tcPr>
          <w:p>
            <w:pPr>
              <w:pStyle w:val="TableContents"/>
              <w:spacing w:before="0" w:after="283"/>
              <w:rPr/>
            </w:pPr>
            <w:r>
              <w:rPr/>
              <w:t>$</w:t>
            </w:r>
          </w:p>
        </w:tc>
        <w:tc>
          <w:tcPr>
            <w:tcW w:w="1273" w:type="dxa"/>
            <w:tcBorders/>
            <w:shd w:fill="CCEEFF" w:val="clear"/>
            <w:vAlign w:val="center"/>
          </w:tcPr>
          <w:p>
            <w:pPr>
              <w:pStyle w:val="TableContents"/>
              <w:spacing w:before="0" w:after="283"/>
              <w:jc w:val="right"/>
              <w:rPr/>
            </w:pPr>
            <w:r>
              <w:rPr/>
              <w:t>247,980</w:t>
            </w:r>
          </w:p>
        </w:tc>
        <w:tc>
          <w:tcPr>
            <w:tcW w:w="292" w:type="dxa"/>
            <w:tcBorders/>
            <w:shd w:fill="CCEEFF" w:val="clear"/>
            <w:vAlign w:val="center"/>
          </w:tcPr>
          <w:p>
            <w:pPr>
              <w:pStyle w:val="TableContents"/>
              <w:spacing w:before="0" w:after="0"/>
              <w:ind w:left="0" w:right="0" w:hanging="0"/>
              <w:rPr/>
            </w:pPr>
            <w:r>
              <w:rPr/>
              <w:t> </w:t>
            </w:r>
          </w:p>
        </w:tc>
      </w:tr>
      <w:tr>
        <w:trPr/>
        <w:tc>
          <w:tcPr>
            <w:tcW w:w="6422"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60" w:type="dxa"/>
            <w:tcBorders/>
            <w:shd w:fill="FFFFFF" w:val="clear"/>
            <w:vAlign w:val="center"/>
          </w:tcPr>
          <w:p>
            <w:pPr>
              <w:pStyle w:val="TableContents"/>
              <w:spacing w:before="0" w:after="0"/>
              <w:ind w:left="0" w:right="0" w:hanging="0"/>
              <w:rPr/>
            </w:pPr>
            <w:r>
              <w:rPr/>
              <w:t> </w:t>
            </w:r>
          </w:p>
        </w:tc>
        <w:tc>
          <w:tcPr>
            <w:tcW w:w="1273"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60" w:type="dxa"/>
            <w:tcBorders/>
            <w:shd w:fill="FFFFFF" w:val="clear"/>
            <w:vAlign w:val="center"/>
          </w:tcPr>
          <w:p>
            <w:pPr>
              <w:pStyle w:val="TableContents"/>
              <w:spacing w:before="0" w:after="0"/>
              <w:ind w:left="0" w:right="0" w:hanging="0"/>
              <w:rPr/>
            </w:pPr>
            <w:r>
              <w:rPr/>
              <w:t> </w:t>
            </w:r>
          </w:p>
        </w:tc>
        <w:tc>
          <w:tcPr>
            <w:tcW w:w="1273" w:type="dxa"/>
            <w:tcBorders/>
            <w:shd w:fill="FFFFFF" w:val="clear"/>
            <w:vAlign w:val="center"/>
          </w:tcPr>
          <w:p>
            <w:pPr>
              <w:pStyle w:val="TableContents"/>
              <w:spacing w:before="0" w:after="0"/>
              <w:ind w:left="0" w:right="0" w:hanging="0"/>
              <w:rPr/>
            </w:pPr>
            <w:r>
              <w:rPr/>
              <w:t> </w:t>
            </w:r>
          </w:p>
        </w:tc>
        <w:tc>
          <w:tcPr>
            <w:tcW w:w="292" w:type="dxa"/>
            <w:tcBorders/>
            <w:shd w:fill="FFFFFF" w:val="clear"/>
            <w:vAlign w:val="center"/>
          </w:tcPr>
          <w:p>
            <w:pPr>
              <w:pStyle w:val="TableContents"/>
              <w:spacing w:before="0" w:after="0"/>
              <w:ind w:left="0" w:right="0" w:hanging="0"/>
              <w:rPr/>
            </w:pPr>
            <w:r>
              <w:rPr/>
              <w:t> </w:t>
            </w:r>
          </w:p>
        </w:tc>
      </w:tr>
      <w:tr>
        <w:trPr/>
        <w:tc>
          <w:tcPr>
            <w:tcW w:w="6422" w:type="dxa"/>
            <w:tcBorders/>
            <w:shd w:fill="CCEEFF" w:val="clear"/>
            <w:vAlign w:val="center"/>
          </w:tcPr>
          <w:p>
            <w:pPr>
              <w:pStyle w:val="TableContents"/>
              <w:spacing w:before="0" w:after="283"/>
              <w:rPr/>
            </w:pPr>
            <w:r>
              <w:rPr>
                <w:rStyle w:val="StrongEmphasis"/>
              </w:rPr>
              <w:t xml:space="preserve">Other information on operating leases </w:t>
            </w:r>
          </w:p>
        </w:tc>
        <w:tc>
          <w:tcPr>
            <w:tcW w:w="90" w:type="dxa"/>
            <w:tcBorders/>
            <w:shd w:fill="CCEEFF" w:val="clear"/>
            <w:vAlign w:val="center"/>
          </w:tcPr>
          <w:p>
            <w:pPr>
              <w:pStyle w:val="TableContents"/>
              <w:spacing w:before="0" w:after="0"/>
              <w:ind w:left="0" w:right="0" w:hanging="0"/>
              <w:rPr/>
            </w:pPr>
            <w:r>
              <w:rPr/>
              <w:t> </w:t>
            </w:r>
          </w:p>
        </w:tc>
        <w:tc>
          <w:tcPr>
            <w:tcW w:w="260" w:type="dxa"/>
            <w:tcBorders/>
            <w:shd w:fill="CCEEFF" w:val="clear"/>
            <w:vAlign w:val="center"/>
          </w:tcPr>
          <w:p>
            <w:pPr>
              <w:pStyle w:val="TableContents"/>
              <w:spacing w:before="0" w:after="0"/>
              <w:ind w:left="0" w:right="0" w:hanging="0"/>
              <w:rPr/>
            </w:pPr>
            <w:r>
              <w:rPr/>
              <w:t> </w:t>
            </w:r>
          </w:p>
        </w:tc>
        <w:tc>
          <w:tcPr>
            <w:tcW w:w="1273" w:type="dxa"/>
            <w:tcBorders/>
            <w:shd w:fill="CCEEFF" w:val="clear"/>
            <w:vAlign w:val="center"/>
          </w:tcPr>
          <w:p>
            <w:pPr>
              <w:pStyle w:val="TableContents"/>
              <w:spacing w:before="0" w:after="0"/>
              <w:ind w:left="0" w:right="0" w:hanging="0"/>
              <w:rPr/>
            </w:pPr>
            <w:r>
              <w:rPr/>
              <w:t> </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60" w:type="dxa"/>
            <w:tcBorders/>
            <w:shd w:fill="CCEEFF" w:val="clear"/>
            <w:vAlign w:val="center"/>
          </w:tcPr>
          <w:p>
            <w:pPr>
              <w:pStyle w:val="TableContents"/>
              <w:spacing w:before="0" w:after="0"/>
              <w:ind w:left="0" w:right="0" w:hanging="0"/>
              <w:rPr/>
            </w:pPr>
            <w:r>
              <w:rPr/>
              <w:t> </w:t>
            </w:r>
          </w:p>
        </w:tc>
        <w:tc>
          <w:tcPr>
            <w:tcW w:w="1273" w:type="dxa"/>
            <w:tcBorders/>
            <w:shd w:fill="CCEEFF" w:val="clear"/>
            <w:vAlign w:val="center"/>
          </w:tcPr>
          <w:p>
            <w:pPr>
              <w:pStyle w:val="TableContents"/>
              <w:spacing w:before="0" w:after="0"/>
              <w:ind w:left="0" w:right="0" w:hanging="0"/>
              <w:rPr/>
            </w:pPr>
            <w:r>
              <w:rPr/>
              <w:t> </w:t>
            </w:r>
          </w:p>
        </w:tc>
        <w:tc>
          <w:tcPr>
            <w:tcW w:w="292" w:type="dxa"/>
            <w:tcBorders/>
            <w:shd w:fill="CCEEFF" w:val="clear"/>
            <w:vAlign w:val="center"/>
          </w:tcPr>
          <w:p>
            <w:pPr>
              <w:pStyle w:val="TableContents"/>
              <w:spacing w:before="0" w:after="0"/>
              <w:ind w:left="0" w:right="0" w:hanging="0"/>
              <w:rPr/>
            </w:pPr>
            <w:r>
              <w:rPr/>
              <w:t> </w:t>
            </w:r>
          </w:p>
        </w:tc>
      </w:tr>
      <w:tr>
        <w:trPr/>
        <w:tc>
          <w:tcPr>
            <w:tcW w:w="6422"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Cash payments included in the measurement of lease liability reported in operating cash flows </w:t>
            </w:r>
          </w:p>
        </w:tc>
        <w:tc>
          <w:tcPr>
            <w:tcW w:w="90" w:type="dxa"/>
            <w:tcBorders/>
            <w:shd w:fill="FFFFFF" w:val="clear"/>
            <w:vAlign w:val="center"/>
          </w:tcPr>
          <w:p>
            <w:pPr>
              <w:pStyle w:val="TableContents"/>
              <w:spacing w:before="0" w:after="0"/>
              <w:ind w:left="0" w:right="0" w:hanging="0"/>
              <w:rPr/>
            </w:pPr>
            <w:r>
              <w:rPr/>
              <w:t> </w:t>
            </w:r>
          </w:p>
        </w:tc>
        <w:tc>
          <w:tcPr>
            <w:tcW w:w="260" w:type="dxa"/>
            <w:tcBorders/>
            <w:shd w:fill="FFFFFF" w:val="clear"/>
            <w:vAlign w:val="center"/>
          </w:tcPr>
          <w:p>
            <w:pPr>
              <w:pStyle w:val="TableContents"/>
              <w:spacing w:before="0" w:after="283"/>
              <w:rPr/>
            </w:pPr>
            <w:r>
              <w:rPr/>
              <w:t>$</w:t>
            </w:r>
          </w:p>
        </w:tc>
        <w:tc>
          <w:tcPr>
            <w:tcW w:w="1273" w:type="dxa"/>
            <w:tcBorders/>
            <w:shd w:fill="FFFFFF" w:val="clear"/>
            <w:vAlign w:val="center"/>
          </w:tcPr>
          <w:p>
            <w:pPr>
              <w:pStyle w:val="TableContents"/>
              <w:spacing w:before="0" w:after="283"/>
              <w:jc w:val="right"/>
              <w:rPr/>
            </w:pPr>
            <w:r>
              <w:rPr/>
              <w:t>195,453</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60" w:type="dxa"/>
            <w:tcBorders/>
            <w:shd w:fill="FFFFFF" w:val="clear"/>
            <w:vAlign w:val="center"/>
          </w:tcPr>
          <w:p>
            <w:pPr>
              <w:pStyle w:val="TableContents"/>
              <w:spacing w:before="0" w:after="283"/>
              <w:rPr/>
            </w:pPr>
            <w:r>
              <w:rPr/>
              <w:t>$</w:t>
            </w:r>
          </w:p>
        </w:tc>
        <w:tc>
          <w:tcPr>
            <w:tcW w:w="1273" w:type="dxa"/>
            <w:tcBorders/>
            <w:shd w:fill="FFFFFF" w:val="clear"/>
            <w:vAlign w:val="center"/>
          </w:tcPr>
          <w:p>
            <w:pPr>
              <w:pStyle w:val="TableContents"/>
              <w:spacing w:before="0" w:after="283"/>
              <w:jc w:val="right"/>
              <w:rPr/>
            </w:pPr>
            <w:r>
              <w:rPr/>
              <w:t>264,571</w:t>
            </w:r>
          </w:p>
        </w:tc>
        <w:tc>
          <w:tcPr>
            <w:tcW w:w="292" w:type="dxa"/>
            <w:tcBorders/>
            <w:shd w:fill="FFFFFF" w:val="clear"/>
            <w:vAlign w:val="center"/>
          </w:tcPr>
          <w:p>
            <w:pPr>
              <w:pStyle w:val="TableContents"/>
              <w:spacing w:before="0" w:after="0"/>
              <w:ind w:left="0" w:right="0" w:hanging="0"/>
              <w:rPr/>
            </w:pPr>
            <w:r>
              <w:rPr/>
              <w:t> </w:t>
            </w:r>
          </w:p>
        </w:tc>
      </w:tr>
      <w:tr>
        <w:trPr/>
        <w:tc>
          <w:tcPr>
            <w:tcW w:w="6422" w:type="dxa"/>
            <w:tcBorders/>
            <w:shd w:fill="CCEEFF" w:val="clear"/>
            <w:vAlign w:val="center"/>
          </w:tcPr>
          <w:p>
            <w:pPr>
              <w:pStyle w:val="TableContents"/>
              <w:spacing w:before="0" w:after="283"/>
              <w:rPr/>
            </w:pPr>
            <w:r>
              <w:rPr/>
              <w:t xml:space="preserve">Discount rate </w:t>
            </w:r>
          </w:p>
        </w:tc>
        <w:tc>
          <w:tcPr>
            <w:tcW w:w="90" w:type="dxa"/>
            <w:tcBorders/>
            <w:shd w:fill="CCEEFF" w:val="clear"/>
            <w:vAlign w:val="center"/>
          </w:tcPr>
          <w:p>
            <w:pPr>
              <w:pStyle w:val="TableContents"/>
              <w:spacing w:before="0" w:after="0"/>
              <w:ind w:left="0" w:right="0" w:hanging="0"/>
              <w:rPr/>
            </w:pPr>
            <w:r>
              <w:rPr/>
              <w:t> </w:t>
            </w:r>
          </w:p>
        </w:tc>
        <w:tc>
          <w:tcPr>
            <w:tcW w:w="260" w:type="dxa"/>
            <w:tcBorders/>
            <w:shd w:fill="CCEEFF" w:val="clear"/>
            <w:vAlign w:val="center"/>
          </w:tcPr>
          <w:p>
            <w:pPr>
              <w:pStyle w:val="TableContents"/>
              <w:spacing w:before="0" w:after="0"/>
              <w:ind w:left="0" w:right="0" w:hanging="0"/>
              <w:rPr/>
            </w:pPr>
            <w:r>
              <w:rPr/>
              <w:t> </w:t>
            </w:r>
          </w:p>
        </w:tc>
        <w:tc>
          <w:tcPr>
            <w:tcW w:w="1273" w:type="dxa"/>
            <w:tcBorders/>
            <w:shd w:fill="CCEEFF" w:val="clear"/>
            <w:vAlign w:val="center"/>
          </w:tcPr>
          <w:p>
            <w:pPr>
              <w:pStyle w:val="TableContents"/>
              <w:spacing w:before="0" w:after="283"/>
              <w:jc w:val="right"/>
              <w:rPr/>
            </w:pPr>
            <w:r>
              <w:rPr/>
              <w:t>5.50</w:t>
            </w:r>
          </w:p>
        </w:tc>
        <w:tc>
          <w:tcPr>
            <w:tcW w:w="24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260" w:type="dxa"/>
            <w:tcBorders/>
            <w:shd w:fill="CCEEFF" w:val="clear"/>
            <w:vAlign w:val="center"/>
          </w:tcPr>
          <w:p>
            <w:pPr>
              <w:pStyle w:val="TableContents"/>
              <w:spacing w:before="0" w:after="0"/>
              <w:ind w:left="0" w:right="0" w:hanging="0"/>
              <w:rPr/>
            </w:pPr>
            <w:r>
              <w:rPr/>
              <w:t> </w:t>
            </w:r>
          </w:p>
        </w:tc>
        <w:tc>
          <w:tcPr>
            <w:tcW w:w="1273" w:type="dxa"/>
            <w:tcBorders/>
            <w:shd w:fill="CCEEFF" w:val="clear"/>
            <w:vAlign w:val="center"/>
          </w:tcPr>
          <w:p>
            <w:pPr>
              <w:pStyle w:val="TableContents"/>
              <w:spacing w:before="0" w:after="283"/>
              <w:jc w:val="right"/>
              <w:rPr/>
            </w:pPr>
            <w:r>
              <w:rPr/>
              <w:t>5.50</w:t>
            </w:r>
          </w:p>
        </w:tc>
        <w:tc>
          <w:tcPr>
            <w:tcW w:w="292" w:type="dxa"/>
            <w:tcBorders/>
            <w:shd w:fill="CCEEFF" w:val="clear"/>
            <w:vAlign w:val="center"/>
          </w:tcPr>
          <w:p>
            <w:pPr>
              <w:pStyle w:val="TableContents"/>
              <w:spacing w:before="0" w:after="283"/>
              <w:rPr/>
            </w:pPr>
            <w:r>
              <w:rPr/>
              <w:t>%</w:t>
            </w:r>
          </w:p>
        </w:tc>
      </w:tr>
      <w:tr>
        <w:trPr/>
        <w:tc>
          <w:tcPr>
            <w:tcW w:w="6422" w:type="dxa"/>
            <w:tcBorders/>
            <w:shd w:fill="FFFFFF" w:val="clear"/>
            <w:vAlign w:val="center"/>
          </w:tcPr>
          <w:p>
            <w:pPr>
              <w:pStyle w:val="TableContents"/>
              <w:spacing w:before="0" w:after="283"/>
              <w:rPr/>
            </w:pPr>
            <w:r>
              <w:rPr/>
              <w:t xml:space="preserve">Remaining lease term in years </w:t>
            </w:r>
          </w:p>
        </w:tc>
        <w:tc>
          <w:tcPr>
            <w:tcW w:w="90" w:type="dxa"/>
            <w:tcBorders/>
            <w:shd w:fill="FFFFFF" w:val="clear"/>
            <w:vAlign w:val="center"/>
          </w:tcPr>
          <w:p>
            <w:pPr>
              <w:pStyle w:val="TableContents"/>
              <w:spacing w:before="0" w:after="0"/>
              <w:ind w:left="0" w:right="0" w:hanging="0"/>
              <w:rPr/>
            </w:pPr>
            <w:r>
              <w:rPr/>
              <w:t> </w:t>
            </w:r>
          </w:p>
        </w:tc>
        <w:tc>
          <w:tcPr>
            <w:tcW w:w="260" w:type="dxa"/>
            <w:tcBorders/>
            <w:shd w:fill="FFFFFF" w:val="clear"/>
            <w:vAlign w:val="center"/>
          </w:tcPr>
          <w:p>
            <w:pPr>
              <w:pStyle w:val="TableContents"/>
              <w:spacing w:before="0" w:after="0"/>
              <w:ind w:left="0" w:right="0" w:hanging="0"/>
              <w:rPr/>
            </w:pPr>
            <w:r>
              <w:rPr/>
              <w:t> </w:t>
            </w:r>
          </w:p>
        </w:tc>
        <w:tc>
          <w:tcPr>
            <w:tcW w:w="1273" w:type="dxa"/>
            <w:tcBorders/>
            <w:shd w:fill="FFFFFF" w:val="clear"/>
            <w:vAlign w:val="center"/>
          </w:tcPr>
          <w:p>
            <w:pPr>
              <w:pStyle w:val="TableContents"/>
              <w:spacing w:before="0" w:after="0"/>
              <w:ind w:left="0" w:right="0" w:hanging="0"/>
              <w:rPr/>
            </w:pPr>
            <w:r>
              <w:rPr/>
              <w:t> </w:t>
            </w:r>
          </w:p>
        </w:tc>
        <w:tc>
          <w:tcPr>
            <w:tcW w:w="24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260" w:type="dxa"/>
            <w:tcBorders/>
            <w:shd w:fill="FFFFFF" w:val="clear"/>
            <w:vAlign w:val="center"/>
          </w:tcPr>
          <w:p>
            <w:pPr>
              <w:pStyle w:val="TableContents"/>
              <w:spacing w:before="0" w:after="0"/>
              <w:ind w:left="0" w:right="0" w:hanging="0"/>
              <w:rPr/>
            </w:pPr>
            <w:r>
              <w:rPr/>
              <w:t> </w:t>
            </w:r>
          </w:p>
        </w:tc>
        <w:tc>
          <w:tcPr>
            <w:tcW w:w="1273" w:type="dxa"/>
            <w:tcBorders/>
            <w:shd w:fill="FFFFFF" w:val="clear"/>
            <w:vAlign w:val="center"/>
          </w:tcPr>
          <w:p>
            <w:pPr>
              <w:pStyle w:val="TableContents"/>
              <w:spacing w:before="0" w:after="0"/>
              <w:ind w:left="0" w:right="0" w:hanging="0"/>
              <w:rPr/>
            </w:pPr>
            <w:r>
              <w:rPr/>
              <w:t> </w:t>
            </w:r>
          </w:p>
        </w:tc>
        <w:tc>
          <w:tcPr>
            <w:tcW w:w="292" w:type="dxa"/>
            <w:tcBorders/>
            <w:shd w:fill="FFFFFF" w:val="clear"/>
            <w:vAlign w:val="center"/>
          </w:tcPr>
          <w:p>
            <w:pPr>
              <w:pStyle w:val="TableContents"/>
              <w:spacing w:before="0" w:after="0"/>
              <w:ind w:left="0" w:right="0" w:hanging="0"/>
              <w:rPr/>
            </w:pPr>
            <w:r>
              <w:rPr/>
              <w:t> </w:t>
            </w:r>
          </w:p>
        </w:tc>
      </w:tr>
      <w:tr>
        <w:trPr/>
        <w:tc>
          <w:tcPr>
            <w:tcW w:w="6422" w:type="dxa"/>
            <w:tcBorders/>
            <w:shd w:fill="CCEE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KICO </w:t>
            </w:r>
          </w:p>
        </w:tc>
        <w:tc>
          <w:tcPr>
            <w:tcW w:w="90" w:type="dxa"/>
            <w:tcBorders/>
            <w:shd w:fill="CCEEFF" w:val="clear"/>
            <w:vAlign w:val="center"/>
          </w:tcPr>
          <w:p>
            <w:pPr>
              <w:pStyle w:val="TableContents"/>
              <w:spacing w:before="0" w:after="0"/>
              <w:ind w:left="0" w:right="0" w:hanging="0"/>
              <w:rPr/>
            </w:pPr>
            <w:r>
              <w:rPr/>
              <w:t> </w:t>
            </w:r>
          </w:p>
        </w:tc>
        <w:tc>
          <w:tcPr>
            <w:tcW w:w="260" w:type="dxa"/>
            <w:tcBorders/>
            <w:shd w:fill="CCEEFF" w:val="clear"/>
            <w:vAlign w:val="center"/>
          </w:tcPr>
          <w:p>
            <w:pPr>
              <w:pStyle w:val="TableContents"/>
              <w:spacing w:before="0" w:after="0"/>
              <w:ind w:left="0" w:right="0" w:hanging="0"/>
              <w:rPr/>
            </w:pPr>
            <w:r>
              <w:rPr/>
              <w:t> </w:t>
            </w:r>
          </w:p>
        </w:tc>
        <w:tc>
          <w:tcPr>
            <w:tcW w:w="1273" w:type="dxa"/>
            <w:tcBorders/>
            <w:shd w:fill="CCEEFF" w:val="clear"/>
            <w:vAlign w:val="center"/>
          </w:tcPr>
          <w:p>
            <w:pPr>
              <w:pStyle w:val="TableContents"/>
              <w:spacing w:before="0" w:after="283"/>
              <w:jc w:val="right"/>
              <w:rPr/>
            </w:pPr>
            <w:r>
              <w:rPr/>
              <w:t>1.25</w:t>
            </w:r>
          </w:p>
        </w:tc>
        <w:tc>
          <w:tcPr>
            <w:tcW w:w="24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260" w:type="dxa"/>
            <w:tcBorders/>
            <w:shd w:fill="CCEEFF" w:val="clear"/>
            <w:vAlign w:val="center"/>
          </w:tcPr>
          <w:p>
            <w:pPr>
              <w:pStyle w:val="TableContents"/>
              <w:spacing w:before="0" w:after="0"/>
              <w:ind w:left="0" w:right="0" w:hanging="0"/>
              <w:rPr/>
            </w:pPr>
            <w:r>
              <w:rPr/>
              <w:t> </w:t>
            </w:r>
          </w:p>
        </w:tc>
        <w:tc>
          <w:tcPr>
            <w:tcW w:w="1273" w:type="dxa"/>
            <w:tcBorders/>
            <w:shd w:fill="CCEEFF" w:val="clear"/>
            <w:vAlign w:val="center"/>
          </w:tcPr>
          <w:p>
            <w:pPr>
              <w:pStyle w:val="TableContents"/>
              <w:spacing w:before="0" w:after="283"/>
              <w:jc w:val="right"/>
              <w:rPr/>
            </w:pPr>
            <w:r>
              <w:rPr/>
              <w:t>2.25</w:t>
            </w:r>
          </w:p>
        </w:tc>
        <w:tc>
          <w:tcPr>
            <w:tcW w:w="292"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105"/>
        <w:gridCol w:w="280"/>
        <w:gridCol w:w="9820"/>
      </w:tblGrid>
      <w:tr>
        <w:trPr/>
        <w:tc>
          <w:tcPr>
            <w:tcW w:w="105" w:type="dxa"/>
            <w:tcBorders/>
            <w:shd w:fill="auto" w:val="clear"/>
            <w:vAlign w:val="center"/>
          </w:tcPr>
          <w:p>
            <w:pPr>
              <w:pStyle w:val="TableContents"/>
              <w:spacing w:before="0" w:after="0"/>
              <w:ind w:left="0" w:right="0" w:hanging="0"/>
              <w:rPr/>
            </w:pPr>
            <w:r>
              <w:rPr/>
              <w:t> </w:t>
            </w:r>
          </w:p>
        </w:tc>
        <w:tc>
          <w:tcPr>
            <w:tcW w:w="280" w:type="dxa"/>
            <w:tcBorders/>
            <w:shd w:fill="auto" w:val="clear"/>
            <w:vAlign w:val="center"/>
          </w:tcPr>
          <w:p>
            <w:pPr>
              <w:pStyle w:val="TableContents"/>
              <w:spacing w:before="0" w:after="0"/>
              <w:ind w:left="0" w:right="0" w:hanging="0"/>
              <w:rPr>
                <w:rFonts w:ascii="symbol" w:hAnsi="symbol"/>
                <w:sz w:val="20"/>
              </w:rPr>
            </w:pPr>
            <w:r>
              <w:rPr>
                <w:rFonts w:ascii="symbol" w:hAnsi="symbol"/>
                <w:sz w:val="20"/>
              </w:rPr>
              <w:t>(1)</w:t>
            </w:r>
          </w:p>
        </w:tc>
        <w:tc>
          <w:tcPr>
            <w:tcW w:w="9820" w:type="dxa"/>
            <w:tcBorders/>
            <w:shd w:fill="auto" w:val="clear"/>
            <w:vAlign w:val="center"/>
          </w:tcPr>
          <w:p>
            <w:pPr>
              <w:pStyle w:val="TableContents"/>
              <w:spacing w:before="0" w:after="283"/>
              <w:rPr/>
            </w:pPr>
            <w:r>
              <w:rPr/>
              <w:t>KICO rent expense is included in the consolidated statements of operations and comprehensive income (loss) within other underwriting expenses.</w:t>
            </w:r>
          </w:p>
        </w:tc>
      </w:tr>
      <w:tr>
        <w:trPr/>
        <w:tc>
          <w:tcPr>
            <w:tcW w:w="105" w:type="dxa"/>
            <w:tcBorders/>
            <w:shd w:fill="auto" w:val="clear"/>
            <w:vAlign w:val="center"/>
          </w:tcPr>
          <w:p>
            <w:pPr>
              <w:pStyle w:val="TableContents"/>
              <w:spacing w:before="0" w:after="0"/>
              <w:ind w:left="0" w:right="0" w:hanging="0"/>
              <w:rPr/>
            </w:pPr>
            <w:r>
              <w:rPr/>
              <w:t> </w:t>
            </w:r>
          </w:p>
        </w:tc>
        <w:tc>
          <w:tcPr>
            <w:tcW w:w="280" w:type="dxa"/>
            <w:tcBorders/>
            <w:shd w:fill="auto" w:val="clear"/>
            <w:vAlign w:val="center"/>
          </w:tcPr>
          <w:p>
            <w:pPr>
              <w:pStyle w:val="TableContents"/>
              <w:spacing w:before="0" w:after="0"/>
              <w:ind w:left="0" w:right="0" w:hanging="0"/>
              <w:rPr>
                <w:rFonts w:ascii="symbol" w:hAnsi="symbol"/>
                <w:sz w:val="20"/>
              </w:rPr>
            </w:pPr>
            <w:r>
              <w:rPr>
                <w:rFonts w:ascii="symbol" w:hAnsi="symbol"/>
                <w:sz w:val="20"/>
              </w:rPr>
              <w:t>(2)</w:t>
            </w:r>
          </w:p>
        </w:tc>
        <w:tc>
          <w:tcPr>
            <w:tcW w:w="9820" w:type="dxa"/>
            <w:tcBorders/>
            <w:shd w:fill="auto" w:val="clear"/>
            <w:vAlign w:val="center"/>
          </w:tcPr>
          <w:p>
            <w:pPr>
              <w:pStyle w:val="TableContents"/>
              <w:spacing w:before="0" w:after="283"/>
              <w:rPr/>
            </w:pPr>
            <w:r>
              <w:rPr/>
              <w:t>Cosi rent expense is included in the consolidated statements of operations and comprehensive income (loss) within other operating expenses.</w:t>
            </w:r>
          </w:p>
        </w:tc>
      </w:tr>
    </w:tbl>
    <w:p>
      <w:pPr>
        <w:pStyle w:val="TextBody"/>
        <w:spacing w:before="0" w:after="0"/>
        <w:ind w:left="0" w:right="0" w:hanging="0"/>
        <w:rPr/>
      </w:pPr>
      <w:r>
        <w:rPr/>
        <w:t xml:space="preserve">  </w:t>
      </w:r>
    </w:p>
    <w:p>
      <w:pPr>
        <w:pStyle w:val="TextBody"/>
        <w:spacing w:before="0" w:after="0"/>
        <w:ind w:left="0" w:right="0" w:hanging="0"/>
        <w:jc w:val="both"/>
        <w:rPr>
          <w:rFonts w:ascii="times new roman" w:hAnsi="times new roman"/>
          <w:sz w:val="20"/>
        </w:rPr>
      </w:pPr>
      <w:r>
        <w:rPr>
          <w:rFonts w:ascii="times new roman" w:hAnsi="times new roman"/>
          <w:sz w:val="20"/>
        </w:rPr>
        <w:t>Operating lease right-of-use assets, included in other assets, were $225,278 and $795,327 as of December 31, 2022 and 2021, respectively. Operating lease right-of-use liabilities, included in accounts payable, accrued expenses and other liabilities, were $225,278 and $795,327 as of December 31, 2022 and 2021, respectively.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presents the contractual maturities of the Company’s lease liabilities as of December 31, 2022:</w:t>
      </w:r>
    </w:p>
    <w:p>
      <w:pPr>
        <w:pStyle w:val="TextBody"/>
        <w:spacing w:before="0" w:after="0"/>
        <w:ind w:left="0" w:right="0" w:hanging="0"/>
        <w:jc w:val="both"/>
        <w:rPr/>
      </w:pPr>
      <w:r>
        <w:rPr/>
        <w:t> </w:t>
      </w:r>
    </w:p>
    <w:tbl>
      <w:tblPr>
        <w:tblW w:w="4230" w:type="dxa"/>
        <w:jc w:val="left"/>
        <w:tblInd w:w="0" w:type="dxa"/>
        <w:tblCellMar>
          <w:top w:w="0" w:type="dxa"/>
          <w:left w:w="0" w:type="dxa"/>
          <w:bottom w:w="0" w:type="dxa"/>
          <w:right w:w="0" w:type="dxa"/>
        </w:tblCellMar>
      </w:tblPr>
      <w:tblGrid>
        <w:gridCol w:w="3005"/>
        <w:gridCol w:w="90"/>
        <w:gridCol w:w="170"/>
        <w:gridCol w:w="830"/>
        <w:gridCol w:w="135"/>
      </w:tblGrid>
      <w:tr>
        <w:trPr/>
        <w:tc>
          <w:tcPr>
            <w:tcW w:w="3005" w:type="dxa"/>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For the Year </w:t>
            </w:r>
          </w:p>
        </w:tc>
        <w:tc>
          <w:tcPr>
            <w:tcW w:w="90" w:type="dxa"/>
            <w:tcBorders/>
            <w:shd w:fill="auto" w:val="clear"/>
            <w:vAlign w:val="center"/>
          </w:tcPr>
          <w:p>
            <w:pPr>
              <w:pStyle w:val="TableContents"/>
              <w:spacing w:before="0" w:after="0"/>
              <w:ind w:left="0" w:right="0" w:hanging="0"/>
              <w:rPr/>
            </w:pPr>
            <w:r>
              <w:rPr>
                <w:rStyle w:val="StrongEmphasis"/>
              </w:rPr>
              <w:t> </w:t>
            </w:r>
          </w:p>
        </w:tc>
        <w:tc>
          <w:tcPr>
            <w:tcW w:w="1000" w:type="dxa"/>
            <w:gridSpan w:val="2"/>
            <w:tcBorders/>
            <w:shd w:fill="auto" w:val="clear"/>
            <w:vAlign w:val="center"/>
          </w:tcPr>
          <w:p>
            <w:pPr>
              <w:pStyle w:val="TableContents"/>
              <w:spacing w:before="0" w:after="283"/>
              <w:rPr/>
            </w:pPr>
            <w:r>
              <w:rPr>
                <w:rStyle w:val="StrongEmphasis"/>
              </w:rPr>
              <w:t> </w:t>
            </w:r>
          </w:p>
        </w:tc>
        <w:tc>
          <w:tcPr>
            <w:tcW w:w="135" w:type="dxa"/>
            <w:tcBorders/>
            <w:shd w:fill="auto" w:val="clear"/>
            <w:vAlign w:val="center"/>
          </w:tcPr>
          <w:p>
            <w:pPr>
              <w:pStyle w:val="TableContents"/>
              <w:spacing w:before="0" w:after="0"/>
              <w:ind w:left="0" w:right="0" w:hanging="0"/>
              <w:rPr/>
            </w:pPr>
            <w:r>
              <w:rPr>
                <w:rStyle w:val="StrongEmphasis"/>
              </w:rPr>
              <w:t> </w:t>
            </w:r>
          </w:p>
        </w:tc>
      </w:tr>
      <w:tr>
        <w:trPr/>
        <w:tc>
          <w:tcPr>
            <w:tcW w:w="3005" w:type="dxa"/>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Ending </w:t>
            </w:r>
          </w:p>
        </w:tc>
        <w:tc>
          <w:tcPr>
            <w:tcW w:w="90" w:type="dxa"/>
            <w:tcBorders/>
            <w:shd w:fill="auto" w:val="clear"/>
            <w:vAlign w:val="center"/>
          </w:tcPr>
          <w:p>
            <w:pPr>
              <w:pStyle w:val="TableContents"/>
              <w:spacing w:before="0" w:after="0"/>
              <w:ind w:left="0" w:right="0" w:hanging="0"/>
              <w:rPr/>
            </w:pPr>
            <w:r>
              <w:rPr>
                <w:rStyle w:val="StrongEmphasis"/>
              </w:rPr>
              <w:t> </w:t>
            </w:r>
          </w:p>
        </w:tc>
        <w:tc>
          <w:tcPr>
            <w:tcW w:w="1000" w:type="dxa"/>
            <w:gridSpan w:val="2"/>
            <w:tcBorders/>
            <w:shd w:fill="auto" w:val="clear"/>
            <w:vAlign w:val="center"/>
          </w:tcPr>
          <w:p>
            <w:pPr>
              <w:pStyle w:val="TableContents"/>
              <w:spacing w:before="0" w:after="283"/>
              <w:rPr/>
            </w:pPr>
            <w:r>
              <w:rPr>
                <w:rStyle w:val="StrongEmphasis"/>
              </w:rPr>
              <w:t> </w:t>
            </w:r>
          </w:p>
        </w:tc>
        <w:tc>
          <w:tcPr>
            <w:tcW w:w="135" w:type="dxa"/>
            <w:tcBorders/>
            <w:shd w:fill="auto" w:val="clear"/>
            <w:vAlign w:val="center"/>
          </w:tcPr>
          <w:p>
            <w:pPr>
              <w:pStyle w:val="TableContents"/>
              <w:spacing w:before="0" w:after="0"/>
              <w:ind w:left="0" w:right="0" w:hanging="0"/>
              <w:rPr/>
            </w:pPr>
            <w:r>
              <w:rPr>
                <w:rStyle w:val="StrongEmphasis"/>
              </w:rPr>
              <w:t> </w:t>
            </w:r>
          </w:p>
        </w:tc>
      </w:tr>
      <w:tr>
        <w:trPr/>
        <w:tc>
          <w:tcPr>
            <w:tcW w:w="3005"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December 31, </w:t>
            </w:r>
          </w:p>
        </w:tc>
        <w:tc>
          <w:tcPr>
            <w:tcW w:w="90" w:type="dxa"/>
            <w:tcBorders/>
            <w:shd w:fill="auto" w:val="clear"/>
            <w:vAlign w:val="center"/>
          </w:tcPr>
          <w:p>
            <w:pPr>
              <w:pStyle w:val="TableContents"/>
              <w:spacing w:before="0" w:after="0"/>
              <w:ind w:left="0" w:right="0" w:hanging="0"/>
              <w:rPr/>
            </w:pPr>
            <w:r>
              <w:rPr>
                <w:rStyle w:val="StrongEmphasis"/>
              </w:rPr>
              <w:t> </w:t>
            </w:r>
          </w:p>
        </w:tc>
        <w:tc>
          <w:tcPr>
            <w:tcW w:w="10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Total </w:t>
            </w:r>
          </w:p>
        </w:tc>
        <w:tc>
          <w:tcPr>
            <w:tcW w:w="135" w:type="dxa"/>
            <w:tcBorders/>
            <w:shd w:fill="auto" w:val="clear"/>
            <w:vAlign w:val="center"/>
          </w:tcPr>
          <w:p>
            <w:pPr>
              <w:pStyle w:val="TableContents"/>
              <w:spacing w:before="0" w:after="0"/>
              <w:ind w:left="0" w:right="0" w:hanging="0"/>
              <w:rPr/>
            </w:pPr>
            <w:r>
              <w:rPr/>
              <w:t> </w:t>
            </w:r>
          </w:p>
        </w:tc>
      </w:tr>
      <w:tr>
        <w:trPr/>
        <w:tc>
          <w:tcPr>
            <w:tcW w:w="3005"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2023</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830" w:type="dxa"/>
            <w:tcBorders/>
            <w:shd w:fill="CCEEFF" w:val="clear"/>
            <w:vAlign w:val="center"/>
          </w:tcPr>
          <w:p>
            <w:pPr>
              <w:pStyle w:val="TableContents"/>
              <w:spacing w:before="0" w:after="283"/>
              <w:jc w:val="right"/>
              <w:rPr/>
            </w:pPr>
            <w:r>
              <w:rPr/>
              <w:t>194,919</w:t>
            </w:r>
          </w:p>
        </w:tc>
        <w:tc>
          <w:tcPr>
            <w:tcW w:w="135" w:type="dxa"/>
            <w:tcBorders/>
            <w:shd w:fill="CCEEFF" w:val="clear"/>
            <w:vAlign w:val="center"/>
          </w:tcPr>
          <w:p>
            <w:pPr>
              <w:pStyle w:val="TableContents"/>
              <w:spacing w:before="0" w:after="0"/>
              <w:ind w:left="0" w:right="0" w:hanging="0"/>
              <w:rPr/>
            </w:pPr>
            <w:r>
              <w:rPr/>
              <w:t> </w:t>
            </w:r>
          </w:p>
        </w:tc>
      </w:tr>
      <w:tr>
        <w:trPr/>
        <w:tc>
          <w:tcPr>
            <w:tcW w:w="3005"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2024</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49,145</w:t>
            </w:r>
          </w:p>
        </w:tc>
        <w:tc>
          <w:tcPr>
            <w:tcW w:w="135" w:type="dxa"/>
            <w:tcBorders/>
            <w:shd w:fill="FFFFFF" w:val="clear"/>
            <w:vAlign w:val="center"/>
          </w:tcPr>
          <w:p>
            <w:pPr>
              <w:pStyle w:val="TableContents"/>
              <w:spacing w:before="0" w:after="0"/>
              <w:ind w:left="0" w:right="0" w:hanging="0"/>
              <w:rPr/>
            </w:pPr>
            <w:r>
              <w:rPr/>
              <w:t> </w:t>
            </w:r>
          </w:p>
        </w:tc>
      </w:tr>
      <w:tr>
        <w:trPr/>
        <w:tc>
          <w:tcPr>
            <w:tcW w:w="3005" w:type="dxa"/>
            <w:tcBorders/>
            <w:shd w:fill="CCEE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Total undiscounted lease payments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830" w:type="dxa"/>
            <w:tcBorders/>
            <w:shd w:fill="CCEEFF" w:val="clear"/>
            <w:vAlign w:val="center"/>
          </w:tcPr>
          <w:p>
            <w:pPr>
              <w:pStyle w:val="TableContents"/>
              <w:spacing w:before="0" w:after="283"/>
              <w:jc w:val="right"/>
              <w:rPr/>
            </w:pPr>
            <w:r>
              <w:rPr/>
              <w:t>244,064</w:t>
            </w:r>
          </w:p>
        </w:tc>
        <w:tc>
          <w:tcPr>
            <w:tcW w:w="135" w:type="dxa"/>
            <w:tcBorders/>
            <w:shd w:fill="CCEEFF" w:val="clear"/>
            <w:vAlign w:val="center"/>
          </w:tcPr>
          <w:p>
            <w:pPr>
              <w:pStyle w:val="TableContents"/>
              <w:spacing w:before="0" w:after="0"/>
              <w:ind w:left="0" w:right="0" w:hanging="0"/>
              <w:rPr/>
            </w:pPr>
            <w:r>
              <w:rPr/>
              <w:t> </w:t>
            </w:r>
          </w:p>
        </w:tc>
      </w:tr>
      <w:tr>
        <w:trPr/>
        <w:tc>
          <w:tcPr>
            <w:tcW w:w="3005" w:type="dxa"/>
            <w:tcBorders/>
            <w:shd w:fill="FFFFFF" w:val="clear"/>
            <w:vAlign w:val="center"/>
          </w:tcPr>
          <w:p>
            <w:pPr>
              <w:pStyle w:val="TableContents"/>
              <w:spacing w:before="0" w:after="283"/>
              <w:rPr/>
            </w:pPr>
            <w:r>
              <w:rPr/>
              <w:t xml:space="preserve">Less: present value adjustment </w:t>
            </w:r>
          </w:p>
        </w:tc>
        <w:tc>
          <w:tcPr>
            <w:tcW w:w="90" w:type="dxa"/>
            <w:tcBorders/>
            <w:shd w:fill="FFFFFF" w:val="clear"/>
            <w:vAlign w:val="center"/>
          </w:tcPr>
          <w:p>
            <w:pPr>
              <w:pStyle w:val="TableContents"/>
              <w:spacing w:before="0" w:after="0"/>
              <w:ind w:left="0" w:right="0" w:hanging="0"/>
              <w:rPr/>
            </w:pPr>
            <w:r>
              <w:rPr/>
              <w:t> </w:t>
            </w:r>
          </w:p>
        </w:tc>
        <w:tc>
          <w:tcPr>
            <w:tcW w:w="17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830" w:type="dxa"/>
            <w:tcBorders>
              <w:bottom w:val="single" w:sz="2" w:space="0" w:color="000000"/>
            </w:tcBorders>
            <w:shd w:fill="FFFFFF" w:val="clear"/>
            <w:tcMar>
              <w:bottom w:w="28" w:type="dxa"/>
            </w:tcMar>
            <w:vAlign w:val="center"/>
          </w:tcPr>
          <w:p>
            <w:pPr>
              <w:pStyle w:val="TableContents"/>
              <w:spacing w:before="0" w:after="283"/>
              <w:jc w:val="right"/>
              <w:rPr/>
            </w:pPr>
            <w:r>
              <w:rPr/>
              <w:t>18,786</w:t>
            </w:r>
          </w:p>
        </w:tc>
        <w:tc>
          <w:tcPr>
            <w:tcW w:w="135" w:type="dxa"/>
            <w:tcBorders/>
            <w:shd w:fill="FFFFFF" w:val="clear"/>
            <w:vAlign w:val="center"/>
          </w:tcPr>
          <w:p>
            <w:pPr>
              <w:pStyle w:val="TableContents"/>
              <w:spacing w:before="0" w:after="0"/>
              <w:ind w:left="0" w:right="0" w:hanging="0"/>
              <w:rPr/>
            </w:pPr>
            <w:r>
              <w:rPr/>
              <w:t> </w:t>
            </w:r>
          </w:p>
        </w:tc>
      </w:tr>
      <w:tr>
        <w:trPr/>
        <w:tc>
          <w:tcPr>
            <w:tcW w:w="3005" w:type="dxa"/>
            <w:tcBorders/>
            <w:shd w:fill="CCEE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Operating lease liability (1) </w:t>
            </w:r>
          </w:p>
        </w:tc>
        <w:tc>
          <w:tcPr>
            <w:tcW w:w="90" w:type="dxa"/>
            <w:tcBorders/>
            <w:shd w:fill="CCEEFF" w:val="clear"/>
            <w:vAlign w:val="center"/>
          </w:tcPr>
          <w:p>
            <w:pPr>
              <w:pStyle w:val="TableContents"/>
              <w:spacing w:before="0" w:after="0"/>
              <w:ind w:left="0" w:right="0" w:hanging="0"/>
              <w:rPr/>
            </w:pPr>
            <w:r>
              <w:rPr/>
              <w:t> </w:t>
            </w:r>
          </w:p>
        </w:tc>
        <w:tc>
          <w:tcPr>
            <w:tcW w:w="170" w:type="dxa"/>
            <w:tcBorders>
              <w:bottom w:val="double" w:sz="5" w:space="0" w:color="000000"/>
            </w:tcBorders>
            <w:shd w:fill="CCEEFF" w:val="clear"/>
            <w:tcMar>
              <w:bottom w:w="28" w:type="dxa"/>
            </w:tcMar>
            <w:vAlign w:val="center"/>
          </w:tcPr>
          <w:p>
            <w:pPr>
              <w:pStyle w:val="TableContents"/>
              <w:spacing w:before="0" w:after="283"/>
              <w:rPr/>
            </w:pPr>
            <w:r>
              <w:rPr/>
              <w:t>$</w:t>
            </w:r>
          </w:p>
        </w:tc>
        <w:tc>
          <w:tcPr>
            <w:tcW w:w="830" w:type="dxa"/>
            <w:tcBorders>
              <w:bottom w:val="double" w:sz="5" w:space="0" w:color="000000"/>
            </w:tcBorders>
            <w:shd w:fill="CCEEFF" w:val="clear"/>
            <w:tcMar>
              <w:bottom w:w="28" w:type="dxa"/>
            </w:tcMar>
            <w:vAlign w:val="center"/>
          </w:tcPr>
          <w:p>
            <w:pPr>
              <w:pStyle w:val="TableContents"/>
              <w:spacing w:before="0" w:after="283"/>
              <w:jc w:val="right"/>
              <w:rPr/>
            </w:pPr>
            <w:r>
              <w:rPr/>
              <w:t>225,278</w:t>
            </w:r>
          </w:p>
        </w:tc>
        <w:tc>
          <w:tcPr>
            <w:tcW w:w="135" w:type="dxa"/>
            <w:tcBorders/>
            <w:shd w:fill="CCEE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Rent expense for the years ended December 31, 2022 and 2021 amounted to $172,494 and $247,980, respectively, and is included in the accompanying consolidated statements of operations and comprehensive income (loss) within other underwriting expenses.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Employment Agreements</w:t>
      </w:r>
    </w:p>
    <w:p>
      <w:pPr>
        <w:pStyle w:val="TextBody"/>
        <w:spacing w:before="0" w:after="0"/>
        <w:ind w:left="0" w:right="0" w:hanging="0"/>
        <w:jc w:val="both"/>
        <w:rPr/>
      </w:pPr>
      <w:r>
        <w:rPr/>
        <w:t> </w:t>
      </w:r>
    </w:p>
    <w:p>
      <w:pPr>
        <w:pStyle w:val="TextBody"/>
        <w:spacing w:before="0" w:after="0"/>
        <w:ind w:left="0" w:right="0" w:hanging="0"/>
        <w:jc w:val="both"/>
        <w:rPr/>
      </w:pPr>
      <w:r>
        <w:rPr>
          <w:rStyle w:val="Emphasis"/>
          <w:rFonts w:ascii="times new roman" w:hAnsi="times new roman"/>
          <w:sz w:val="20"/>
        </w:rPr>
        <w:t>Barry Goldstein, President, Chief Executive Officer and Executive Chairman of the Board</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F-51</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2022 AND 2021</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Employment Agreement effective as of January 1, 2020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October 14, 2019, the Company and Barry B. Goldstein, the Company’s President, Chief Executive Officer and Executive Chairman of the Board, entered into a Second Amended and Restated Employment Agreement (the “Second Amended Goldstein Employment Agreement”).  The Second Amended Goldstein Employment Agreement became effective as of January 1, 2020 and expired on December 31, 2022.  The Second Amended Goldstein Employment Agreement extended the expiration date of the employment agreement in effect for Mr. Goldstein from December 31, 2021 to December 31, 2022.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Pursuant to the Second Amended Goldstein Employment Agreement, Mr. Goldstein was entitled to receive an annual base salary of $500,000 and an annual bonus equal to 6% of the Company’s consolidated income from operations before taxes, exclusive of the Company’s consolidated net investment income (loss), net unrealized gains (losses) on equity securities and net realized gains (losses) on investments, up to a maximum of 2.5 times his base salary.  In addition, pursuant to the Second Amended Goldstein Employment Agreement, Mr. Goldstein was entitled to receive a long-term compensation (“LTC”) award of between $945,000 and $2,835,000 based on a specified minimum increase in the Company’s adjusted book value per share (as defined in the Second Amended Goldstein Employment Agreement) as of December 31, 2022 as compared to December 31, 2019 (with the maximum LTC payment being due if the average per annum increase was at least 14%).  Pursuant to the Third Amended Goldstein Employment Agreement (discussed below), Mr. Goldstein relinquished the right to receive the LTC.  Pursuant to the Second Amended Goldstein Employment Agreement, in the event that Mr. Goldstein’s employment was terminated by the Company without cause or he resigned for good reason (each as defined in the Second Amended Goldstein Employment Agreement), Mr. Goldstein would have been entitled to receive his base salary and the 6% bonus for the remainder of the term.  In addition, in the event of Mr. Goldstein’s death, his estate would have been entitled to receive his base salary and accrued bonus through the date of death.  Further, in the event that Mr. Goldstein’s employment was terminated by the Company without cause or he resigned for good reason, or, in the event of the termination of Mr. Goldstein’s employment due to disability or death, Mr. Goldstein’s granted but unvested restricted stock awards would have vested.  Mr. Goldstein would have been entitled, under certain circumstances, to a payment equal to 3.82 times his then annual salary and his accrued 6% bonus in the event of the termination of his employment within eighteen months following a change of control of the Company.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Pursuant to the Second Amended Goldstein Employment Agreement, in January 2020, Mr. Goldstein received a grant of 157,431 shares of restricted stock under the terms of the Company’s 2014 Plan determined by dividing $1,250,000 by the fair market value of the Company’s Common Stock on the date of grant. This 2020 grant vested with respect to one-third of the award on each of the first and second anniversaries of the grant date and will vest with respect to one-sixth of the award on each of December 29, 2023 and December 30, 2024 based on the continued provision of services through such dates.  Also pursuant to the Second Amended Goldstein Employment Agreement, Mr. Goldstein received a grant, under the terms of the 2014 Plan, during January 2021, of 230,769 shares of restricted stock determined by dividing $1,500,000 by the fair market value of the Company’s Common Stock on the date of grant.  This 2021 grant vested with respect to one-half of the award on the first anniversary of the grant date and will vest with respect to one-fourth of the award on each of December 29, 2023 and December 30, 2024 based on the continued provision of services through such dates.  Further, pursuant to the Second Amended Goldstein Employment Agreement, Mr. Goldstein received in 2020, 2021, and 2022 a grant, under the terms of the 2014 Plan of a number of shares of restricted stock determined by dividing $136,500 by the fair market value of the Company’s Common Stock on the date of grant. In January 2020, Mr. Goldstein was granted 17,191 shares of restricted stock pursuant to this provision. This grant vested with respect to one-third of the award on each of the first and second anniversaries of the grant date and will vest with respect to one-sixth of the award on each of December 29, 2023 and December 30, 2024 based on the continued provision of services through such dates.  In January 2021, Mr. Goldstein was granted 21,000 shares of restricted stock pursuant to this provision.  This grant vested with respect to one-half of the award on the first anniversary of the grant date and will vest with respect to one-fourth of the award on each of December 29, 2023 and December 30, 2024 based on the continued provision of services through such dates.  In January 2022, Mr. Goldstein was granted 27,300 shares of restricted stock pursuant to this provision.  This grant will vest with respect to one-half of the award on each of December 29, 2023 and December 30, 2024 based on the continued provision of services through such dates.  Pursuant to the 2014 Plan, Mr. Goldstein’s unvested restricted stock awards will vest in the event of a change in control of the Company. In addition, in the event of the termination of Mr. Goldstein’s employment with the Company for any reason, his unvested restricted stock will vest.</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F-52</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2022 AND 2021</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Employment Agreement effective as of January 1, 2023</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June 27, 2022, the Company and Mr. Goldstein entered into a third amended and restated employment agreement which took effect as of January 1, 2023, and expires on December 31, 2024 (the “Third Amended Goldstein Employment Agreement”).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Pursuant to the Third Amended Goldstein Employment Agreement, Mr. Goldstein is entitled to receive an annual base salary of $500,000 and an annual bonus equal to 3% of our consolidated income from operations before taxes, exclusive of the Company’s consolidated net investment income (loss), net unrealized gains (losses) on equity securities and net realized gains (losses) on investments, up to a maximum of 1.25 times his base salary.  Pursuant to the Third Amended Goldstein Employment Agreement, Mr. Goldstein would be entitled to receive, under certain circumstances, a payment equal to 1.5 times his then annual base salary and his accrued bonus in the event of the termination of his employment within eighteen months following a change of control of the Company.</w:t>
      </w:r>
    </w:p>
    <w:p>
      <w:pPr>
        <w:pStyle w:val="TextBody"/>
        <w:spacing w:before="0" w:after="0"/>
        <w:ind w:left="0" w:right="0" w:hanging="0"/>
        <w:jc w:val="both"/>
        <w:rPr/>
      </w:pPr>
      <w:r>
        <w:rPr/>
        <w:t> </w:t>
      </w:r>
    </w:p>
    <w:p>
      <w:pPr>
        <w:pStyle w:val="TextBody"/>
        <w:spacing w:before="0" w:after="0"/>
        <w:ind w:left="0" w:right="0" w:hanging="0"/>
        <w:jc w:val="both"/>
        <w:rPr/>
      </w:pPr>
      <w:r>
        <w:rPr>
          <w:rStyle w:val="Emphasis"/>
          <w:rFonts w:ascii="times new roman" w:hAnsi="times new roman"/>
          <w:sz w:val="20"/>
        </w:rPr>
        <w:t>Meryl Golden, Chief Operating Officer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Employment Agreement effective as of January 1, 2021</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September 16, 2019, the Company and Meryl Golden entered into an employment agreement (the “Golden Employment Agreement”) pursuant to which Ms. Golden serves as the Company’s Chief Operating Officer. Ms. Golden also serves as KICO’s President and Chief Operating Officer. The Golden Employment Agreement became effective as of September 25, 2019 (amended on December 24, 2020) and expired on December 31, 2022.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Pursuant to the Golden Employment Agreement, Ms. Golden was entitled to receive an annual salary of $500,000. The Golden Employment Agreement also provided for the grant on the effective date of a five year option for the purchase of 50,000 shares of the Company’s Common Stock pursuant to the 2014 Plan. The options granted vested in four equal installments, with the first installment vesting on the grant date, and the remaining installments vesting on the first, second, and third anniversaries of the grant date.   Pursuant to the Golden Employment Agreement, as amended, in each of January 2021 and January 2022, Ms. Golden was granted 30,000 shares of restricted Common Stock pursuant to the 2014 Plan.  Each such grant will vest in three equal installments on each of the first, second and third anniversaries of the grant date.  Pursuant to the 2014 Plan, Ms. Golden’s outstanding stock options and restricted stock awards will vest in the event of a change in control of the Company.</w:t>
      </w:r>
    </w:p>
    <w:p>
      <w:pPr>
        <w:pStyle w:val="TextBody"/>
        <w:spacing w:before="0" w:after="0"/>
        <w:ind w:left="0" w:right="0" w:hanging="0"/>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F-53</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2022 AND 2021</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Employment Agreement effective as of January 1, 2023</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June 27, 2022, the Company and Ms. Golden entered into a second amended and restated employment agreement which took effect as of January 1, 2023, and expires on December 31, 2024 (the “Second Amended Golden Employment Agreement”).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Pursuant to the Second Amended Golden Employment Agreement, Ms. Golden is entitled to receive an annual base salary of $500,000 and an annual bonus equal to 3% of the Company’s consolidated income from operations before taxes, exclusive of our consolidated net investment income (loss), net unrealized gains (losses) on equity securities and net realized gains (losses) on investments, up to a maximum of 1.25 times her base salary. In addition, pursuant to the Second Amended Golden Employment Agreement, Ms. Golden is entitled to receive a grant, under the terms of the 2014 Plan, during each of January 2023 and January 2024, under certain circumstances, of a number of shares of restricted stock determined by dividing $136,500 by the fair market value of the Company’s Common Stock on the date of grant. The 2023 grant will vest with respect to one-half of the award on the first anniversary of the grant date and one-half of the award on December 31, 2024, based on the continued provision of services through such dates. The 2024 grant will vest on December 31, 2024, based on the continued provision of services through such date.  In the event that the Company is precluded from making a grant in 2024, then instead Ms. Golden shall be entitled to receive a cash bonus of $136,500 for such year. Further, pursuant to the Second Amended Golden Employment Agreement, Ms. Golden would be entitled to receive, under certain circumstances, a payment equal to 1.5 times her then annual base salary and her accrued bonus in the event of the termination of her employment within eighteen months following a change of control of the Company.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COVID-19</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outbreak of the coronavirus, also known as “COVID-19”, has spread across the globe and is impacting worldwide economic activity. Conditions surrounding the coronavirus including the emergence of new strains continue to rapidly evolve and government authorities have implemented emergency measures to mitigate the spread of the virus. The outbreak and the related mitigation measures have had and will continue to have a material adverse impact on global economic conditions as well as on the Company’s business activities. Although the impact has been manageable thus far, the extent to which COVID-19 may impact the Company’s business activities will depend on future developments, such as the ultimate geographic spread of the disease, the duration of the outbreak, travel restrictions, business disruptions, and the effectiveness of actions taken in the United States and other countries to contain, prevent and treat the disease. These events are highly uncertain and, as such, the Company cannot determine their financial impact at this time.  No adjustments have been made to the amounts reported in these consolidated financial statements as a result of this matter.</w:t>
      </w:r>
    </w:p>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Note 18 - Loss Per Common Share</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Basic net loss per common share is computed by dividing loss by the weighted-average number of shares of Common Stock outstanding. Diluted loss per common share reflects, in periods in which it has a dilutive effect, the impact of common shares issuable upon exercise of stock options and warrants as well as non-vested restricted stock awards.  The computation of diluted loss per common share excludes those options and warrants with an exercise price in excess of the average market price of the Company’s Common Stock during the periods presented.</w:t>
      </w:r>
    </w:p>
    <w:p>
      <w:pPr>
        <w:pStyle w:val="TextBody"/>
        <w:spacing w:before="0" w:after="0"/>
        <w:ind w:left="0" w:right="0" w:hanging="0"/>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F-54</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2022 AND 2021</w:t>
      </w:r>
    </w:p>
    <w:p>
      <w:pPr>
        <w:pStyle w:val="TextBody"/>
        <w:spacing w:before="0" w:after="0"/>
        <w:ind w:left="0" w:right="0" w:hanging="0"/>
        <w:jc w:val="center"/>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computation of diluted loss per common share excludes outstanding options and warrants in periods where the exercise of such options and warrants would be anti-dilutive. For the years ended December 31, 2022 and 2021, no options or warrants were included in the computation of diluted loss per common share as they would have been anti-dilutive for the relevant periods and, as a result, the weighted average number of shares of Common Stock used in the calculation of diluted loss per common share has not been adjusted for the effect of such options and warrants.</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reconciliation of the weighted average number of common shares used in the calculation of basic and diluted loss per common share follows:</w:t>
      </w:r>
    </w:p>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7360"/>
        <w:gridCol w:w="90"/>
        <w:gridCol w:w="90"/>
        <w:gridCol w:w="1130"/>
        <w:gridCol w:w="90"/>
        <w:gridCol w:w="90"/>
        <w:gridCol w:w="90"/>
        <w:gridCol w:w="1130"/>
        <w:gridCol w:w="135"/>
      </w:tblGrid>
      <w:tr>
        <w:trPr/>
        <w:tc>
          <w:tcPr>
            <w:tcW w:w="736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2620" w:type="dxa"/>
            <w:gridSpan w:val="6"/>
            <w:tcBorders/>
            <w:shd w:fill="auto" w:val="clear"/>
            <w:vAlign w:val="center"/>
          </w:tcPr>
          <w:p>
            <w:pPr>
              <w:pStyle w:val="TableContents"/>
              <w:spacing w:before="0" w:after="0"/>
              <w:ind w:left="0" w:right="0" w:hanging="0"/>
              <w:jc w:val="center"/>
              <w:rPr/>
            </w:pPr>
            <w:r>
              <w:rPr>
                <w:rStyle w:val="StrongEmphasis"/>
                <w:rFonts w:ascii="times new roman" w:hAnsi="times new roman"/>
                <w:sz w:val="20"/>
              </w:rPr>
              <w:t xml:space="preserve">Years ended </w:t>
            </w:r>
          </w:p>
        </w:tc>
        <w:tc>
          <w:tcPr>
            <w:tcW w:w="135" w:type="dxa"/>
            <w:tcBorders/>
            <w:shd w:fill="auto" w:val="clear"/>
            <w:vAlign w:val="center"/>
          </w:tcPr>
          <w:p>
            <w:pPr>
              <w:pStyle w:val="TableContents"/>
              <w:spacing w:before="0" w:after="0"/>
              <w:ind w:left="0" w:right="0" w:hanging="0"/>
              <w:rPr/>
            </w:pPr>
            <w:r>
              <w:rPr>
                <w:rStyle w:val="StrongEmphasis"/>
              </w:rPr>
              <w:t> </w:t>
            </w:r>
          </w:p>
        </w:tc>
      </w:tr>
      <w:tr>
        <w:trPr/>
        <w:tc>
          <w:tcPr>
            <w:tcW w:w="736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2620" w:type="dxa"/>
            <w:gridSpan w:val="6"/>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December 31, </w:t>
            </w:r>
          </w:p>
        </w:tc>
        <w:tc>
          <w:tcPr>
            <w:tcW w:w="135" w:type="dxa"/>
            <w:tcBorders/>
            <w:shd w:fill="auto" w:val="clear"/>
            <w:vAlign w:val="center"/>
          </w:tcPr>
          <w:p>
            <w:pPr>
              <w:pStyle w:val="TableContents"/>
              <w:spacing w:before="0" w:after="0"/>
              <w:ind w:left="0" w:right="0" w:hanging="0"/>
              <w:rPr/>
            </w:pPr>
            <w:r>
              <w:rPr>
                <w:rStyle w:val="StrongEmphasis"/>
              </w:rPr>
              <w:t> </w:t>
            </w:r>
          </w:p>
        </w:tc>
      </w:tr>
      <w:tr>
        <w:trPr/>
        <w:tc>
          <w:tcPr>
            <w:tcW w:w="736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22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2022 </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22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 xml:space="preserve">2021 </w:t>
            </w:r>
          </w:p>
        </w:tc>
        <w:tc>
          <w:tcPr>
            <w:tcW w:w="135" w:type="dxa"/>
            <w:tcBorders/>
            <w:shd w:fill="auto" w:val="clear"/>
            <w:vAlign w:val="center"/>
          </w:tcPr>
          <w:p>
            <w:pPr>
              <w:pStyle w:val="TableContents"/>
              <w:spacing w:before="0" w:after="0"/>
              <w:ind w:left="0" w:right="0" w:hanging="0"/>
              <w:rPr/>
            </w:pPr>
            <w:r>
              <w:rPr/>
              <w:t> </w:t>
            </w:r>
          </w:p>
        </w:tc>
      </w:tr>
      <w:tr>
        <w:trPr/>
        <w:tc>
          <w:tcPr>
            <w:tcW w:w="736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2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220" w:type="dxa"/>
            <w:gridSpan w:val="2"/>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7360" w:type="dxa"/>
            <w:tcBorders/>
            <w:shd w:fill="CCEEFF" w:val="clear"/>
            <w:vAlign w:val="center"/>
          </w:tcPr>
          <w:p>
            <w:pPr>
              <w:pStyle w:val="TableContents"/>
              <w:spacing w:before="0" w:after="283"/>
              <w:rPr/>
            </w:pPr>
            <w:r>
              <w:rPr/>
              <w:t xml:space="preserve">Weighted average number of shares outstanding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10,645,365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10,587,912</w:t>
            </w:r>
          </w:p>
        </w:tc>
        <w:tc>
          <w:tcPr>
            <w:tcW w:w="135" w:type="dxa"/>
            <w:tcBorders/>
            <w:shd w:fill="CCEEFF" w:val="clear"/>
            <w:vAlign w:val="center"/>
          </w:tcPr>
          <w:p>
            <w:pPr>
              <w:pStyle w:val="TableContents"/>
              <w:spacing w:before="0" w:after="0"/>
              <w:ind w:left="0" w:right="0" w:hanging="0"/>
              <w:rPr/>
            </w:pPr>
            <w:r>
              <w:rPr/>
              <w:t> </w:t>
            </w:r>
          </w:p>
        </w:tc>
      </w:tr>
      <w:tr>
        <w:trPr/>
        <w:tc>
          <w:tcPr>
            <w:tcW w:w="736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0"/>
              <w:ind w:left="0" w:right="0" w:hanging="0"/>
              <w:rPr/>
            </w:pPr>
            <w:r>
              <w:rPr/>
              <w:t> </w:t>
            </w:r>
          </w:p>
        </w:tc>
        <w:tc>
          <w:tcPr>
            <w:tcW w:w="135" w:type="dxa"/>
            <w:tcBorders/>
            <w:shd w:fill="FFFFFF" w:val="clear"/>
            <w:vAlign w:val="center"/>
          </w:tcPr>
          <w:p>
            <w:pPr>
              <w:pStyle w:val="TableContents"/>
              <w:spacing w:before="0" w:after="0"/>
              <w:ind w:left="0" w:right="0" w:hanging="0"/>
              <w:rPr/>
            </w:pPr>
            <w:r>
              <w:rPr/>
              <w:t> </w:t>
            </w:r>
          </w:p>
        </w:tc>
      </w:tr>
      <w:tr>
        <w:trPr/>
        <w:tc>
          <w:tcPr>
            <w:tcW w:w="7360" w:type="dxa"/>
            <w:tcBorders/>
            <w:shd w:fill="CCEEFF" w:val="clear"/>
            <w:vAlign w:val="center"/>
          </w:tcPr>
          <w:p>
            <w:pPr>
              <w:pStyle w:val="TableContents"/>
              <w:spacing w:before="0" w:after="283"/>
              <w:rPr/>
            </w:pPr>
            <w:r>
              <w:rPr/>
              <w:t xml:space="preserve">Effect of dilutive securities, common share equivalents: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135" w:type="dxa"/>
            <w:tcBorders/>
            <w:shd w:fill="CCEEFF" w:val="clear"/>
            <w:vAlign w:val="center"/>
          </w:tcPr>
          <w:p>
            <w:pPr>
              <w:pStyle w:val="TableContents"/>
              <w:spacing w:before="0" w:after="0"/>
              <w:ind w:left="0" w:right="0" w:hanging="0"/>
              <w:rPr/>
            </w:pPr>
            <w:r>
              <w:rPr/>
              <w:t> </w:t>
            </w:r>
          </w:p>
        </w:tc>
      </w:tr>
      <w:tr>
        <w:trPr/>
        <w:tc>
          <w:tcPr>
            <w:tcW w:w="7360" w:type="dxa"/>
            <w:tcBorders/>
            <w:shd w:fill="FFFF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Stock options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w:t>
            </w:r>
          </w:p>
        </w:tc>
        <w:tc>
          <w:tcPr>
            <w:tcW w:w="135" w:type="dxa"/>
            <w:tcBorders/>
            <w:shd w:fill="FFFFFF" w:val="clear"/>
            <w:vAlign w:val="center"/>
          </w:tcPr>
          <w:p>
            <w:pPr>
              <w:pStyle w:val="TableContents"/>
              <w:spacing w:before="0" w:after="0"/>
              <w:ind w:left="0" w:right="0" w:hanging="0"/>
              <w:rPr/>
            </w:pPr>
            <w:r>
              <w:rPr/>
              <w:t> </w:t>
            </w:r>
          </w:p>
        </w:tc>
      </w:tr>
      <w:tr>
        <w:trPr/>
        <w:tc>
          <w:tcPr>
            <w:tcW w:w="7360" w:type="dxa"/>
            <w:tcBorders/>
            <w:shd w:fill="CCEE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Warrants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w:t>
            </w:r>
          </w:p>
        </w:tc>
        <w:tc>
          <w:tcPr>
            <w:tcW w:w="135" w:type="dxa"/>
            <w:tcBorders/>
            <w:shd w:fill="CCEEFF" w:val="clear"/>
            <w:vAlign w:val="center"/>
          </w:tcPr>
          <w:p>
            <w:pPr>
              <w:pStyle w:val="TableContents"/>
              <w:spacing w:before="0" w:after="0"/>
              <w:ind w:left="0" w:right="0" w:hanging="0"/>
              <w:rPr/>
            </w:pPr>
            <w:r>
              <w:rPr/>
              <w:t> </w:t>
            </w:r>
          </w:p>
        </w:tc>
      </w:tr>
      <w:tr>
        <w:trPr/>
        <w:tc>
          <w:tcPr>
            <w:tcW w:w="7360" w:type="dxa"/>
            <w:tcBorders/>
            <w:shd w:fill="FFFFFF" w:val="clear"/>
            <w:vAlign w:val="center"/>
          </w:tcPr>
          <w:p>
            <w:pPr>
              <w:pStyle w:val="TableContents"/>
              <w:spacing w:before="0" w:after="0"/>
              <w:ind w:left="225" w:right="0" w:hanging="0"/>
              <w:jc w:val="left"/>
              <w:rPr>
                <w:rFonts w:ascii="times new roman" w:hAnsi="times new roman"/>
                <w:sz w:val="20"/>
              </w:rPr>
            </w:pPr>
            <w:r>
              <w:rPr>
                <w:rFonts w:ascii="times new roman" w:hAnsi="times new roman"/>
                <w:sz w:val="20"/>
              </w:rPr>
              <w:t xml:space="preserve">Restricted stock awards </w:t>
            </w:r>
          </w:p>
        </w:tc>
        <w:tc>
          <w:tcPr>
            <w:tcW w:w="90" w:type="dxa"/>
            <w:tcBorders/>
            <w:shd w:fill="FFFFFF" w:val="clear"/>
            <w:vAlign w:val="center"/>
          </w:tcPr>
          <w:p>
            <w:pPr>
              <w:pStyle w:val="TableContents"/>
              <w:spacing w:before="0" w:after="0"/>
              <w:ind w:left="0" w:right="0" w:hanging="0"/>
              <w:rPr/>
            </w:pPr>
            <w:r>
              <w:rPr/>
              <w:t> </w:t>
            </w:r>
          </w:p>
        </w:tc>
        <w:tc>
          <w:tcPr>
            <w:tcW w:w="9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bottom w:val="single" w:sz="2" w:space="0" w:color="000000"/>
            </w:tcBorders>
            <w:shd w:fill="FFFFFF" w:val="clear"/>
            <w:tcMar>
              <w:bottom w:w="28" w:type="dxa"/>
            </w:tcMar>
            <w:vAlign w:val="center"/>
          </w:tcPr>
          <w:p>
            <w:pPr>
              <w:pStyle w:val="TableContents"/>
              <w:spacing w:before="0" w:after="0"/>
              <w:ind w:left="0" w:right="0" w:hanging="0"/>
              <w:rPr/>
            </w:pPr>
            <w:r>
              <w:rPr/>
              <w:t> </w:t>
            </w:r>
          </w:p>
        </w:tc>
        <w:tc>
          <w:tcPr>
            <w:tcW w:w="1130" w:type="dxa"/>
            <w:tcBorders>
              <w:bottom w:val="single" w:sz="2" w:space="0" w:color="000000"/>
            </w:tcBorders>
            <w:shd w:fill="FFFFFF" w:val="clear"/>
            <w:tcMar>
              <w:bottom w:w="28" w:type="dxa"/>
            </w:tcMar>
            <w:vAlign w:val="center"/>
          </w:tcPr>
          <w:p>
            <w:pPr>
              <w:pStyle w:val="TableContents"/>
              <w:spacing w:before="0" w:after="283"/>
              <w:jc w:val="right"/>
              <w:rPr/>
            </w:pPr>
            <w:r>
              <w:rPr/>
              <w:t>-</w:t>
            </w:r>
          </w:p>
        </w:tc>
        <w:tc>
          <w:tcPr>
            <w:tcW w:w="135" w:type="dxa"/>
            <w:tcBorders/>
            <w:shd w:fill="FFFFFF" w:val="clear"/>
            <w:vAlign w:val="center"/>
          </w:tcPr>
          <w:p>
            <w:pPr>
              <w:pStyle w:val="TableContents"/>
              <w:spacing w:before="0" w:after="0"/>
              <w:ind w:left="0" w:right="0" w:hanging="0"/>
              <w:rPr/>
            </w:pPr>
            <w:r>
              <w:rPr/>
              <w:t> </w:t>
            </w:r>
          </w:p>
        </w:tc>
      </w:tr>
      <w:tr>
        <w:trPr/>
        <w:tc>
          <w:tcPr>
            <w:tcW w:w="736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0"/>
              <w:ind w:left="0" w:right="0" w:hanging="0"/>
              <w:rPr/>
            </w:pPr>
            <w:r>
              <w:rPr/>
              <w:t> </w:t>
            </w:r>
          </w:p>
        </w:tc>
        <w:tc>
          <w:tcPr>
            <w:tcW w:w="135" w:type="dxa"/>
            <w:tcBorders/>
            <w:shd w:fill="CCEEFF" w:val="clear"/>
            <w:vAlign w:val="center"/>
          </w:tcPr>
          <w:p>
            <w:pPr>
              <w:pStyle w:val="TableContents"/>
              <w:spacing w:before="0" w:after="0"/>
              <w:ind w:left="0" w:right="0" w:hanging="0"/>
              <w:rPr/>
            </w:pPr>
            <w:r>
              <w:rPr/>
              <w:t> </w:t>
            </w:r>
          </w:p>
        </w:tc>
      </w:tr>
      <w:tr>
        <w:trPr/>
        <w:tc>
          <w:tcPr>
            <w:tcW w:w="7360"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Weighted average number of shares outstanding, used for computing diluted loss per share </w:t>
            </w:r>
          </w:p>
        </w:tc>
        <w:tc>
          <w:tcPr>
            <w:tcW w:w="90" w:type="dxa"/>
            <w:tcBorders/>
            <w:shd w:fill="FFFFFF" w:val="clear"/>
            <w:vAlign w:val="center"/>
          </w:tcPr>
          <w:p>
            <w:pPr>
              <w:pStyle w:val="TableContents"/>
              <w:spacing w:before="0" w:after="0"/>
              <w:ind w:left="0" w:right="0" w:hanging="0"/>
              <w:rPr/>
            </w:pPr>
            <w:r>
              <w:rPr/>
              <w:t> </w:t>
            </w:r>
          </w:p>
        </w:tc>
        <w:tc>
          <w:tcPr>
            <w:tcW w:w="90" w:type="dxa"/>
            <w:tcBorders>
              <w:bottom w:val="double" w:sz="5" w:space="0" w:color="000000"/>
            </w:tcBorders>
            <w:shd w:fill="FFFFFF" w:val="clear"/>
            <w:tcMar>
              <w:bottom w:w="28" w:type="dxa"/>
            </w:tcMar>
            <w:vAlign w:val="center"/>
          </w:tcPr>
          <w:p>
            <w:pPr>
              <w:pStyle w:val="TableContents"/>
              <w:spacing w:before="0" w:after="0"/>
              <w:ind w:left="0" w:right="0" w:hanging="0"/>
              <w:rPr/>
            </w:pPr>
            <w:r>
              <w:rPr/>
              <w:t> </w:t>
            </w:r>
          </w:p>
        </w:tc>
        <w:tc>
          <w:tcPr>
            <w:tcW w:w="1130" w:type="dxa"/>
            <w:tcBorders>
              <w:bottom w:val="double" w:sz="5" w:space="0" w:color="000000"/>
            </w:tcBorders>
            <w:shd w:fill="FFFFFF" w:val="clear"/>
            <w:tcMar>
              <w:bottom w:w="28" w:type="dxa"/>
            </w:tcMar>
            <w:vAlign w:val="center"/>
          </w:tcPr>
          <w:p>
            <w:pPr>
              <w:pStyle w:val="TableContents"/>
              <w:spacing w:before="0" w:after="283"/>
              <w:jc w:val="right"/>
              <w:rPr/>
            </w:pPr>
            <w:r>
              <w:rPr/>
              <w:t>10,645,365</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90" w:type="dxa"/>
            <w:tcBorders>
              <w:bottom w:val="double" w:sz="5" w:space="0" w:color="000000"/>
            </w:tcBorders>
            <w:shd w:fill="FFFFFF" w:val="clear"/>
            <w:tcMar>
              <w:bottom w:w="28" w:type="dxa"/>
            </w:tcMar>
            <w:vAlign w:val="center"/>
          </w:tcPr>
          <w:p>
            <w:pPr>
              <w:pStyle w:val="TableContents"/>
              <w:spacing w:before="0" w:after="0"/>
              <w:ind w:left="0" w:right="0" w:hanging="0"/>
              <w:rPr/>
            </w:pPr>
            <w:r>
              <w:rPr/>
              <w:t> </w:t>
            </w:r>
          </w:p>
        </w:tc>
        <w:tc>
          <w:tcPr>
            <w:tcW w:w="1130" w:type="dxa"/>
            <w:tcBorders>
              <w:bottom w:val="double" w:sz="5" w:space="0" w:color="000000"/>
            </w:tcBorders>
            <w:shd w:fill="FFFFFF" w:val="clear"/>
            <w:tcMar>
              <w:bottom w:w="28" w:type="dxa"/>
            </w:tcMar>
            <w:vAlign w:val="center"/>
          </w:tcPr>
          <w:p>
            <w:pPr>
              <w:pStyle w:val="TableContents"/>
              <w:spacing w:before="0" w:after="283"/>
              <w:jc w:val="right"/>
              <w:rPr/>
            </w:pPr>
            <w:r>
              <w:rPr/>
              <w:t>10,587,912</w:t>
            </w:r>
          </w:p>
        </w:tc>
        <w:tc>
          <w:tcPr>
            <w:tcW w:w="135" w:type="dxa"/>
            <w:tcBorders/>
            <w:shd w:fill="FFFFFF"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hanging="0"/>
        <w:jc w:val="both"/>
        <w:rPr/>
      </w:pPr>
      <w:r>
        <w:rPr>
          <w:rStyle w:val="StrongEmphasis"/>
          <w:rFonts w:ascii="times new roman" w:hAnsi="times new roman"/>
          <w:sz w:val="20"/>
        </w:rPr>
        <w:t>Note 19 - Subsequent Events</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evaluated events that occurred subsequent to December 31, 2022 through March 31, 2023, the date these consolidated financial statements were issued, for matters that required disclosure or adjustment in these consolidated financial statements.</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Reinsurance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Effective January 1, 2023, the Company entered into a new quota share reinsurance treaty for its personal lines business and new underlying excess of loss treaty (see Note 7 – Reinsurance).</w:t>
      </w:r>
    </w:p>
    <w:p>
      <w:pPr>
        <w:pStyle w:val="TextBody"/>
        <w:spacing w:before="0" w:after="0"/>
        <w:ind w:left="0" w:right="0" w:hanging="0"/>
        <w:jc w:val="both"/>
        <w:rPr/>
      </w:pPr>
      <w:r>
        <w:rPr/>
        <w:t> </w:t>
      </w:r>
      <w:r>
        <w:br w:type="page"/>
      </w:r>
    </w:p>
    <w:tbl>
      <w:tblPr>
        <w:tblW w:w="1790" w:type="dxa"/>
        <w:jc w:val="lef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ind w:left="0" w:right="0" w:hanging="0"/>
              <w:rPr/>
            </w:pPr>
            <w:r>
              <w:rPr/>
              <w:t> </w:t>
            </w:r>
          </w:p>
        </w:tc>
      </w:tr>
      <w:tr>
        <w:trPr/>
        <w:tc>
          <w:tcPr>
            <w:tcW w:w="1790" w:type="dxa"/>
            <w:tcBorders>
              <w:bottom w:val="single" w:sz="2" w:space="0" w:color="000000"/>
            </w:tcBorders>
            <w:shd w:fill="auto" w:val="clear"/>
            <w:tcMar>
              <w:bottom w:w="28" w:type="dxa"/>
            </w:tcMar>
            <w:vAlign w:val="center"/>
          </w:tcPr>
          <w:p>
            <w:pPr>
              <w:pStyle w:val="TableContents"/>
              <w:spacing w:before="0" w:after="283"/>
              <w:jc w:val="center"/>
              <w:rPr/>
            </w:pPr>
            <w:r>
              <w:rPr/>
              <w:t>F-55</w:t>
            </w:r>
          </w:p>
        </w:tc>
      </w:tr>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rPr/>
            </w:pPr>
            <w:hyperlink w:anchor="toc1">
              <w:r>
                <w:rPr>
                  <w:rStyle w:val="Emphasis"/>
                </w:rPr>
                <w:t>Table of Contents</w:t>
              </w:r>
            </w:hyperlink>
          </w:p>
        </w:tc>
      </w:tr>
    </w:tbl>
    <w:p>
      <w:pPr>
        <w:pStyle w:val="TextBody"/>
        <w:spacing w:before="0" w:after="0"/>
        <w:ind w:left="0" w:right="0" w:hanging="0"/>
        <w:jc w:val="center"/>
        <w:rPr/>
      </w:pPr>
      <w:r>
        <w:rPr/>
        <w:t> </w:t>
      </w:r>
    </w:p>
    <w:p>
      <w:pPr>
        <w:pStyle w:val="TextBody"/>
        <w:spacing w:before="0" w:after="0"/>
        <w:ind w:left="0" w:right="0" w:hanging="0"/>
        <w:jc w:val="center"/>
        <w:rPr/>
      </w:pPr>
      <w:r>
        <w:rPr>
          <w:rStyle w:val="StrongEmphasis"/>
          <w:rFonts w:ascii="times new roman" w:hAnsi="times new roman"/>
          <w:sz w:val="20"/>
        </w:rPr>
        <w:t>KINGSTONE COMPANIES, INC. AND SUBSIDIARIES</w:t>
      </w:r>
    </w:p>
    <w:p>
      <w:pPr>
        <w:pStyle w:val="TextBody"/>
        <w:spacing w:before="0" w:after="0"/>
        <w:ind w:left="0" w:right="0" w:hanging="0"/>
        <w:jc w:val="center"/>
        <w:rPr/>
      </w:pPr>
      <w:r>
        <w:rPr>
          <w:rStyle w:val="StrongEmphasis"/>
          <w:rFonts w:ascii="times new roman" w:hAnsi="times new roman"/>
          <w:sz w:val="20"/>
        </w:rPr>
        <w:t>NOTES TO CONSOLIDATED FINANCIAL STATEMENTS</w:t>
      </w:r>
    </w:p>
    <w:p>
      <w:pPr>
        <w:pStyle w:val="TextBody"/>
        <w:spacing w:before="0" w:after="0"/>
        <w:ind w:left="0" w:right="0" w:hanging="0"/>
        <w:jc w:val="center"/>
        <w:rPr/>
      </w:pPr>
      <w:r>
        <w:rPr>
          <w:rStyle w:val="StrongEmphasis"/>
          <w:rFonts w:ascii="times new roman" w:hAnsi="times new roman"/>
          <w:sz w:val="20"/>
        </w:rPr>
        <w:t>YEARS ENDED DECEMBER 31, 2022 AND 2021</w:t>
      </w:r>
    </w:p>
    <w:p>
      <w:pPr>
        <w:pStyle w:val="TextBody"/>
        <w:spacing w:before="0" w:after="0"/>
        <w:ind w:left="0" w:right="0" w:hanging="0"/>
        <w:jc w:val="center"/>
        <w:rPr/>
      </w:pPr>
      <w:r>
        <w:rPr/>
        <w:t xml:space="preserve">  </w:t>
      </w:r>
    </w:p>
    <w:p>
      <w:pPr>
        <w:pStyle w:val="TextBody"/>
        <w:spacing w:before="0" w:after="0"/>
        <w:ind w:left="0" w:right="0" w:hanging="0"/>
        <w:jc w:val="both"/>
        <w:rPr/>
      </w:pPr>
      <w:r>
        <w:rPr>
          <w:rStyle w:val="StrongEmphasis"/>
          <w:rFonts w:ascii="times new roman" w:hAnsi="times new roman"/>
          <w:sz w:val="20"/>
        </w:rPr>
        <w:t xml:space="preserve">Note 20 – Quarterly Financial Data (Unaudited) </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is a summary of unaudited quarterly results of operations for the years ended December 31, 2022 and 2021:</w:t>
      </w:r>
    </w:p>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2465"/>
        <w:gridCol w:w="90"/>
        <w:gridCol w:w="170"/>
        <w:gridCol w:w="1130"/>
        <w:gridCol w:w="125"/>
        <w:gridCol w:w="90"/>
        <w:gridCol w:w="170"/>
        <w:gridCol w:w="1130"/>
        <w:gridCol w:w="125"/>
        <w:gridCol w:w="90"/>
        <w:gridCol w:w="170"/>
        <w:gridCol w:w="1130"/>
        <w:gridCol w:w="125"/>
        <w:gridCol w:w="90"/>
        <w:gridCol w:w="170"/>
        <w:gridCol w:w="1130"/>
        <w:gridCol w:w="125"/>
        <w:gridCol w:w="90"/>
        <w:gridCol w:w="170"/>
        <w:gridCol w:w="1250"/>
        <w:gridCol w:w="170"/>
      </w:tblGrid>
      <w:tr>
        <w:trPr/>
        <w:tc>
          <w:tcPr>
            <w:tcW w:w="246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480" w:type="dxa"/>
            <w:gridSpan w:val="18"/>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2022</w:t>
            </w:r>
          </w:p>
        </w:tc>
        <w:tc>
          <w:tcPr>
            <w:tcW w:w="170" w:type="dxa"/>
            <w:tcBorders/>
            <w:shd w:fill="auto" w:val="clear"/>
            <w:vAlign w:val="center"/>
          </w:tcPr>
          <w:p>
            <w:pPr>
              <w:pStyle w:val="TableContents"/>
              <w:spacing w:before="0" w:after="0"/>
              <w:ind w:left="0" w:right="0" w:hanging="0"/>
              <w:rPr/>
            </w:pPr>
            <w:r>
              <w:rPr>
                <w:rStyle w:val="StrongEmphasis"/>
              </w:rPr>
              <w:t> </w:t>
            </w:r>
          </w:p>
        </w:tc>
      </w:tr>
      <w:tr>
        <w:trPr/>
        <w:tc>
          <w:tcPr>
            <w:tcW w:w="246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0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March 31,</w:t>
            </w:r>
          </w:p>
        </w:tc>
        <w:tc>
          <w:tcPr>
            <w:tcW w:w="12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0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June 30,</w:t>
            </w:r>
          </w:p>
        </w:tc>
        <w:tc>
          <w:tcPr>
            <w:tcW w:w="12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0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September 30,</w:t>
            </w:r>
          </w:p>
        </w:tc>
        <w:tc>
          <w:tcPr>
            <w:tcW w:w="12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0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w:t>
            </w:r>
          </w:p>
        </w:tc>
        <w:tc>
          <w:tcPr>
            <w:tcW w:w="12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42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Total</w:t>
            </w:r>
          </w:p>
        </w:tc>
        <w:tc>
          <w:tcPr>
            <w:tcW w:w="170" w:type="dxa"/>
            <w:tcBorders/>
            <w:shd w:fill="auto" w:val="clear"/>
            <w:vAlign w:val="center"/>
          </w:tcPr>
          <w:p>
            <w:pPr>
              <w:pStyle w:val="TableContents"/>
              <w:spacing w:before="0" w:after="0"/>
              <w:ind w:left="0" w:right="0" w:hanging="0"/>
              <w:rPr/>
            </w:pPr>
            <w:r>
              <w:rPr/>
              <w:t> </w:t>
            </w:r>
          </w:p>
        </w:tc>
      </w:tr>
      <w:tr>
        <w:trPr/>
        <w:tc>
          <w:tcPr>
            <w:tcW w:w="246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r>
      <w:tr>
        <w:trPr/>
        <w:tc>
          <w:tcPr>
            <w:tcW w:w="2465"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Net premiums earned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26,673,380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27,902,068</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29,360,976</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30,448,107</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114,384,531</w:t>
            </w:r>
          </w:p>
        </w:tc>
        <w:tc>
          <w:tcPr>
            <w:tcW w:w="170" w:type="dxa"/>
            <w:tcBorders/>
            <w:shd w:fill="CCEEFF" w:val="clear"/>
            <w:vAlign w:val="center"/>
          </w:tcPr>
          <w:p>
            <w:pPr>
              <w:pStyle w:val="TableContents"/>
              <w:spacing w:before="0" w:after="0"/>
              <w:ind w:left="0" w:right="0" w:hanging="0"/>
              <w:rPr/>
            </w:pPr>
            <w:r>
              <w:rPr/>
              <w:t> </w:t>
            </w:r>
          </w:p>
        </w:tc>
      </w:tr>
      <w:tr>
        <w:trPr/>
        <w:tc>
          <w:tcPr>
            <w:tcW w:w="2465"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Ceding commission revenue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4,681,396</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4,715,587</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4,886,094</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5,036,314</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19,319,391</w:t>
            </w:r>
          </w:p>
        </w:tc>
        <w:tc>
          <w:tcPr>
            <w:tcW w:w="170" w:type="dxa"/>
            <w:tcBorders/>
            <w:shd w:fill="FFFFFF" w:val="clear"/>
            <w:vAlign w:val="center"/>
          </w:tcPr>
          <w:p>
            <w:pPr>
              <w:pStyle w:val="TableContents"/>
              <w:spacing w:before="0" w:after="0"/>
              <w:ind w:left="0" w:right="0" w:hanging="0"/>
              <w:rPr/>
            </w:pPr>
            <w:r>
              <w:rPr/>
              <w:t> </w:t>
            </w:r>
          </w:p>
        </w:tc>
      </w:tr>
      <w:tr>
        <w:trPr/>
        <w:tc>
          <w:tcPr>
            <w:tcW w:w="2465"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Net investment income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1,359,100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634,325</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1,418,521</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1,524,832</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4,936,778</w:t>
            </w:r>
          </w:p>
        </w:tc>
        <w:tc>
          <w:tcPr>
            <w:tcW w:w="170" w:type="dxa"/>
            <w:tcBorders/>
            <w:shd w:fill="CCEEFF" w:val="clear"/>
            <w:vAlign w:val="center"/>
          </w:tcPr>
          <w:p>
            <w:pPr>
              <w:pStyle w:val="TableContents"/>
              <w:spacing w:before="0" w:after="0"/>
              <w:ind w:left="0" w:right="0" w:hanging="0"/>
              <w:rPr/>
            </w:pPr>
            <w:r>
              <w:rPr/>
              <w:t> </w:t>
            </w:r>
          </w:p>
        </w:tc>
      </w:tr>
      <w:tr>
        <w:trPr/>
        <w:tc>
          <w:tcPr>
            <w:tcW w:w="2465"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Net losses on investments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(4,398,405</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(4,517,373</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(397,658</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(78,429</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(9,391,865</w:t>
            </w:r>
          </w:p>
        </w:tc>
        <w:tc>
          <w:tcPr>
            <w:tcW w:w="170" w:type="dxa"/>
            <w:tcBorders/>
            <w:shd w:fill="FFFFFF" w:val="clear"/>
            <w:vAlign w:val="center"/>
          </w:tcPr>
          <w:p>
            <w:pPr>
              <w:pStyle w:val="TableContents"/>
              <w:spacing w:before="0" w:after="283"/>
              <w:rPr/>
            </w:pPr>
            <w:r>
              <w:rPr/>
              <w:t>)</w:t>
            </w:r>
          </w:p>
        </w:tc>
      </w:tr>
      <w:tr>
        <w:trPr/>
        <w:tc>
          <w:tcPr>
            <w:tcW w:w="2465"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Total revenues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28,551,295</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28,979,250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35,537,635</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37,091,110</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130,159,290</w:t>
            </w:r>
          </w:p>
        </w:tc>
        <w:tc>
          <w:tcPr>
            <w:tcW w:w="170" w:type="dxa"/>
            <w:tcBorders/>
            <w:shd w:fill="CCEEFF" w:val="clear"/>
            <w:vAlign w:val="center"/>
          </w:tcPr>
          <w:p>
            <w:pPr>
              <w:pStyle w:val="TableContents"/>
              <w:spacing w:before="0" w:after="0"/>
              <w:ind w:left="0" w:right="0" w:hanging="0"/>
              <w:rPr/>
            </w:pPr>
            <w:r>
              <w:rPr/>
              <w:t> </w:t>
            </w:r>
          </w:p>
        </w:tc>
      </w:tr>
      <w:tr>
        <w:trPr/>
        <w:tc>
          <w:tcPr>
            <w:tcW w:w="2465"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Loss and loss adjustment expenses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22,941,198</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18,656,041</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22,027,516</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24,765,287</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88,390,042</w:t>
            </w:r>
          </w:p>
        </w:tc>
        <w:tc>
          <w:tcPr>
            <w:tcW w:w="170" w:type="dxa"/>
            <w:tcBorders/>
            <w:shd w:fill="FFFFFF" w:val="clear"/>
            <w:vAlign w:val="center"/>
          </w:tcPr>
          <w:p>
            <w:pPr>
              <w:pStyle w:val="TableContents"/>
              <w:spacing w:before="0" w:after="0"/>
              <w:ind w:left="0" w:right="0" w:hanging="0"/>
              <w:rPr/>
            </w:pPr>
            <w:r>
              <w:rPr/>
              <w:t> </w:t>
            </w:r>
          </w:p>
        </w:tc>
      </w:tr>
      <w:tr>
        <w:trPr/>
        <w:tc>
          <w:tcPr>
            <w:tcW w:w="2465"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Commission expense and other underwriting expenses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15,167,035</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15,106,028</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15,978,291</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15,027,269</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61,278,623</w:t>
            </w:r>
          </w:p>
        </w:tc>
        <w:tc>
          <w:tcPr>
            <w:tcW w:w="170" w:type="dxa"/>
            <w:tcBorders/>
            <w:shd w:fill="CCEEFF" w:val="clear"/>
            <w:vAlign w:val="center"/>
          </w:tcPr>
          <w:p>
            <w:pPr>
              <w:pStyle w:val="TableContents"/>
              <w:spacing w:before="0" w:after="0"/>
              <w:ind w:left="0" w:right="0" w:hanging="0"/>
              <w:rPr/>
            </w:pPr>
            <w:r>
              <w:rPr/>
              <w:t> </w:t>
            </w:r>
          </w:p>
        </w:tc>
      </w:tr>
      <w:tr>
        <w:trPr/>
        <w:tc>
          <w:tcPr>
            <w:tcW w:w="2465"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Net loss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(9,197,532</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(5,379,619</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(3,997,621</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(3,950,022</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(22,524,794</w:t>
            </w:r>
          </w:p>
        </w:tc>
        <w:tc>
          <w:tcPr>
            <w:tcW w:w="170" w:type="dxa"/>
            <w:tcBorders/>
            <w:shd w:fill="FFFFFF" w:val="clear"/>
            <w:vAlign w:val="center"/>
          </w:tcPr>
          <w:p>
            <w:pPr>
              <w:pStyle w:val="TableContents"/>
              <w:spacing w:before="0" w:after="283"/>
              <w:rPr/>
            </w:pPr>
            <w:r>
              <w:rPr/>
              <w:t>)</w:t>
            </w:r>
          </w:p>
        </w:tc>
      </w:tr>
      <w:tr>
        <w:trPr/>
        <w:tc>
          <w:tcPr>
            <w:tcW w:w="2465"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Basic loss per share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(0.87</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(0.51</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(0.38</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(0.37</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(2.12</w:t>
            </w:r>
          </w:p>
        </w:tc>
        <w:tc>
          <w:tcPr>
            <w:tcW w:w="170" w:type="dxa"/>
            <w:tcBorders/>
            <w:shd w:fill="CCEEFF" w:val="clear"/>
            <w:vAlign w:val="center"/>
          </w:tcPr>
          <w:p>
            <w:pPr>
              <w:pStyle w:val="TableContents"/>
              <w:spacing w:before="0" w:after="283"/>
              <w:rPr/>
            </w:pPr>
            <w:r>
              <w:rPr/>
              <w:t>)</w:t>
            </w:r>
          </w:p>
        </w:tc>
      </w:tr>
      <w:tr>
        <w:trPr/>
        <w:tc>
          <w:tcPr>
            <w:tcW w:w="2465"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Diluted loss per share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130" w:type="dxa"/>
            <w:tcBorders/>
            <w:shd w:fill="FFFFFF" w:val="clear"/>
            <w:vAlign w:val="center"/>
          </w:tcPr>
          <w:p>
            <w:pPr>
              <w:pStyle w:val="TableContents"/>
              <w:spacing w:before="0" w:after="283"/>
              <w:jc w:val="right"/>
              <w:rPr/>
            </w:pPr>
            <w:r>
              <w:rPr/>
              <w:t>(0.87</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130" w:type="dxa"/>
            <w:tcBorders/>
            <w:shd w:fill="FFFFFF" w:val="clear"/>
            <w:vAlign w:val="center"/>
          </w:tcPr>
          <w:p>
            <w:pPr>
              <w:pStyle w:val="TableContents"/>
              <w:spacing w:before="0" w:after="283"/>
              <w:jc w:val="right"/>
              <w:rPr/>
            </w:pPr>
            <w:r>
              <w:rPr/>
              <w:t>(0.51</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130" w:type="dxa"/>
            <w:tcBorders/>
            <w:shd w:fill="FFFFFF" w:val="clear"/>
            <w:vAlign w:val="center"/>
          </w:tcPr>
          <w:p>
            <w:pPr>
              <w:pStyle w:val="TableContents"/>
              <w:spacing w:before="0" w:after="283"/>
              <w:jc w:val="right"/>
              <w:rPr/>
            </w:pPr>
            <w:r>
              <w:rPr/>
              <w:t>(0.38</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130" w:type="dxa"/>
            <w:tcBorders/>
            <w:shd w:fill="FFFFFF" w:val="clear"/>
            <w:vAlign w:val="center"/>
          </w:tcPr>
          <w:p>
            <w:pPr>
              <w:pStyle w:val="TableContents"/>
              <w:spacing w:before="0" w:after="283"/>
              <w:jc w:val="right"/>
              <w:rPr/>
            </w:pPr>
            <w:r>
              <w:rPr/>
              <w:t>(0.37</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(2.12</w:t>
            </w:r>
          </w:p>
        </w:tc>
        <w:tc>
          <w:tcPr>
            <w:tcW w:w="170" w:type="dxa"/>
            <w:tcBorders/>
            <w:shd w:fill="FFFFFF" w:val="clear"/>
            <w:vAlign w:val="center"/>
          </w:tcPr>
          <w:p>
            <w:pPr>
              <w:pStyle w:val="TableContents"/>
              <w:spacing w:before="0" w:after="283"/>
              <w:rPr/>
            </w:pPr>
            <w:r>
              <w:rPr/>
              <w:t>)</w:t>
            </w:r>
          </w:p>
        </w:tc>
      </w:tr>
    </w:tbl>
    <w:p>
      <w:pPr>
        <w:pStyle w:val="TextBody"/>
        <w:spacing w:before="0" w:after="0"/>
        <w:ind w:left="0" w:right="0" w:hanging="0"/>
        <w:rPr/>
      </w:pPr>
      <w:r>
        <w:rPr/>
        <w:t xml:space="preserve">  </w:t>
      </w:r>
    </w:p>
    <w:tbl>
      <w:tblPr>
        <w:tblW w:w="10205" w:type="dxa"/>
        <w:jc w:val="left"/>
        <w:tblInd w:w="0" w:type="dxa"/>
        <w:tblCellMar>
          <w:top w:w="0" w:type="dxa"/>
          <w:left w:w="0" w:type="dxa"/>
          <w:bottom w:w="0" w:type="dxa"/>
          <w:right w:w="0" w:type="dxa"/>
        </w:tblCellMar>
      </w:tblPr>
      <w:tblGrid>
        <w:gridCol w:w="2460"/>
        <w:gridCol w:w="90"/>
        <w:gridCol w:w="170"/>
        <w:gridCol w:w="1130"/>
        <w:gridCol w:w="125"/>
        <w:gridCol w:w="90"/>
        <w:gridCol w:w="170"/>
        <w:gridCol w:w="1130"/>
        <w:gridCol w:w="90"/>
        <w:gridCol w:w="90"/>
        <w:gridCol w:w="170"/>
        <w:gridCol w:w="1205"/>
        <w:gridCol w:w="125"/>
        <w:gridCol w:w="90"/>
        <w:gridCol w:w="170"/>
        <w:gridCol w:w="1130"/>
        <w:gridCol w:w="90"/>
        <w:gridCol w:w="90"/>
        <w:gridCol w:w="170"/>
        <w:gridCol w:w="1250"/>
        <w:gridCol w:w="170"/>
      </w:tblGrid>
      <w:tr>
        <w:trPr/>
        <w:tc>
          <w:tcPr>
            <w:tcW w:w="246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7485" w:type="dxa"/>
            <w:gridSpan w:val="18"/>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2021</w:t>
            </w:r>
          </w:p>
        </w:tc>
        <w:tc>
          <w:tcPr>
            <w:tcW w:w="170" w:type="dxa"/>
            <w:tcBorders/>
            <w:shd w:fill="auto" w:val="clear"/>
            <w:vAlign w:val="center"/>
          </w:tcPr>
          <w:p>
            <w:pPr>
              <w:pStyle w:val="TableContents"/>
              <w:spacing w:before="0" w:after="0"/>
              <w:ind w:left="0" w:right="0" w:hanging="0"/>
              <w:rPr/>
            </w:pPr>
            <w:r>
              <w:rPr>
                <w:rStyle w:val="StrongEmphasis"/>
              </w:rPr>
              <w:t> </w:t>
            </w:r>
          </w:p>
        </w:tc>
      </w:tr>
      <w:tr>
        <w:trPr/>
        <w:tc>
          <w:tcPr>
            <w:tcW w:w="246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0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March 31,</w:t>
            </w:r>
          </w:p>
        </w:tc>
        <w:tc>
          <w:tcPr>
            <w:tcW w:w="12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0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June 30,</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75"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September 30,</w:t>
            </w:r>
          </w:p>
        </w:tc>
        <w:tc>
          <w:tcPr>
            <w:tcW w:w="125"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30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December 31,</w:t>
            </w:r>
          </w:p>
        </w:tc>
        <w:tc>
          <w:tcPr>
            <w:tcW w:w="90" w:type="dxa"/>
            <w:tcBorders/>
            <w:shd w:fill="auto" w:val="clear"/>
            <w:vAlign w:val="center"/>
          </w:tcPr>
          <w:p>
            <w:pPr>
              <w:pStyle w:val="TableContents"/>
              <w:spacing w:before="0" w:after="0"/>
              <w:ind w:left="0" w:right="0" w:hanging="0"/>
              <w:rPr/>
            </w:pPr>
            <w:r>
              <w:rPr>
                <w:rStyle w:val="StrongEmphasis"/>
              </w:rPr>
              <w:t> </w:t>
            </w:r>
          </w:p>
        </w:tc>
        <w:tc>
          <w:tcPr>
            <w:tcW w:w="90" w:type="dxa"/>
            <w:tcBorders/>
            <w:shd w:fill="auto" w:val="clear"/>
            <w:vAlign w:val="center"/>
          </w:tcPr>
          <w:p>
            <w:pPr>
              <w:pStyle w:val="TableContents"/>
              <w:spacing w:before="0" w:after="0"/>
              <w:ind w:left="0" w:right="0" w:hanging="0"/>
              <w:rPr/>
            </w:pPr>
            <w:r>
              <w:rPr>
                <w:rStyle w:val="StrongEmphasis"/>
              </w:rPr>
              <w:t> </w:t>
            </w:r>
          </w:p>
        </w:tc>
        <w:tc>
          <w:tcPr>
            <w:tcW w:w="1420" w:type="dxa"/>
            <w:gridSpan w:val="2"/>
            <w:tcBorders>
              <w:bottom w:val="single" w:sz="8" w:space="0" w:color="000000"/>
            </w:tcBorders>
            <w:shd w:fill="auto" w:val="clear"/>
            <w:tcMar>
              <w:bottom w:w="28" w:type="dxa"/>
            </w:tcMar>
            <w:vAlign w:val="center"/>
          </w:tcPr>
          <w:p>
            <w:pPr>
              <w:pStyle w:val="TableContents"/>
              <w:spacing w:before="0" w:after="0"/>
              <w:ind w:left="0" w:right="0" w:hanging="0"/>
              <w:jc w:val="center"/>
              <w:rPr/>
            </w:pPr>
            <w:r>
              <w:rPr>
                <w:rStyle w:val="StrongEmphasis"/>
                <w:rFonts w:ascii="times new roman" w:hAnsi="times new roman"/>
                <w:sz w:val="20"/>
              </w:rPr>
              <w:t>Total</w:t>
            </w:r>
          </w:p>
        </w:tc>
        <w:tc>
          <w:tcPr>
            <w:tcW w:w="170" w:type="dxa"/>
            <w:tcBorders/>
            <w:shd w:fill="auto" w:val="clear"/>
            <w:vAlign w:val="center"/>
          </w:tcPr>
          <w:p>
            <w:pPr>
              <w:pStyle w:val="TableContents"/>
              <w:spacing w:before="0" w:after="0"/>
              <w:ind w:left="0" w:right="0" w:hanging="0"/>
              <w:rPr/>
            </w:pPr>
            <w:r>
              <w:rPr/>
              <w:t> </w:t>
            </w:r>
          </w:p>
        </w:tc>
      </w:tr>
      <w:tr>
        <w:trPr/>
        <w:tc>
          <w:tcPr>
            <w:tcW w:w="246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75" w:type="dxa"/>
            <w:gridSpan w:val="2"/>
            <w:tcBorders/>
            <w:shd w:fill="auto" w:val="clear"/>
            <w:vAlign w:val="center"/>
          </w:tcPr>
          <w:p>
            <w:pPr>
              <w:pStyle w:val="TableContents"/>
              <w:spacing w:before="0" w:after="0"/>
              <w:ind w:left="0" w:right="0" w:hanging="0"/>
              <w:rPr/>
            </w:pPr>
            <w:r>
              <w:rPr/>
              <w:t> </w:t>
            </w:r>
          </w:p>
        </w:tc>
        <w:tc>
          <w:tcPr>
            <w:tcW w:w="12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300" w:type="dxa"/>
            <w:gridSpan w:val="2"/>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420" w:type="dxa"/>
            <w:gridSpan w:val="2"/>
            <w:tcBorders/>
            <w:shd w:fill="auto" w:val="clear"/>
            <w:vAlign w:val="center"/>
          </w:tcPr>
          <w:p>
            <w:pPr>
              <w:pStyle w:val="TableContents"/>
              <w:spacing w:before="0" w:after="0"/>
              <w:ind w:left="0" w:right="0" w:hanging="0"/>
              <w:rPr/>
            </w:pPr>
            <w:r>
              <w:rPr/>
              <w:t> </w:t>
            </w:r>
          </w:p>
        </w:tc>
        <w:tc>
          <w:tcPr>
            <w:tcW w:w="170" w:type="dxa"/>
            <w:tcBorders/>
            <w:shd w:fill="auto" w:val="clear"/>
            <w:vAlign w:val="center"/>
          </w:tcPr>
          <w:p>
            <w:pPr>
              <w:pStyle w:val="TableContents"/>
              <w:spacing w:before="0" w:after="0"/>
              <w:ind w:left="0" w:right="0" w:hanging="0"/>
              <w:rPr/>
            </w:pPr>
            <w:r>
              <w:rPr/>
              <w:t> </w:t>
            </w:r>
          </w:p>
        </w:tc>
      </w:tr>
      <w:tr>
        <w:trPr/>
        <w:tc>
          <w:tcPr>
            <w:tcW w:w="2460"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Net premiums earned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34,589,218</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35,436,426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05" w:type="dxa"/>
            <w:tcBorders/>
            <w:shd w:fill="CCEEFF" w:val="clear"/>
            <w:vAlign w:val="center"/>
          </w:tcPr>
          <w:p>
            <w:pPr>
              <w:pStyle w:val="TableContents"/>
              <w:spacing w:before="0" w:after="283"/>
              <w:jc w:val="right"/>
              <w:rPr/>
            </w:pPr>
            <w:r>
              <w:rPr/>
              <w:t>36,803,251</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37,052,824</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143,881,719</w:t>
            </w:r>
          </w:p>
        </w:tc>
        <w:tc>
          <w:tcPr>
            <w:tcW w:w="170" w:type="dxa"/>
            <w:tcBorders/>
            <w:shd w:fill="CCEEFF" w:val="clear"/>
            <w:vAlign w:val="center"/>
          </w:tcPr>
          <w:p>
            <w:pPr>
              <w:pStyle w:val="TableContents"/>
              <w:spacing w:before="0" w:after="0"/>
              <w:ind w:left="0" w:right="0" w:hanging="0"/>
              <w:rPr/>
            </w:pPr>
            <w:r>
              <w:rPr/>
              <w:t> </w:t>
            </w:r>
          </w:p>
        </w:tc>
      </w:tr>
      <w:tr>
        <w:trPr/>
        <w:tc>
          <w:tcPr>
            <w:tcW w:w="2460"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Ceding commission revenue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(1,065</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45,741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(7,276</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52,281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89,681</w:t>
            </w:r>
          </w:p>
        </w:tc>
        <w:tc>
          <w:tcPr>
            <w:tcW w:w="170" w:type="dxa"/>
            <w:tcBorders/>
            <w:shd w:fill="FFFFFF" w:val="clear"/>
            <w:vAlign w:val="center"/>
          </w:tcPr>
          <w:p>
            <w:pPr>
              <w:pStyle w:val="TableContents"/>
              <w:spacing w:before="0" w:after="0"/>
              <w:ind w:left="0" w:right="0" w:hanging="0"/>
              <w:rPr/>
            </w:pPr>
            <w:r>
              <w:rPr/>
              <w:t> </w:t>
            </w:r>
          </w:p>
        </w:tc>
      </w:tr>
      <w:tr>
        <w:trPr/>
        <w:tc>
          <w:tcPr>
            <w:tcW w:w="2460"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Net investment income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1,783,196</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1,678,075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1,676,596</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1,483,525</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6,621,392</w:t>
            </w:r>
          </w:p>
        </w:tc>
        <w:tc>
          <w:tcPr>
            <w:tcW w:w="170" w:type="dxa"/>
            <w:tcBorders/>
            <w:shd w:fill="CCEEFF" w:val="clear"/>
            <w:vAlign w:val="center"/>
          </w:tcPr>
          <w:p>
            <w:pPr>
              <w:pStyle w:val="TableContents"/>
              <w:spacing w:before="0" w:after="0"/>
              <w:ind w:left="0" w:right="0" w:hanging="0"/>
              <w:rPr/>
            </w:pPr>
            <w:r>
              <w:rPr/>
              <w:t> </w:t>
            </w:r>
          </w:p>
        </w:tc>
      </w:tr>
      <w:tr>
        <w:trPr/>
        <w:tc>
          <w:tcPr>
            <w:tcW w:w="2460"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Net gains on investments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2,960,407</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2,315,261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204,534</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4,306,753</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9,786,955</w:t>
            </w:r>
          </w:p>
        </w:tc>
        <w:tc>
          <w:tcPr>
            <w:tcW w:w="170" w:type="dxa"/>
            <w:tcBorders/>
            <w:shd w:fill="FFFFFF" w:val="clear"/>
            <w:vAlign w:val="center"/>
          </w:tcPr>
          <w:p>
            <w:pPr>
              <w:pStyle w:val="TableContents"/>
              <w:spacing w:before="0" w:after="0"/>
              <w:ind w:left="0" w:right="0" w:hanging="0"/>
              <w:rPr/>
            </w:pPr>
            <w:r>
              <w:rPr/>
              <w:t> </w:t>
            </w:r>
          </w:p>
        </w:tc>
      </w:tr>
      <w:tr>
        <w:trPr/>
        <w:tc>
          <w:tcPr>
            <w:tcW w:w="2460"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Total revenues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39,503,202</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39,600,449</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38,957,974</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43,169,616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161,231,241</w:t>
            </w:r>
          </w:p>
        </w:tc>
        <w:tc>
          <w:tcPr>
            <w:tcW w:w="170" w:type="dxa"/>
            <w:tcBorders/>
            <w:shd w:fill="CCEEFF" w:val="clear"/>
            <w:vAlign w:val="center"/>
          </w:tcPr>
          <w:p>
            <w:pPr>
              <w:pStyle w:val="TableContents"/>
              <w:spacing w:before="0" w:after="0"/>
              <w:ind w:left="0" w:right="0" w:hanging="0"/>
              <w:rPr/>
            </w:pPr>
            <w:r>
              <w:rPr/>
              <w:t> </w:t>
            </w:r>
          </w:p>
        </w:tc>
      </w:tr>
      <w:tr>
        <w:trPr/>
        <w:tc>
          <w:tcPr>
            <w:tcW w:w="2460"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Loss and loss adjustment expenses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22,560,672</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20,759,210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35,740,235</w:t>
            </w:r>
          </w:p>
        </w:tc>
        <w:tc>
          <w:tcPr>
            <w:tcW w:w="125"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22,912,479</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101,972,596</w:t>
            </w:r>
          </w:p>
        </w:tc>
        <w:tc>
          <w:tcPr>
            <w:tcW w:w="170" w:type="dxa"/>
            <w:tcBorders/>
            <w:shd w:fill="FFFFFF" w:val="clear"/>
            <w:vAlign w:val="center"/>
          </w:tcPr>
          <w:p>
            <w:pPr>
              <w:pStyle w:val="TableContents"/>
              <w:spacing w:before="0" w:after="0"/>
              <w:ind w:left="0" w:right="0" w:hanging="0"/>
              <w:rPr/>
            </w:pPr>
            <w:r>
              <w:rPr/>
              <w:t> </w:t>
            </w:r>
          </w:p>
        </w:tc>
      </w:tr>
      <w:tr>
        <w:trPr/>
        <w:tc>
          <w:tcPr>
            <w:tcW w:w="2460"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Commission expense and other underwriting expenses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14,690,881</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14,978,261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05" w:type="dxa"/>
            <w:tcBorders/>
            <w:shd w:fill="CCEEFF" w:val="clear"/>
            <w:vAlign w:val="center"/>
          </w:tcPr>
          <w:p>
            <w:pPr>
              <w:pStyle w:val="TableContents"/>
              <w:spacing w:before="0" w:after="283"/>
              <w:jc w:val="right"/>
              <w:rPr/>
            </w:pPr>
            <w:r>
              <w:rPr/>
              <w:t>14,764,678</w:t>
            </w:r>
          </w:p>
        </w:tc>
        <w:tc>
          <w:tcPr>
            <w:tcW w:w="125"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130" w:type="dxa"/>
            <w:tcBorders/>
            <w:shd w:fill="CCEEFF" w:val="clear"/>
            <w:vAlign w:val="center"/>
          </w:tcPr>
          <w:p>
            <w:pPr>
              <w:pStyle w:val="TableContents"/>
              <w:spacing w:before="0" w:after="283"/>
              <w:jc w:val="right"/>
              <w:rPr/>
            </w:pPr>
            <w:r>
              <w:rPr/>
              <w:t>14,934,426</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0"/>
              <w:ind w:left="0" w:right="0" w:hanging="0"/>
              <w:rPr/>
            </w:pPr>
            <w:r>
              <w:rPr/>
              <w:t> </w:t>
            </w:r>
          </w:p>
        </w:tc>
        <w:tc>
          <w:tcPr>
            <w:tcW w:w="1250" w:type="dxa"/>
            <w:tcBorders/>
            <w:shd w:fill="CCEEFF" w:val="clear"/>
            <w:vAlign w:val="center"/>
          </w:tcPr>
          <w:p>
            <w:pPr>
              <w:pStyle w:val="TableContents"/>
              <w:spacing w:before="0" w:after="283"/>
              <w:jc w:val="right"/>
              <w:rPr/>
            </w:pPr>
            <w:r>
              <w:rPr/>
              <w:t>59,368,246</w:t>
            </w:r>
          </w:p>
        </w:tc>
        <w:tc>
          <w:tcPr>
            <w:tcW w:w="170" w:type="dxa"/>
            <w:tcBorders/>
            <w:shd w:fill="CCEEFF" w:val="clear"/>
            <w:vAlign w:val="center"/>
          </w:tcPr>
          <w:p>
            <w:pPr>
              <w:pStyle w:val="TableContents"/>
              <w:spacing w:before="0" w:after="0"/>
              <w:ind w:left="0" w:right="0" w:hanging="0"/>
              <w:rPr/>
            </w:pPr>
            <w:r>
              <w:rPr/>
              <w:t> </w:t>
            </w:r>
          </w:p>
        </w:tc>
      </w:tr>
      <w:tr>
        <w:trPr/>
        <w:tc>
          <w:tcPr>
            <w:tcW w:w="2460"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Net income (loss)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(311,097</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1,323,361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05" w:type="dxa"/>
            <w:tcBorders/>
            <w:shd w:fill="FFFFFF" w:val="clear"/>
            <w:vAlign w:val="center"/>
          </w:tcPr>
          <w:p>
            <w:pPr>
              <w:pStyle w:val="TableContents"/>
              <w:spacing w:before="0" w:after="283"/>
              <w:jc w:val="right"/>
              <w:rPr/>
            </w:pPr>
            <w:r>
              <w:rPr/>
              <w:t>(10,618,265</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130" w:type="dxa"/>
            <w:tcBorders/>
            <w:shd w:fill="FFFFFF" w:val="clear"/>
            <w:vAlign w:val="center"/>
          </w:tcPr>
          <w:p>
            <w:pPr>
              <w:pStyle w:val="TableContents"/>
              <w:spacing w:before="0" w:after="283"/>
              <w:jc w:val="right"/>
              <w:rPr/>
            </w:pPr>
            <w:r>
              <w:rPr/>
              <w:t>2,227,700</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0"/>
              <w:ind w:left="0" w:right="0" w:hanging="0"/>
              <w:rPr/>
            </w:pPr>
            <w:r>
              <w:rPr/>
              <w:t> </w:t>
            </w:r>
          </w:p>
        </w:tc>
        <w:tc>
          <w:tcPr>
            <w:tcW w:w="1250" w:type="dxa"/>
            <w:tcBorders/>
            <w:shd w:fill="FFFFFF" w:val="clear"/>
            <w:vAlign w:val="center"/>
          </w:tcPr>
          <w:p>
            <w:pPr>
              <w:pStyle w:val="TableContents"/>
              <w:spacing w:before="0" w:after="283"/>
              <w:jc w:val="right"/>
              <w:rPr/>
            </w:pPr>
            <w:r>
              <w:rPr/>
              <w:t>(7,378,301</w:t>
            </w:r>
          </w:p>
        </w:tc>
        <w:tc>
          <w:tcPr>
            <w:tcW w:w="170" w:type="dxa"/>
            <w:tcBorders/>
            <w:shd w:fill="FFFFFF" w:val="clear"/>
            <w:vAlign w:val="center"/>
          </w:tcPr>
          <w:p>
            <w:pPr>
              <w:pStyle w:val="TableContents"/>
              <w:spacing w:before="0" w:after="283"/>
              <w:rPr/>
            </w:pPr>
            <w:r>
              <w:rPr/>
              <w:t>)</w:t>
            </w:r>
          </w:p>
        </w:tc>
      </w:tr>
      <w:tr>
        <w:trPr/>
        <w:tc>
          <w:tcPr>
            <w:tcW w:w="2460"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Basic earnings (loss) per share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(0.03</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0.12</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05" w:type="dxa"/>
            <w:tcBorders/>
            <w:shd w:fill="CCEEFF" w:val="clear"/>
            <w:vAlign w:val="center"/>
          </w:tcPr>
          <w:p>
            <w:pPr>
              <w:pStyle w:val="TableContents"/>
              <w:spacing w:before="0" w:after="283"/>
              <w:jc w:val="right"/>
              <w:rPr/>
            </w:pPr>
            <w:r>
              <w:rPr/>
              <w:t>(1.01</w:t>
            </w:r>
          </w:p>
        </w:tc>
        <w:tc>
          <w:tcPr>
            <w:tcW w:w="125" w:type="dxa"/>
            <w:tcBorders/>
            <w:shd w:fill="CCEEFF" w:val="clear"/>
            <w:vAlign w:val="center"/>
          </w:tcPr>
          <w:p>
            <w:pPr>
              <w:pStyle w:val="TableContents"/>
              <w:spacing w:before="0" w:after="283"/>
              <w:rPr/>
            </w:pPr>
            <w:r>
              <w:rPr/>
              <w:t>)</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130" w:type="dxa"/>
            <w:tcBorders/>
            <w:shd w:fill="CCEEFF" w:val="clear"/>
            <w:vAlign w:val="center"/>
          </w:tcPr>
          <w:p>
            <w:pPr>
              <w:pStyle w:val="TableContents"/>
              <w:spacing w:before="0" w:after="283"/>
              <w:jc w:val="right"/>
              <w:rPr/>
            </w:pPr>
            <w:r>
              <w:rPr/>
              <w:t>0.21</w:t>
            </w:r>
          </w:p>
        </w:tc>
        <w:tc>
          <w:tcPr>
            <w:tcW w:w="90" w:type="dxa"/>
            <w:tcBorders/>
            <w:shd w:fill="CCEEFF" w:val="clear"/>
            <w:vAlign w:val="center"/>
          </w:tcPr>
          <w:p>
            <w:pPr>
              <w:pStyle w:val="TableContents"/>
              <w:spacing w:before="0" w:after="0"/>
              <w:ind w:left="0" w:right="0" w:hanging="0"/>
              <w:rPr/>
            </w:pPr>
            <w:r>
              <w:rPr/>
              <w:t> </w:t>
            </w:r>
          </w:p>
        </w:tc>
        <w:tc>
          <w:tcPr>
            <w:tcW w:w="90" w:type="dxa"/>
            <w:tcBorders/>
            <w:shd w:fill="CCEEFF" w:val="clear"/>
            <w:vAlign w:val="center"/>
          </w:tcPr>
          <w:p>
            <w:pPr>
              <w:pStyle w:val="TableContents"/>
              <w:spacing w:before="0" w:after="0"/>
              <w:ind w:left="0" w:right="0" w:hanging="0"/>
              <w:rPr/>
            </w:pPr>
            <w:r>
              <w:rPr/>
              <w:t> </w:t>
            </w:r>
          </w:p>
        </w:tc>
        <w:tc>
          <w:tcPr>
            <w:tcW w:w="170" w:type="dxa"/>
            <w:tcBorders/>
            <w:shd w:fill="CCEEFF" w:val="clear"/>
            <w:vAlign w:val="center"/>
          </w:tcPr>
          <w:p>
            <w:pPr>
              <w:pStyle w:val="TableContents"/>
              <w:spacing w:before="0" w:after="283"/>
              <w:rPr/>
            </w:pPr>
            <w:r>
              <w:rPr/>
              <w:t>$</w:t>
            </w:r>
          </w:p>
        </w:tc>
        <w:tc>
          <w:tcPr>
            <w:tcW w:w="1250" w:type="dxa"/>
            <w:tcBorders/>
            <w:shd w:fill="CCEEFF" w:val="clear"/>
            <w:vAlign w:val="center"/>
          </w:tcPr>
          <w:p>
            <w:pPr>
              <w:pStyle w:val="TableContents"/>
              <w:spacing w:before="0" w:after="283"/>
              <w:jc w:val="right"/>
              <w:rPr/>
            </w:pPr>
            <w:r>
              <w:rPr/>
              <w:t>(0.70</w:t>
            </w:r>
          </w:p>
        </w:tc>
        <w:tc>
          <w:tcPr>
            <w:tcW w:w="170" w:type="dxa"/>
            <w:tcBorders/>
            <w:shd w:fill="CCEEFF" w:val="clear"/>
            <w:vAlign w:val="center"/>
          </w:tcPr>
          <w:p>
            <w:pPr>
              <w:pStyle w:val="TableContents"/>
              <w:spacing w:before="0" w:after="283"/>
              <w:rPr/>
            </w:pPr>
            <w:r>
              <w:rPr/>
              <w:t>)</w:t>
            </w:r>
          </w:p>
        </w:tc>
      </w:tr>
      <w:tr>
        <w:trPr/>
        <w:tc>
          <w:tcPr>
            <w:tcW w:w="2460"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Diluted earnings (loss) per share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130" w:type="dxa"/>
            <w:tcBorders/>
            <w:shd w:fill="FFFFFF" w:val="clear"/>
            <w:vAlign w:val="center"/>
          </w:tcPr>
          <w:p>
            <w:pPr>
              <w:pStyle w:val="TableContents"/>
              <w:spacing w:before="0" w:after="283"/>
              <w:jc w:val="right"/>
              <w:rPr/>
            </w:pPr>
            <w:r>
              <w:rPr/>
              <w:t>(0.03</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130" w:type="dxa"/>
            <w:tcBorders/>
            <w:shd w:fill="FFFFFF" w:val="clear"/>
            <w:vAlign w:val="center"/>
          </w:tcPr>
          <w:p>
            <w:pPr>
              <w:pStyle w:val="TableContents"/>
              <w:spacing w:before="0" w:after="283"/>
              <w:jc w:val="right"/>
              <w:rPr/>
            </w:pPr>
            <w:r>
              <w:rPr/>
              <w:t>0.12</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05" w:type="dxa"/>
            <w:tcBorders/>
            <w:shd w:fill="FFFFFF" w:val="clear"/>
            <w:vAlign w:val="center"/>
          </w:tcPr>
          <w:p>
            <w:pPr>
              <w:pStyle w:val="TableContents"/>
              <w:spacing w:before="0" w:after="283"/>
              <w:jc w:val="right"/>
              <w:rPr/>
            </w:pPr>
            <w:r>
              <w:rPr/>
              <w:t>(1.01</w:t>
            </w:r>
          </w:p>
        </w:tc>
        <w:tc>
          <w:tcPr>
            <w:tcW w:w="125" w:type="dxa"/>
            <w:tcBorders/>
            <w:shd w:fill="FFFFFF" w:val="clear"/>
            <w:vAlign w:val="center"/>
          </w:tcPr>
          <w:p>
            <w:pPr>
              <w:pStyle w:val="TableContents"/>
              <w:spacing w:before="0" w:after="283"/>
              <w:rPr/>
            </w:pPr>
            <w:r>
              <w:rPr/>
              <w:t>)</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130" w:type="dxa"/>
            <w:tcBorders/>
            <w:shd w:fill="FFFFFF" w:val="clear"/>
            <w:vAlign w:val="center"/>
          </w:tcPr>
          <w:p>
            <w:pPr>
              <w:pStyle w:val="TableContents"/>
              <w:spacing w:before="0" w:after="283"/>
              <w:jc w:val="right"/>
              <w:rPr/>
            </w:pPr>
            <w:r>
              <w:rPr/>
              <w:t>0.21</w:t>
            </w:r>
          </w:p>
        </w:tc>
        <w:tc>
          <w:tcPr>
            <w:tcW w:w="90" w:type="dxa"/>
            <w:tcBorders/>
            <w:shd w:fill="FFFFFF" w:val="clear"/>
            <w:vAlign w:val="center"/>
          </w:tcPr>
          <w:p>
            <w:pPr>
              <w:pStyle w:val="TableContents"/>
              <w:spacing w:before="0" w:after="0"/>
              <w:ind w:left="0" w:right="0" w:hanging="0"/>
              <w:rPr/>
            </w:pPr>
            <w:r>
              <w:rPr/>
              <w:t> </w:t>
            </w:r>
          </w:p>
        </w:tc>
        <w:tc>
          <w:tcPr>
            <w:tcW w:w="90" w:type="dxa"/>
            <w:tcBorders/>
            <w:shd w:fill="FFFFFF" w:val="clear"/>
            <w:vAlign w:val="center"/>
          </w:tcPr>
          <w:p>
            <w:pPr>
              <w:pStyle w:val="TableContents"/>
              <w:spacing w:before="0" w:after="0"/>
              <w:ind w:left="0" w:right="0" w:hanging="0"/>
              <w:rPr/>
            </w:pPr>
            <w:r>
              <w:rPr/>
              <w:t> </w:t>
            </w:r>
          </w:p>
        </w:tc>
        <w:tc>
          <w:tcPr>
            <w:tcW w:w="170"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jc w:val="right"/>
              <w:rPr/>
            </w:pPr>
            <w:r>
              <w:rPr/>
              <w:t>(0.70</w:t>
            </w:r>
          </w:p>
        </w:tc>
        <w:tc>
          <w:tcPr>
            <w:tcW w:w="170" w:type="dxa"/>
            <w:tcBorders/>
            <w:shd w:fill="FFFFFF" w:val="clear"/>
            <w:vAlign w:val="center"/>
          </w:tcPr>
          <w:p>
            <w:pPr>
              <w:pStyle w:val="TableContents"/>
              <w:spacing w:before="0" w:after="283"/>
              <w:rPr/>
            </w:pPr>
            <w:r>
              <w:rPr/>
              <w:t>)</w:t>
            </w:r>
          </w:p>
        </w:tc>
      </w:tr>
    </w:tbl>
    <w:p>
      <w:pPr>
        <w:pStyle w:val="TextBody"/>
        <w:spacing w:before="0" w:after="0"/>
        <w:ind w:left="0" w:right="0" w:hanging="0"/>
        <w:rPr/>
      </w:pPr>
      <w:r>
        <w:rPr/>
        <w:t xml:space="preserve">  </w:t>
      </w:r>
    </w:p>
    <w:p>
      <w:pPr>
        <w:pStyle w:val="TextBody"/>
        <w:spacing w:before="0" w:after="0"/>
        <w:ind w:left="0" w:right="0" w:hanging="0"/>
        <w:jc w:val="both"/>
        <w:rPr>
          <w:rFonts w:ascii="times new roman" w:hAnsi="times new roman"/>
          <w:sz w:val="20"/>
        </w:rPr>
      </w:pPr>
      <w:r>
        <w:rPr>
          <w:rFonts w:ascii="times new roman" w:hAnsi="times new roman"/>
          <w:sz w:val="20"/>
        </w:rPr>
        <w:t>Due to changes in number of shares outstanding from quarter to quarter, the total earnings per share of the four quarters may not necessarily equal the total earnings per share for the year.</w:t>
      </w:r>
    </w:p>
    <w:p>
      <w:pPr>
        <w:pStyle w:val="TextBody"/>
        <w:spacing w:before="0" w:after="0"/>
        <w:ind w:left="0" w:right="0" w:hanging="0"/>
        <w:jc w:val="both"/>
        <w:rPr/>
      </w:pPr>
      <w:r>
        <w:rPr/>
        <w:t> </w:t>
      </w:r>
    </w:p>
    <w:tbl>
      <w:tblPr>
        <w:tblW w:w="560" w:type="dxa"/>
        <w:jc w:val="left"/>
        <w:tblInd w:w="0" w:type="dxa"/>
        <w:tblCellMar>
          <w:top w:w="0" w:type="dxa"/>
          <w:left w:w="0" w:type="dxa"/>
          <w:bottom w:w="0" w:type="dxa"/>
          <w:right w:w="0" w:type="dxa"/>
        </w:tblCellMar>
      </w:tblPr>
      <w:tblGrid>
        <w:gridCol w:w="560"/>
      </w:tblGrid>
      <w:tr>
        <w:trPr/>
        <w:tc>
          <w:tcPr>
            <w:tcW w:w="560" w:type="dxa"/>
            <w:tcBorders/>
            <w:shd w:fill="auto" w:val="clear"/>
            <w:vAlign w:val="center"/>
          </w:tcPr>
          <w:p>
            <w:pPr>
              <w:pStyle w:val="TableContents"/>
              <w:spacing w:before="0" w:after="283"/>
              <w:ind w:left="0" w:right="0" w:hanging="0"/>
              <w:rPr/>
            </w:pPr>
            <w:r>
              <w:rPr/>
              <w:t> </w:t>
            </w:r>
          </w:p>
        </w:tc>
      </w:tr>
      <w:tr>
        <w:trPr/>
        <w:tc>
          <w:tcPr>
            <w:tcW w:w="560" w:type="dxa"/>
            <w:tcBorders>
              <w:bottom w:val="single" w:sz="2" w:space="0" w:color="000000"/>
            </w:tcBorders>
            <w:shd w:fill="auto" w:val="clear"/>
            <w:tcMar>
              <w:bottom w:w="28" w:type="dxa"/>
            </w:tcMar>
            <w:vAlign w:val="center"/>
          </w:tcPr>
          <w:p>
            <w:pPr>
              <w:pStyle w:val="TableContents"/>
              <w:spacing w:before="0" w:after="283"/>
              <w:jc w:val="center"/>
              <w:rPr/>
            </w:pPr>
            <w:r>
              <w:rPr/>
              <w:t>F-56</w:t>
            </w:r>
          </w:p>
        </w:tc>
      </w:tr>
    </w:tbl>
    <w:p>
      <w:pPr>
        <w:pStyle w:val="TextBody"/>
        <w:spacing w:before="0" w:after="0"/>
        <w:ind w:left="0" w:right="0" w:hanging="0"/>
        <w:rPr/>
      </w:pPr>
      <w:r>
        <w:rPr/>
        <w:t> </w:t>
      </w:r>
      <w:r>
        <w:br w:type="page"/>
      </w:r>
    </w:p>
    <w:p>
      <w:pPr>
        <w:pStyle w:val="TextBody"/>
        <w:spacing w:before="0" w:after="0"/>
        <w:ind w:left="0" w:right="0" w:hanging="0"/>
        <w:jc w:val="right"/>
        <w:rPr/>
      </w:pPr>
      <w:bookmarkStart w:id="34" w:name="king_ex10m.htm"/>
      <w:bookmarkStart w:id="35" w:name="ksking_ex10m"/>
      <w:bookmarkEnd w:id="34"/>
      <w:bookmarkEnd w:id="35"/>
      <w:r>
        <w:rPr>
          <w:rStyle w:val="StrongEmphasis"/>
          <w:rFonts w:ascii="times new roman" w:hAnsi="times new roman"/>
          <w:sz w:val="20"/>
        </w:rPr>
        <w:t>EXHIBIT 10(m)</w:t>
      </w:r>
    </w:p>
    <w:p>
      <w:pPr>
        <w:pStyle w:val="TextBody"/>
        <w:spacing w:before="0" w:after="0"/>
        <w:ind w:left="0" w:right="0" w:hanging="0"/>
        <w:jc w:val="both"/>
        <w:rPr/>
      </w:pPr>
      <w:r>
        <w:rPr/>
        <w:t xml:space="preserve">   </w:t>
      </w:r>
    </w:p>
    <w:p>
      <w:pPr>
        <w:pStyle w:val="TextBody"/>
        <w:spacing w:before="0" w:after="0"/>
        <w:ind w:left="0" w:right="0" w:firstLine="675"/>
        <w:jc w:val="both"/>
        <w:rPr/>
      </w:pPr>
      <w:r>
        <w:rPr>
          <w:rStyle w:val="StrongEmphasis"/>
          <w:rFonts w:ascii="times new roman" w:hAnsi="times new roman"/>
          <w:sz w:val="20"/>
        </w:rPr>
        <w:t xml:space="preserve">STOCK GRANT AGREEMENT </w:t>
      </w:r>
      <w:r>
        <w:rPr>
          <w:rFonts w:ascii="times new roman" w:hAnsi="times new roman"/>
          <w:sz w:val="20"/>
        </w:rPr>
        <w:t xml:space="preserve">made as of the 3rd day of January, 2023 between </w:t>
      </w:r>
      <w:r>
        <w:rPr>
          <w:rStyle w:val="StrongEmphasis"/>
          <w:rFonts w:ascii="times new roman" w:hAnsi="times new roman"/>
          <w:sz w:val="20"/>
        </w:rPr>
        <w:t>KINGSTONE COMPANIES, INC.</w:t>
      </w:r>
      <w:r>
        <w:rPr>
          <w:rFonts w:ascii="times new roman" w:hAnsi="times new roman"/>
          <w:sz w:val="20"/>
        </w:rPr>
        <w:t xml:space="preserve">, a Delaware corporation (the “Company”), and </w:t>
      </w:r>
      <w:r>
        <w:rPr>
          <w:rStyle w:val="StrongEmphasis"/>
          <w:rFonts w:ascii="times new roman" w:hAnsi="times new roman"/>
          <w:sz w:val="20"/>
        </w:rPr>
        <w:t>FLOYD R. TUPPER</w:t>
      </w:r>
      <w:r>
        <w:rPr>
          <w:rFonts w:ascii="times new roman" w:hAnsi="times new roman"/>
          <w:sz w:val="20"/>
        </w:rPr>
        <w:t xml:space="preserve"> (the “Grantee”).</w:t>
      </w:r>
    </w:p>
    <w:p>
      <w:pPr>
        <w:pStyle w:val="TextBody"/>
        <w:spacing w:before="0" w:after="0"/>
        <w:ind w:left="0" w:right="0" w:hanging="0"/>
        <w:jc w:val="both"/>
        <w:rPr/>
      </w:pPr>
      <w:r>
        <w:rPr/>
        <w:t> </w:t>
      </w:r>
    </w:p>
    <w:p>
      <w:pPr>
        <w:pStyle w:val="TextBody"/>
        <w:spacing w:before="0" w:after="0"/>
        <w:ind w:left="0" w:right="0" w:firstLine="675"/>
        <w:jc w:val="both"/>
        <w:rPr/>
      </w:pPr>
      <w:r>
        <w:rPr>
          <w:rStyle w:val="StrongEmphasis"/>
          <w:rFonts w:ascii="times new roman" w:hAnsi="times new roman"/>
          <w:sz w:val="20"/>
        </w:rPr>
        <w:t>WHEREAS</w:t>
      </w:r>
      <w:r>
        <w:rPr>
          <w:rFonts w:ascii="times new roman" w:hAnsi="times new roman"/>
          <w:sz w:val="20"/>
        </w:rPr>
        <w:t>, the Grantee is a non-employee member of the Board of Directors of the Company;</w:t>
      </w:r>
    </w:p>
    <w:p>
      <w:pPr>
        <w:pStyle w:val="TextBody"/>
        <w:spacing w:before="0" w:after="0"/>
        <w:ind w:left="0" w:right="0" w:hanging="0"/>
        <w:jc w:val="both"/>
        <w:rPr/>
      </w:pPr>
      <w:r>
        <w:rPr/>
        <w:t> </w:t>
      </w:r>
    </w:p>
    <w:p>
      <w:pPr>
        <w:pStyle w:val="TextBody"/>
        <w:spacing w:before="0" w:after="0"/>
        <w:ind w:left="0" w:right="0" w:firstLine="675"/>
        <w:jc w:val="both"/>
        <w:rPr/>
      </w:pPr>
      <w:r>
        <w:rPr>
          <w:rStyle w:val="StrongEmphasis"/>
          <w:rFonts w:ascii="times new roman" w:hAnsi="times new roman"/>
          <w:sz w:val="20"/>
        </w:rPr>
        <w:t>WHEREAS</w:t>
      </w:r>
      <w:r>
        <w:rPr>
          <w:rFonts w:ascii="times new roman" w:hAnsi="times new roman"/>
          <w:sz w:val="20"/>
        </w:rPr>
        <w:t>, the Compensation Committee of the Board of Directors of the Company has approved the grant to the Grantee of common stock of the Company (“Common Stock”) pursuant to the Company’s Amended and Restated 2014 Equity Participation Plan (the “Plan”).</w:t>
      </w:r>
    </w:p>
    <w:p>
      <w:pPr>
        <w:pStyle w:val="TextBody"/>
        <w:spacing w:before="0" w:after="0"/>
        <w:ind w:left="0" w:right="0" w:hanging="0"/>
        <w:jc w:val="both"/>
        <w:rPr/>
      </w:pPr>
      <w:r>
        <w:rPr/>
        <w:t> </w:t>
      </w:r>
    </w:p>
    <w:p>
      <w:pPr>
        <w:pStyle w:val="TextBody"/>
        <w:spacing w:before="0" w:after="0"/>
        <w:ind w:left="0" w:right="0" w:firstLine="675"/>
        <w:jc w:val="both"/>
        <w:rPr/>
      </w:pPr>
      <w:r>
        <w:rPr>
          <w:rStyle w:val="StrongEmphasis"/>
          <w:rFonts w:ascii="times new roman" w:hAnsi="times new roman"/>
          <w:sz w:val="20"/>
        </w:rPr>
        <w:t>NOW, THEREFORE</w:t>
      </w:r>
      <w:r>
        <w:rPr>
          <w:rFonts w:ascii="times new roman" w:hAnsi="times new roman"/>
          <w:sz w:val="20"/>
        </w:rPr>
        <w:t>, in consideration of the foregoing, the Company hereby grants to the Grantee an award of shares of Common Stock upon the following terms and conditions:</w:t>
      </w:r>
    </w:p>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 xml:space="preserve">1. </w:t>
      </w:r>
      <w:r>
        <w:rPr>
          <w:rStyle w:val="StrongEmphasis"/>
          <w:rFonts w:ascii="times new roman" w:hAnsi="times new roman"/>
          <w:sz w:val="20"/>
          <w:u w:val="single"/>
        </w:rPr>
        <w:t>DEFINED TERMS</w:t>
      </w:r>
      <w:r>
        <w:rPr>
          <w:rFonts w:ascii="times new roman" w:hAnsi="times new roman"/>
          <w:sz w:val="20"/>
        </w:rPr>
        <w:t xml:space="preserve">. All terms used, but not otherwise defined, herein shall have the meanings ascribed to them in the Plan. </w:t>
      </w:r>
    </w:p>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 xml:space="preserve">2. </w:t>
      </w:r>
      <w:r>
        <w:rPr>
          <w:rStyle w:val="StrongEmphasis"/>
          <w:rFonts w:ascii="times new roman" w:hAnsi="times new roman"/>
          <w:sz w:val="20"/>
          <w:u w:val="single"/>
        </w:rPr>
        <w:t>GRANT</w:t>
      </w:r>
      <w:r>
        <w:rPr>
          <w:rFonts w:ascii="times new roman" w:hAnsi="times new roman"/>
          <w:sz w:val="20"/>
        </w:rPr>
        <w:t>. Subject to the terms and conditions of the Plan and the provisions hereof, the Company hereby agrees to grant to the Grantee, pursuant to Section 16 of the Plan, an award of thirty-nine thousand two hundred fifty-nine (39,259) shares of Common Stock (the “Shares”), such Shares being issuable on the Vesting Date (as hereinafter defined) set forth in, and subject to the provisions of, Section 3 hereof.</w:t>
      </w:r>
    </w:p>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 xml:space="preserve">3. </w:t>
      </w:r>
      <w:r>
        <w:rPr>
          <w:rStyle w:val="StrongEmphasis"/>
          <w:rFonts w:ascii="times new roman" w:hAnsi="times new roman"/>
          <w:sz w:val="20"/>
          <w:u w:val="single"/>
        </w:rPr>
        <w:t xml:space="preserve">VESTING OF SHARES. </w:t>
      </w:r>
      <w:r>
        <w:rPr>
          <w:rFonts w:ascii="times new roman" w:hAnsi="times new roman"/>
          <w:sz w:val="20"/>
        </w:rPr>
        <w:t>(a) The Shares shall vest on January 3, 2024 (the “Vesting Date”) provided that the Grantee continues to serve as a member of the Board of Directors of the Company (the “Board”) through the Vesting Date, subject to the provisions of the Plan. Notwithstanding the foregoing, in the event that the Grantee resigns from the Board prior to the Vesting Date or is not re-elected as a director at the Company’s next annual meeting of stockholders, then, the Shares shall thereupon vest on a pro rata basis based on the number of days between the date hereof and the date of resignation or the date of the annual meeting of stockholders, as the case may be, in relation to three hundred sixty-five (365); provided, however, that the foregoing shall not be deemed to limit the Grantee’s right to receive all of the Shares in the event of the death or Permanent Disability of the Grantee or a Change of Control prior to the Vesting Date, as provided for in the Plan.</w:t>
      </w:r>
    </w:p>
    <w:p>
      <w:pPr>
        <w:pStyle w:val="TextBody"/>
        <w:spacing w:before="0" w:after="0"/>
        <w:ind w:left="0" w:right="0" w:hanging="0"/>
        <w:jc w:val="both"/>
        <w:rPr/>
      </w:pPr>
      <w:r>
        <w:rPr/>
        <w:t> </w:t>
      </w:r>
    </w:p>
    <w:p>
      <w:pPr>
        <w:pStyle w:val="TextBody"/>
        <w:spacing w:before="0" w:after="0"/>
        <w:ind w:left="0" w:right="0" w:firstLine="1350"/>
        <w:jc w:val="both"/>
        <w:rPr>
          <w:rFonts w:ascii="times new roman" w:hAnsi="times new roman"/>
          <w:sz w:val="20"/>
        </w:rPr>
      </w:pPr>
      <w:r>
        <w:rPr>
          <w:rFonts w:ascii="times new roman" w:hAnsi="times new roman"/>
          <w:sz w:val="20"/>
        </w:rPr>
        <w:t>(b) In the event that the Shares vest on the Vesting Date (or earlier as provided for in Section 3(a)), the certificate representing the Shares shall be issued by the Company as soon as reasonably practicable thereafter. In the event that the Grantee does not continue to serve as a member of the Board through the Vesting Date, then, except as set forth in the Plan or as provided for in Section 3(a), the Grantee shall not be entitled to receive the Shares issuable on the Vesting Date, and this Agreement shall terminate and be of no further force or effect.</w:t>
      </w:r>
    </w:p>
    <w:p>
      <w:pPr>
        <w:pStyle w:val="TextBody"/>
        <w:spacing w:before="0" w:after="0"/>
        <w:ind w:left="0" w:right="0" w:hanging="0"/>
        <w:jc w:val="both"/>
        <w:rPr/>
      </w:pPr>
      <w:r>
        <w:rPr/>
        <w:t> </w:t>
      </w:r>
    </w:p>
    <w:p>
      <w:pPr>
        <w:pStyle w:val="TextBody"/>
        <w:spacing w:before="0" w:after="0"/>
        <w:ind w:left="0" w:right="0" w:firstLine="1350"/>
        <w:jc w:val="both"/>
        <w:rPr>
          <w:rFonts w:ascii="times new roman" w:hAnsi="times new roman"/>
          <w:sz w:val="20"/>
        </w:rPr>
      </w:pPr>
      <w:r>
        <w:rPr>
          <w:rFonts w:ascii="times new roman" w:hAnsi="times new roman"/>
          <w:sz w:val="20"/>
        </w:rPr>
        <w:t>(c) The number of Shares issuable to the Grantee is subject to adjustment for any stock splits, reverse stock splits and other recapitalizations that take effect prior to the Vesting Date.</w:t>
      </w:r>
    </w:p>
    <w:p>
      <w:pPr>
        <w:pStyle w:val="TextBody"/>
        <w:spacing w:before="0" w:after="0"/>
        <w:ind w:left="0" w:right="0" w:hanging="0"/>
        <w:jc w:val="both"/>
        <w:rPr/>
      </w:pPr>
      <w:r>
        <w:rPr/>
        <w:t xml:space="preserve">  </w:t>
      </w:r>
      <w:r>
        <w:br w:type="page"/>
      </w:r>
    </w:p>
    <w:tbl>
      <w:tblPr>
        <w:tblW w:w="230" w:type="dxa"/>
        <w:jc w:val="left"/>
        <w:tblInd w:w="0" w:type="dxa"/>
        <w:tblCellMar>
          <w:top w:w="0" w:type="dxa"/>
          <w:left w:w="0" w:type="dxa"/>
          <w:bottom w:w="0" w:type="dxa"/>
          <w:right w:w="0" w:type="dxa"/>
        </w:tblCellMar>
      </w:tblPr>
      <w:tblGrid>
        <w:gridCol w:w="230"/>
      </w:tblGrid>
      <w:tr>
        <w:trPr/>
        <w:tc>
          <w:tcPr>
            <w:tcW w:w="230" w:type="dxa"/>
            <w:tcBorders/>
            <w:shd w:fill="auto" w:val="clear"/>
            <w:vAlign w:val="center"/>
          </w:tcPr>
          <w:p>
            <w:pPr>
              <w:pStyle w:val="TableContents"/>
              <w:spacing w:before="0" w:after="283"/>
              <w:ind w:left="0" w:right="0" w:hanging="0"/>
              <w:rPr/>
            </w:pPr>
            <w:r>
              <w:rPr/>
              <w:t> </w:t>
            </w:r>
          </w:p>
        </w:tc>
      </w:tr>
      <w:tr>
        <w:trPr/>
        <w:tc>
          <w:tcPr>
            <w:tcW w:w="230" w:type="dxa"/>
            <w:tcBorders>
              <w:bottom w:val="single" w:sz="2" w:space="0" w:color="000000"/>
            </w:tcBorders>
            <w:shd w:fill="auto" w:val="clear"/>
            <w:tcMar>
              <w:bottom w:w="28" w:type="dxa"/>
            </w:tcMar>
            <w:vAlign w:val="center"/>
          </w:tcPr>
          <w:p>
            <w:pPr>
              <w:pStyle w:val="TableContents"/>
              <w:spacing w:before="0" w:after="283"/>
              <w:jc w:val="center"/>
              <w:rPr/>
            </w:pPr>
            <w:r>
              <w:rPr/>
              <w:t>1</w:t>
            </w:r>
          </w:p>
        </w:tc>
      </w:tr>
      <w:tr>
        <w:trPr/>
        <w:tc>
          <w:tcPr>
            <w:tcW w:w="230" w:type="dxa"/>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before="0" w:after="283"/>
              <w:rPr/>
            </w:pPr>
            <w:r>
              <w:rPr/>
              <w:t> </w:t>
            </w:r>
          </w:p>
        </w:tc>
      </w:tr>
    </w:tbl>
    <w:p>
      <w:pPr>
        <w:pStyle w:val="TextBody"/>
        <w:spacing w:before="0" w:after="0"/>
        <w:ind w:left="0" w:right="0" w:firstLine="675"/>
        <w:jc w:val="both"/>
        <w:rPr/>
      </w:pPr>
      <w:r>
        <w:rPr/>
        <w:t xml:space="preserve">    </w:t>
      </w:r>
    </w:p>
    <w:p>
      <w:pPr>
        <w:pStyle w:val="TextBody"/>
        <w:spacing w:before="0" w:after="0"/>
        <w:ind w:left="0" w:right="0" w:firstLine="675"/>
        <w:jc w:val="both"/>
        <w:rPr/>
      </w:pPr>
      <w:r>
        <w:rPr>
          <w:rFonts w:ascii="times new roman" w:hAnsi="times new roman"/>
          <w:sz w:val="20"/>
        </w:rPr>
        <w:t xml:space="preserve">4. </w:t>
      </w:r>
      <w:r>
        <w:rPr>
          <w:rStyle w:val="StrongEmphasis"/>
          <w:rFonts w:ascii="times new roman" w:hAnsi="times new roman"/>
          <w:sz w:val="20"/>
          <w:u w:val="single"/>
        </w:rPr>
        <w:t>INCORPORATION BY REFERENCE</w:t>
      </w:r>
      <w:r>
        <w:rPr>
          <w:rFonts w:ascii="times new roman" w:hAnsi="times new roman"/>
          <w:sz w:val="20"/>
        </w:rPr>
        <w:t>. The terms and conditions of the Plan are hereby incorporated by reference and made a part hereof.</w:t>
      </w:r>
    </w:p>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 xml:space="preserve">5. </w:t>
      </w:r>
      <w:r>
        <w:rPr>
          <w:rStyle w:val="StrongEmphasis"/>
          <w:rFonts w:ascii="times new roman" w:hAnsi="times new roman"/>
          <w:sz w:val="20"/>
          <w:u w:val="single"/>
        </w:rPr>
        <w:t>NOTICES</w:t>
      </w:r>
      <w:r>
        <w:rPr>
          <w:rFonts w:ascii="times new roman" w:hAnsi="times new roman"/>
          <w:sz w:val="20"/>
        </w:rPr>
        <w:t>. Any notice or other communication given hereunder shall be deemed sufficient if in writing and hand delivered or sent by registered or certified mail, return receipt requested, addressed to the addressed to the Company, 15 Joys Lane, Kingston, New York 12401, Attention: CEO and to the Grantee at the address indicated below, or, in each case, at such other address notice of which is given in accordance with the foregoing provisions. Notices shall be deemed to have been given on the date of hand delivery or mailing as provided for above, except notices of change of address, which shall be deemed to have been given when received.</w:t>
      </w:r>
    </w:p>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 xml:space="preserve">6. </w:t>
      </w:r>
      <w:r>
        <w:rPr>
          <w:rStyle w:val="StrongEmphasis"/>
          <w:rFonts w:ascii="times new roman" w:hAnsi="times new roman"/>
          <w:sz w:val="20"/>
          <w:u w:val="single"/>
        </w:rPr>
        <w:t>BINDING EFFECT</w:t>
      </w:r>
      <w:r>
        <w:rPr>
          <w:rFonts w:ascii="times new roman" w:hAnsi="times new roman"/>
          <w:sz w:val="20"/>
        </w:rPr>
        <w:t>. This Stock Grant Agreement shall be binding upon and inure to the benefit of the parties hereto and their respective legal representatives, successors and assigns.</w:t>
      </w:r>
    </w:p>
    <w:p>
      <w:pPr>
        <w:pStyle w:val="TextBody"/>
        <w:spacing w:before="0" w:after="0"/>
        <w:ind w:left="0" w:right="0" w:hanging="0"/>
        <w:jc w:val="both"/>
        <w:rPr/>
      </w:pPr>
      <w:r>
        <w:rPr/>
        <w:t xml:space="preserve">    </w:t>
      </w:r>
    </w:p>
    <w:p>
      <w:pPr>
        <w:pStyle w:val="TextBody"/>
        <w:spacing w:before="0" w:after="0"/>
        <w:ind w:left="0" w:right="0" w:firstLine="675"/>
        <w:jc w:val="both"/>
        <w:rPr/>
      </w:pPr>
      <w:r>
        <w:rPr>
          <w:rFonts w:ascii="times new roman" w:hAnsi="times new roman"/>
          <w:sz w:val="20"/>
        </w:rPr>
        <w:t xml:space="preserve">7. </w:t>
      </w:r>
      <w:r>
        <w:rPr>
          <w:rStyle w:val="StrongEmphasis"/>
          <w:rFonts w:ascii="times new roman" w:hAnsi="times new roman"/>
          <w:sz w:val="20"/>
          <w:u w:val="single"/>
        </w:rPr>
        <w:t>ENTIRE AGREEMENT</w:t>
      </w:r>
      <w:r>
        <w:rPr>
          <w:rFonts w:ascii="times new roman" w:hAnsi="times new roman"/>
          <w:sz w:val="20"/>
        </w:rPr>
        <w:t>. This Stock Grant Agreement, together with the Plan, contains the entire understanding of the parties hereto with respect to the subject matter hereof and may be modified only by an instrument executed by the party sought to be charged.</w:t>
      </w:r>
    </w:p>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 xml:space="preserve">8. </w:t>
      </w:r>
      <w:r>
        <w:rPr>
          <w:rStyle w:val="StrongEmphasis"/>
          <w:rFonts w:ascii="times new roman" w:hAnsi="times new roman"/>
          <w:sz w:val="20"/>
          <w:u w:val="single"/>
        </w:rPr>
        <w:t>GOVERNING LAW</w:t>
      </w:r>
      <w:r>
        <w:rPr>
          <w:rFonts w:ascii="times new roman" w:hAnsi="times new roman"/>
          <w:sz w:val="20"/>
        </w:rPr>
        <w:t>. This Stock Grant Agreement shall be governed by, and construed in accordance with, the laws of the State of Delaware, excluding choice of law rules thereof.</w:t>
      </w:r>
    </w:p>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 xml:space="preserve">9. </w:t>
      </w:r>
      <w:r>
        <w:rPr>
          <w:rStyle w:val="StrongEmphasis"/>
          <w:rFonts w:ascii="times new roman" w:hAnsi="times new roman"/>
          <w:sz w:val="20"/>
          <w:u w:val="single"/>
        </w:rPr>
        <w:t>EXECUTION IN COUNTERPARTS</w:t>
      </w:r>
      <w:r>
        <w:rPr>
          <w:rFonts w:ascii="times new roman" w:hAnsi="times new roman"/>
          <w:sz w:val="20"/>
        </w:rPr>
        <w:t>. This Stock Grant Agreement may be executed in counterparts, each of which shall be deemed to be an original, but both of which together shall constitute one and the same instrument.</w:t>
      </w:r>
    </w:p>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 xml:space="preserve">10. </w:t>
      </w:r>
      <w:r>
        <w:rPr>
          <w:rStyle w:val="StrongEmphasis"/>
          <w:rFonts w:ascii="times new roman" w:hAnsi="times new roman"/>
          <w:sz w:val="20"/>
          <w:u w:val="single"/>
        </w:rPr>
        <w:t>FACSIMILE SIGNATURES</w:t>
      </w:r>
      <w:r>
        <w:rPr>
          <w:rFonts w:ascii="times new roman" w:hAnsi="times new roman"/>
          <w:sz w:val="20"/>
        </w:rPr>
        <w:t>. Signatures hereon which are transmitted via facsimile, or other electronic image, shall be deemed original signatures.</w:t>
      </w:r>
    </w:p>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 xml:space="preserve">11. </w:t>
      </w:r>
      <w:r>
        <w:rPr>
          <w:rStyle w:val="StrongEmphasis"/>
          <w:rFonts w:ascii="times new roman" w:hAnsi="times new roman"/>
          <w:sz w:val="20"/>
          <w:u w:val="single"/>
        </w:rPr>
        <w:t>INTERPRETATION; HEADINGS</w:t>
      </w:r>
      <w:r>
        <w:rPr>
          <w:rFonts w:ascii="times new roman" w:hAnsi="times new roman"/>
          <w:sz w:val="20"/>
        </w:rPr>
        <w:t>. The provisions of this Stock Grant Agreement shall be interpreted in a reasonable manner to give effect to the intent of the parties hereto. The headings and captions under sections and paragraphs of this Stock Grant Agreement are for convenience of reference only and do not in any way modify, interpret or construe the intent of the parties or affect any of the provisions of this Stock Grant Agreement.</w:t>
      </w:r>
    </w:p>
    <w:p>
      <w:pPr>
        <w:pStyle w:val="TextBody"/>
        <w:spacing w:before="0" w:after="0"/>
        <w:ind w:left="0" w:right="0" w:hanging="0"/>
        <w:jc w:val="both"/>
        <w:rPr/>
      </w:pPr>
      <w:r>
        <w:rPr/>
        <w:t> </w:t>
      </w:r>
    </w:p>
    <w:p>
      <w:pPr>
        <w:pStyle w:val="TextBody"/>
        <w:spacing w:before="0" w:after="0"/>
        <w:ind w:left="0" w:right="0" w:hanging="0"/>
        <w:jc w:val="center"/>
        <w:rPr/>
      </w:pPr>
      <w:r>
        <w:rPr>
          <w:rFonts w:ascii="times new roman" w:hAnsi="times new roman"/>
          <w:sz w:val="20"/>
        </w:rPr>
        <w:t>[</w:t>
      </w:r>
      <w:r>
        <w:rPr>
          <w:rStyle w:val="Emphasis"/>
          <w:rFonts w:ascii="times new roman" w:hAnsi="times new roman"/>
          <w:sz w:val="20"/>
        </w:rPr>
        <w:t>Remainder of page intentionally left blank; signature page follows</w:t>
      </w:r>
      <w:r>
        <w:rPr>
          <w:rFonts w:ascii="times new roman" w:hAnsi="times new roman"/>
          <w:sz w:val="20"/>
        </w:rPr>
        <w:t>]</w:t>
      </w:r>
    </w:p>
    <w:p>
      <w:pPr>
        <w:pStyle w:val="TextBody"/>
        <w:spacing w:before="0" w:after="0"/>
        <w:ind w:left="0" w:right="0" w:hanging="0"/>
        <w:jc w:val="both"/>
        <w:rPr/>
      </w:pPr>
      <w:r>
        <w:rPr/>
        <w:t> </w:t>
      </w:r>
      <w:r>
        <w:br w:type="page"/>
      </w:r>
    </w:p>
    <w:tbl>
      <w:tblPr>
        <w:tblW w:w="230" w:type="dxa"/>
        <w:jc w:val="left"/>
        <w:tblInd w:w="0" w:type="dxa"/>
        <w:tblCellMar>
          <w:top w:w="0" w:type="dxa"/>
          <w:left w:w="0" w:type="dxa"/>
          <w:bottom w:w="0" w:type="dxa"/>
          <w:right w:w="0" w:type="dxa"/>
        </w:tblCellMar>
      </w:tblPr>
      <w:tblGrid>
        <w:gridCol w:w="230"/>
      </w:tblGrid>
      <w:tr>
        <w:trPr/>
        <w:tc>
          <w:tcPr>
            <w:tcW w:w="230" w:type="dxa"/>
            <w:tcBorders/>
            <w:shd w:fill="auto" w:val="clear"/>
            <w:vAlign w:val="center"/>
          </w:tcPr>
          <w:p>
            <w:pPr>
              <w:pStyle w:val="TableContents"/>
              <w:spacing w:before="0" w:after="283"/>
              <w:ind w:left="0" w:right="0" w:hanging="0"/>
              <w:rPr/>
            </w:pPr>
            <w:r>
              <w:rPr/>
              <w:t> </w:t>
            </w:r>
          </w:p>
        </w:tc>
      </w:tr>
      <w:tr>
        <w:trPr/>
        <w:tc>
          <w:tcPr>
            <w:tcW w:w="230" w:type="dxa"/>
            <w:tcBorders>
              <w:bottom w:val="single" w:sz="2" w:space="0" w:color="000000"/>
            </w:tcBorders>
            <w:shd w:fill="auto" w:val="clear"/>
            <w:tcMar>
              <w:bottom w:w="28" w:type="dxa"/>
            </w:tcMar>
            <w:vAlign w:val="center"/>
          </w:tcPr>
          <w:p>
            <w:pPr>
              <w:pStyle w:val="TableContents"/>
              <w:spacing w:before="0" w:after="283"/>
              <w:jc w:val="center"/>
              <w:rPr/>
            </w:pPr>
            <w:r>
              <w:rPr/>
              <w:t>2</w:t>
            </w:r>
          </w:p>
        </w:tc>
      </w:tr>
      <w:tr>
        <w:trPr/>
        <w:tc>
          <w:tcPr>
            <w:tcW w:w="230" w:type="dxa"/>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firstLine="675"/>
        <w:jc w:val="both"/>
        <w:rPr/>
      </w:pPr>
      <w:r>
        <w:rPr>
          <w:rStyle w:val="StrongEmphasis"/>
          <w:rFonts w:ascii="times new roman" w:hAnsi="times new roman"/>
          <w:sz w:val="20"/>
        </w:rPr>
        <w:t>IN WITNESS WHEREOF</w:t>
      </w:r>
      <w:r>
        <w:rPr>
          <w:rFonts w:ascii="times new roman" w:hAnsi="times new roman"/>
          <w:sz w:val="20"/>
        </w:rPr>
        <w:t>, the parties have executed this Stock Grant Agreement as of the day and year first above written.</w:t>
      </w:r>
    </w:p>
    <w:p>
      <w:pPr>
        <w:pStyle w:val="TextBody"/>
        <w:spacing w:before="0" w:after="0"/>
        <w:ind w:left="0" w:right="0" w:firstLine="675"/>
        <w:jc w:val="both"/>
        <w:rPr/>
      </w:pPr>
      <w:r>
        <w:rPr/>
        <w:t xml:space="preserve">   </w:t>
      </w:r>
    </w:p>
    <w:tbl>
      <w:tblPr>
        <w:tblW w:w="3154" w:type="dxa"/>
        <w:jc w:val="left"/>
        <w:tblInd w:w="0" w:type="dxa"/>
        <w:tblCellMar>
          <w:top w:w="0" w:type="dxa"/>
          <w:left w:w="0" w:type="dxa"/>
          <w:bottom w:w="0" w:type="dxa"/>
          <w:right w:w="0" w:type="dxa"/>
        </w:tblCellMar>
      </w:tblPr>
      <w:tblGrid>
        <w:gridCol w:w="105"/>
        <w:gridCol w:w="439"/>
        <w:gridCol w:w="2475"/>
        <w:gridCol w:w="135"/>
      </w:tblGrid>
      <w:tr>
        <w:trPr/>
        <w:tc>
          <w:tcPr>
            <w:tcW w:w="105" w:type="dxa"/>
            <w:tcBorders/>
            <w:shd w:fill="auto" w:val="clear"/>
            <w:vAlign w:val="center"/>
          </w:tcPr>
          <w:p>
            <w:pPr>
              <w:pStyle w:val="TableContents"/>
              <w:spacing w:before="0" w:after="0"/>
              <w:ind w:left="0" w:right="0" w:hanging="0"/>
              <w:rPr/>
            </w:pPr>
            <w:r>
              <w:rPr/>
              <w:t> </w:t>
            </w:r>
          </w:p>
        </w:tc>
        <w:tc>
          <w:tcPr>
            <w:tcW w:w="2914" w:type="dxa"/>
            <w:gridSpan w:val="2"/>
            <w:tcBorders/>
            <w:shd w:fill="auto" w:val="clear"/>
            <w:vAlign w:val="center"/>
          </w:tcPr>
          <w:p>
            <w:pPr>
              <w:pStyle w:val="TableContents"/>
              <w:spacing w:before="0" w:after="0"/>
              <w:ind w:left="0" w:right="0" w:hanging="0"/>
              <w:jc w:val="both"/>
              <w:rPr/>
            </w:pPr>
            <w:r>
              <w:rPr>
                <w:rStyle w:val="StrongEmphasis"/>
                <w:rFonts w:ascii="times new roman" w:hAnsi="times new roman"/>
                <w:sz w:val="20"/>
              </w:rPr>
              <w:t>KINGSTONE COMPANIES, INC.</w:t>
            </w:r>
          </w:p>
        </w:tc>
        <w:tc>
          <w:tcPr>
            <w:tcW w:w="13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439" w:type="dxa"/>
            <w:tcBorders/>
            <w:shd w:fill="auto" w:val="clear"/>
            <w:vAlign w:val="center"/>
          </w:tcPr>
          <w:p>
            <w:pPr>
              <w:pStyle w:val="TableContents"/>
              <w:spacing w:before="0" w:after="0"/>
              <w:ind w:left="0" w:right="0" w:hanging="0"/>
              <w:jc w:val="both"/>
              <w:rPr/>
            </w:pPr>
            <w:r>
              <w:rPr/>
              <w:t> </w:t>
            </w:r>
          </w:p>
        </w:tc>
        <w:tc>
          <w:tcPr>
            <w:tcW w:w="2475" w:type="dxa"/>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439"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By:</w:t>
            </w:r>
          </w:p>
        </w:tc>
        <w:tc>
          <w:tcPr>
            <w:tcW w:w="247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439" w:type="dxa"/>
            <w:tcBorders/>
            <w:shd w:fill="auto" w:val="clear"/>
            <w:vAlign w:val="center"/>
          </w:tcPr>
          <w:p>
            <w:pPr>
              <w:pStyle w:val="TableContents"/>
              <w:spacing w:before="0" w:after="0"/>
              <w:ind w:left="0" w:right="0" w:hanging="0"/>
              <w:jc w:val="both"/>
              <w:rPr/>
            </w:pPr>
            <w:r>
              <w:rPr/>
              <w:t> </w:t>
            </w:r>
          </w:p>
        </w:tc>
        <w:tc>
          <w:tcPr>
            <w:tcW w:w="247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Barry B. Goldstein</w:t>
            </w:r>
          </w:p>
        </w:tc>
        <w:tc>
          <w:tcPr>
            <w:tcW w:w="13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439" w:type="dxa"/>
            <w:tcBorders/>
            <w:shd w:fill="auto" w:val="clear"/>
            <w:vAlign w:val="center"/>
          </w:tcPr>
          <w:p>
            <w:pPr>
              <w:pStyle w:val="TableContents"/>
              <w:spacing w:before="0" w:after="0"/>
              <w:ind w:left="0" w:right="0" w:hanging="0"/>
              <w:jc w:val="both"/>
              <w:rPr/>
            </w:pPr>
            <w:r>
              <w:rPr/>
              <w:t> </w:t>
            </w:r>
          </w:p>
        </w:tc>
        <w:tc>
          <w:tcPr>
            <w:tcW w:w="2475"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Chief Executive Officer</w:t>
            </w:r>
          </w:p>
        </w:tc>
        <w:tc>
          <w:tcPr>
            <w:tcW w:w="13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439" w:type="dxa"/>
            <w:tcBorders/>
            <w:shd w:fill="auto" w:val="clear"/>
            <w:vAlign w:val="center"/>
          </w:tcPr>
          <w:p>
            <w:pPr>
              <w:pStyle w:val="TableContents"/>
              <w:spacing w:before="0" w:after="0"/>
              <w:ind w:left="0" w:right="0" w:hanging="0"/>
              <w:jc w:val="both"/>
              <w:rPr/>
            </w:pPr>
            <w:r>
              <w:rPr/>
              <w:t> </w:t>
            </w:r>
          </w:p>
        </w:tc>
        <w:tc>
          <w:tcPr>
            <w:tcW w:w="2475" w:type="dxa"/>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2914" w:type="dxa"/>
            <w:gridSpan w:val="2"/>
            <w:tcBorders>
              <w:bottom w:val="single" w:sz="2" w:space="0" w:color="000000"/>
            </w:tcBorders>
            <w:shd w:fill="auto" w:val="clear"/>
            <w:tcMar>
              <w:bottom w:w="28" w:type="dxa"/>
            </w:tcMar>
            <w:vAlign w:val="center"/>
          </w:tcPr>
          <w:p>
            <w:pPr>
              <w:pStyle w:val="TableContents"/>
              <w:spacing w:before="0" w:after="0"/>
              <w:ind w:left="0" w:right="0" w:hanging="0"/>
              <w:jc w:val="both"/>
              <w:rPr/>
            </w:pPr>
            <w:r>
              <w:rPr/>
              <w:t> </w:t>
            </w:r>
          </w:p>
        </w:tc>
        <w:tc>
          <w:tcPr>
            <w:tcW w:w="13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2914" w:type="dxa"/>
            <w:gridSpan w:val="2"/>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Signature of Grantee</w:t>
            </w:r>
          </w:p>
        </w:tc>
        <w:tc>
          <w:tcPr>
            <w:tcW w:w="13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439" w:type="dxa"/>
            <w:tcBorders/>
            <w:shd w:fill="auto" w:val="clear"/>
            <w:vAlign w:val="center"/>
          </w:tcPr>
          <w:p>
            <w:pPr>
              <w:pStyle w:val="TableContents"/>
              <w:spacing w:before="0" w:after="0"/>
              <w:ind w:left="0" w:right="0" w:hanging="0"/>
              <w:rPr/>
            </w:pPr>
            <w:r>
              <w:rPr/>
              <w:t> </w:t>
            </w:r>
          </w:p>
        </w:tc>
        <w:tc>
          <w:tcPr>
            <w:tcW w:w="2475" w:type="dxa"/>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2914" w:type="dxa"/>
            <w:gridSpan w:val="2"/>
            <w:tcBorders>
              <w:bottom w:val="single" w:sz="2" w:space="0" w:color="000000"/>
            </w:tcBorders>
            <w:shd w:fill="auto"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Floyd R. Tupper</w:t>
            </w:r>
          </w:p>
        </w:tc>
        <w:tc>
          <w:tcPr>
            <w:tcW w:w="135" w:type="dxa"/>
            <w:tcBorders/>
            <w:shd w:fill="auto" w:val="clear"/>
            <w:vAlign w:val="center"/>
          </w:tcPr>
          <w:p>
            <w:pPr>
              <w:pStyle w:val="TableContents"/>
              <w:spacing w:before="0" w:after="0"/>
              <w:ind w:left="0" w:right="0" w:hanging="0"/>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2914" w:type="dxa"/>
            <w:gridSpan w:val="2"/>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Name of Grantee</w:t>
            </w:r>
          </w:p>
        </w:tc>
        <w:tc>
          <w:tcPr>
            <w:tcW w:w="13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439" w:type="dxa"/>
            <w:tcBorders/>
            <w:shd w:fill="auto" w:val="clear"/>
            <w:vAlign w:val="center"/>
          </w:tcPr>
          <w:p>
            <w:pPr>
              <w:pStyle w:val="TableContents"/>
              <w:spacing w:before="0" w:after="0"/>
              <w:ind w:left="0" w:right="0" w:hanging="0"/>
              <w:rPr/>
            </w:pPr>
            <w:r>
              <w:rPr/>
              <w:t> </w:t>
            </w:r>
          </w:p>
        </w:tc>
        <w:tc>
          <w:tcPr>
            <w:tcW w:w="2475" w:type="dxa"/>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2914" w:type="dxa"/>
            <w:gridSpan w:val="2"/>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2914" w:type="dxa"/>
            <w:gridSpan w:val="2"/>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Address of Grantee</w:t>
            </w:r>
          </w:p>
        </w:tc>
        <w:tc>
          <w:tcPr>
            <w:tcW w:w="135" w:type="dxa"/>
            <w:tcBorders/>
            <w:shd w:fill="auto" w:val="clear"/>
            <w:vAlign w:val="center"/>
          </w:tcPr>
          <w:p>
            <w:pPr>
              <w:pStyle w:val="TableContents"/>
              <w:spacing w:before="0" w:after="0"/>
              <w:ind w:left="0" w:right="0" w:hanging="0"/>
              <w:jc w:val="both"/>
              <w:rPr/>
            </w:pPr>
            <w:r>
              <w:rPr/>
              <w:t> </w:t>
            </w:r>
          </w:p>
        </w:tc>
      </w:tr>
    </w:tbl>
    <w:p>
      <w:pPr>
        <w:pStyle w:val="TextBody"/>
        <w:spacing w:before="0" w:after="0"/>
        <w:ind w:left="0" w:right="0" w:hanging="0"/>
        <w:jc w:val="both"/>
        <w:rPr/>
      </w:pPr>
      <w:r>
        <w:rPr/>
        <w:t> </w:t>
      </w:r>
    </w:p>
    <w:tbl>
      <w:tblPr>
        <w:tblW w:w="230" w:type="dxa"/>
        <w:jc w:val="left"/>
        <w:tblInd w:w="0" w:type="dxa"/>
        <w:tblCellMar>
          <w:top w:w="0" w:type="dxa"/>
          <w:left w:w="0" w:type="dxa"/>
          <w:bottom w:w="0" w:type="dxa"/>
          <w:right w:w="0" w:type="dxa"/>
        </w:tblCellMar>
      </w:tblPr>
      <w:tblGrid>
        <w:gridCol w:w="230"/>
      </w:tblGrid>
      <w:tr>
        <w:trPr/>
        <w:tc>
          <w:tcPr>
            <w:tcW w:w="230" w:type="dxa"/>
            <w:tcBorders/>
            <w:shd w:fill="auto" w:val="clear"/>
            <w:vAlign w:val="center"/>
          </w:tcPr>
          <w:p>
            <w:pPr>
              <w:pStyle w:val="TableContents"/>
              <w:spacing w:before="0" w:after="283"/>
              <w:ind w:left="0" w:right="0" w:hanging="0"/>
              <w:rPr/>
            </w:pPr>
            <w:r>
              <w:rPr/>
              <w:t> </w:t>
            </w:r>
          </w:p>
        </w:tc>
      </w:tr>
      <w:tr>
        <w:trPr/>
        <w:tc>
          <w:tcPr>
            <w:tcW w:w="230" w:type="dxa"/>
            <w:tcBorders>
              <w:bottom w:val="single" w:sz="2" w:space="0" w:color="000000"/>
            </w:tcBorders>
            <w:shd w:fill="auto" w:val="clear"/>
            <w:tcMar>
              <w:bottom w:w="28" w:type="dxa"/>
            </w:tcMar>
            <w:vAlign w:val="center"/>
          </w:tcPr>
          <w:p>
            <w:pPr>
              <w:pStyle w:val="TableContents"/>
              <w:spacing w:before="0" w:after="283"/>
              <w:jc w:val="center"/>
              <w:rPr/>
            </w:pPr>
            <w:r>
              <w:rPr/>
              <w:t>3</w:t>
            </w:r>
          </w:p>
        </w:tc>
      </w:tr>
    </w:tbl>
    <w:p>
      <w:pPr>
        <w:pStyle w:val="TextBody"/>
        <w:spacing w:before="0" w:after="0"/>
        <w:ind w:left="0" w:right="0" w:hanging="0"/>
        <w:rPr/>
      </w:pPr>
      <w:r>
        <w:rPr/>
        <w:t> </w:t>
      </w:r>
      <w:r>
        <w:br w:type="page"/>
      </w:r>
    </w:p>
    <w:p>
      <w:pPr>
        <w:pStyle w:val="TextBody"/>
        <w:spacing w:before="0" w:after="0"/>
        <w:ind w:left="0" w:right="0" w:hanging="0"/>
        <w:jc w:val="right"/>
        <w:rPr/>
      </w:pPr>
      <w:bookmarkStart w:id="36" w:name="king_ex10n.htm"/>
      <w:bookmarkStart w:id="37" w:name="ksking_ex10n"/>
      <w:bookmarkEnd w:id="36"/>
      <w:bookmarkEnd w:id="37"/>
      <w:r>
        <w:rPr>
          <w:rStyle w:val="StrongEmphasis"/>
          <w:rFonts w:ascii="times new roman" w:hAnsi="times new roman"/>
          <w:sz w:val="20"/>
        </w:rPr>
        <w:t>EXHIBIT 10(n)</w:t>
      </w:r>
    </w:p>
    <w:p>
      <w:pPr>
        <w:pStyle w:val="TextBody"/>
        <w:spacing w:before="0" w:after="0"/>
        <w:ind w:left="0" w:right="0" w:hanging="0"/>
        <w:jc w:val="center"/>
        <w:rPr/>
      </w:pPr>
      <w:r>
        <w:rPr>
          <w:rStyle w:val="StrongEmphasis"/>
        </w:rPr>
        <w:t xml:space="preserve">   </w:t>
      </w:r>
    </w:p>
    <w:p>
      <w:pPr>
        <w:pStyle w:val="TextBody"/>
        <w:spacing w:before="0" w:after="0"/>
        <w:ind w:left="0" w:right="0" w:firstLine="675"/>
        <w:jc w:val="both"/>
        <w:rPr/>
      </w:pPr>
      <w:r>
        <w:rPr>
          <w:rStyle w:val="StrongEmphasis"/>
          <w:rFonts w:ascii="times new roman" w:hAnsi="times new roman"/>
          <w:sz w:val="20"/>
        </w:rPr>
        <w:t xml:space="preserve">STOCK GRANT AGREEMENT </w:t>
      </w:r>
      <w:r>
        <w:rPr>
          <w:rFonts w:ascii="times new roman" w:hAnsi="times new roman"/>
          <w:sz w:val="20"/>
        </w:rPr>
        <w:t xml:space="preserve">made as of the 3rd day of January, 2023 between </w:t>
      </w:r>
      <w:r>
        <w:rPr>
          <w:rStyle w:val="StrongEmphasis"/>
          <w:rFonts w:ascii="times new roman" w:hAnsi="times new roman"/>
          <w:sz w:val="20"/>
        </w:rPr>
        <w:t>KINGSTONE COMPANIES, INC.,</w:t>
      </w:r>
      <w:r>
        <w:rPr>
          <w:rFonts w:ascii="times new roman" w:hAnsi="times new roman"/>
          <w:sz w:val="20"/>
        </w:rPr>
        <w:t xml:space="preserve"> a Delaware corporation (the “Company”), and </w:t>
      </w:r>
      <w:r>
        <w:rPr>
          <w:rStyle w:val="StrongEmphasis"/>
          <w:rFonts w:ascii="times new roman" w:hAnsi="times new roman"/>
          <w:sz w:val="20"/>
        </w:rPr>
        <w:t>CARLA D’ANDRE</w:t>
      </w:r>
      <w:r>
        <w:rPr>
          <w:rFonts w:ascii="times new roman" w:hAnsi="times new roman"/>
          <w:sz w:val="20"/>
        </w:rPr>
        <w:t xml:space="preserve"> (the “Grantee”).</w:t>
      </w:r>
    </w:p>
    <w:p>
      <w:pPr>
        <w:pStyle w:val="TextBody"/>
        <w:spacing w:before="0" w:after="0"/>
        <w:ind w:left="0" w:right="0" w:hanging="0"/>
        <w:jc w:val="both"/>
        <w:rPr/>
      </w:pPr>
      <w:r>
        <w:rPr/>
        <w:t> </w:t>
      </w:r>
    </w:p>
    <w:p>
      <w:pPr>
        <w:pStyle w:val="TextBody"/>
        <w:spacing w:before="0" w:after="0"/>
        <w:ind w:left="0" w:right="0" w:firstLine="675"/>
        <w:jc w:val="both"/>
        <w:rPr/>
      </w:pPr>
      <w:r>
        <w:rPr>
          <w:rStyle w:val="StrongEmphasis"/>
          <w:rFonts w:ascii="times new roman" w:hAnsi="times new roman"/>
          <w:sz w:val="20"/>
        </w:rPr>
        <w:t>WHEREAS</w:t>
      </w:r>
      <w:r>
        <w:rPr>
          <w:rFonts w:ascii="times new roman" w:hAnsi="times new roman"/>
          <w:sz w:val="20"/>
        </w:rPr>
        <w:t>, the Grantee is a non-employee member of the Board of Directors of the Company;</w:t>
      </w:r>
    </w:p>
    <w:p>
      <w:pPr>
        <w:pStyle w:val="TextBody"/>
        <w:spacing w:before="0" w:after="0"/>
        <w:ind w:left="0" w:right="0" w:hanging="0"/>
        <w:jc w:val="both"/>
        <w:rPr/>
      </w:pPr>
      <w:r>
        <w:rPr/>
        <w:t> </w:t>
      </w:r>
    </w:p>
    <w:p>
      <w:pPr>
        <w:pStyle w:val="TextBody"/>
        <w:spacing w:before="0" w:after="0"/>
        <w:ind w:left="0" w:right="0" w:firstLine="675"/>
        <w:jc w:val="both"/>
        <w:rPr/>
      </w:pPr>
      <w:r>
        <w:rPr>
          <w:rStyle w:val="StrongEmphasis"/>
          <w:rFonts w:ascii="times new roman" w:hAnsi="times new roman"/>
          <w:sz w:val="20"/>
        </w:rPr>
        <w:t>WHEREAS</w:t>
      </w:r>
      <w:r>
        <w:rPr>
          <w:rFonts w:ascii="times new roman" w:hAnsi="times new roman"/>
          <w:sz w:val="20"/>
        </w:rPr>
        <w:t>, the Compensation Committee of the Board of Directors of the Company has approved the grant to the Grantee of common stock of the Company (“Common Stock”) pursuant to the Company’s Amended and Restated 2014 Equity Participation Plan (the “Plan”).</w:t>
      </w:r>
    </w:p>
    <w:p>
      <w:pPr>
        <w:pStyle w:val="TextBody"/>
        <w:spacing w:before="0" w:after="0"/>
        <w:ind w:left="0" w:right="0" w:hanging="0"/>
        <w:jc w:val="both"/>
        <w:rPr/>
      </w:pPr>
      <w:r>
        <w:rPr/>
        <w:t> </w:t>
      </w:r>
    </w:p>
    <w:p>
      <w:pPr>
        <w:pStyle w:val="TextBody"/>
        <w:spacing w:before="0" w:after="0"/>
        <w:ind w:left="0" w:right="0" w:firstLine="675"/>
        <w:jc w:val="both"/>
        <w:rPr/>
      </w:pPr>
      <w:r>
        <w:rPr>
          <w:rStyle w:val="StrongEmphasis"/>
          <w:rFonts w:ascii="times new roman" w:hAnsi="times new roman"/>
          <w:sz w:val="20"/>
        </w:rPr>
        <w:t>NOW, THEREFORE</w:t>
      </w:r>
      <w:r>
        <w:rPr>
          <w:rFonts w:ascii="times new roman" w:hAnsi="times new roman"/>
          <w:sz w:val="20"/>
        </w:rPr>
        <w:t>, in consideration of the foregoing, the Company hereby grants to the Grantee an award of shares of Common Stock upon the following terms and conditions:</w:t>
      </w:r>
    </w:p>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 xml:space="preserve">1. </w:t>
      </w:r>
      <w:r>
        <w:rPr>
          <w:rStyle w:val="StrongEmphasis"/>
          <w:rFonts w:ascii="times new roman" w:hAnsi="times new roman"/>
          <w:sz w:val="20"/>
          <w:u w:val="single"/>
        </w:rPr>
        <w:t>DEFINED TERMS.</w:t>
      </w:r>
      <w:r>
        <w:rPr>
          <w:rFonts w:ascii="times new roman" w:hAnsi="times new roman"/>
          <w:sz w:val="20"/>
        </w:rPr>
        <w:t xml:space="preserve"> All terms used, but not otherwise defined, herein shall have the meanings ascribed to them in the Plan. </w:t>
      </w:r>
    </w:p>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 xml:space="preserve">2. </w:t>
      </w:r>
      <w:r>
        <w:rPr>
          <w:rStyle w:val="StrongEmphasis"/>
          <w:rFonts w:ascii="times new roman" w:hAnsi="times new roman"/>
          <w:sz w:val="20"/>
          <w:u w:val="single"/>
        </w:rPr>
        <w:t>GRANT</w:t>
      </w:r>
      <w:r>
        <w:rPr>
          <w:rFonts w:ascii="times new roman" w:hAnsi="times new roman"/>
          <w:sz w:val="20"/>
        </w:rPr>
        <w:t>. Subject to the terms and conditions of the Plan and the provisions hereof, the Company hereby agrees to grant to the Grantee, pursuant to Section 16 of the Plan, an award of thirty-nine thousand two hundred fifty-nine (39,259) shares of Common Stock (the “Shares”), such Shares being issuable on the Vesting Date (as hereinafter defined) set forth in, and subject to the provisions of, Section 3 hereof.</w:t>
      </w:r>
    </w:p>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 xml:space="preserve">3. </w:t>
      </w:r>
      <w:r>
        <w:rPr>
          <w:rStyle w:val="StrongEmphasis"/>
          <w:rFonts w:ascii="times new roman" w:hAnsi="times new roman"/>
          <w:sz w:val="20"/>
          <w:u w:val="single"/>
        </w:rPr>
        <w:t>VESTING OF SHARES</w:t>
      </w:r>
      <w:r>
        <w:rPr>
          <w:rFonts w:ascii="times new roman" w:hAnsi="times new roman"/>
          <w:sz w:val="20"/>
        </w:rPr>
        <w:t>. (a) The Shares shall vest on January 3, 2024 (the “Vesting Date”) provided that the Grantee continues to serve as a member of the Board of Directors of the Company (the “Board”) through the Vesting Date, subject to the provisions of the Plan. Notwithstanding the foregoing, in the event that the Grantee resigns from the Board prior to the Vesting Date or is not re-elected as a director at the Company’s next annual meeting of stockholders, then, the Shares shall thereupon vest on a pro rata basis based on the number of days between the date hereof and the date of resignation or the date of the annual meeting of stockholders, as the case may be, in relation to three hundred sixty-five (365); provided, however, that the foregoing shall not be deemed to limit the Grantee’s right to receive all of the Shares in the event of the death or Permanent Disability of the Grantee or a Change of Control prior to the Vesting Date, as provided for in the Plan.</w:t>
      </w:r>
    </w:p>
    <w:p>
      <w:pPr>
        <w:pStyle w:val="TextBody"/>
        <w:spacing w:before="0" w:after="0"/>
        <w:ind w:left="0" w:right="0" w:hanging="0"/>
        <w:jc w:val="both"/>
        <w:rPr/>
      </w:pPr>
      <w:r>
        <w:rPr/>
        <w:t> </w:t>
      </w:r>
    </w:p>
    <w:p>
      <w:pPr>
        <w:pStyle w:val="TextBody"/>
        <w:spacing w:before="0" w:after="0"/>
        <w:ind w:left="0" w:right="0" w:firstLine="1350"/>
        <w:jc w:val="both"/>
        <w:rPr>
          <w:rFonts w:ascii="times new roman" w:hAnsi="times new roman"/>
          <w:sz w:val="20"/>
        </w:rPr>
      </w:pPr>
      <w:r>
        <w:rPr>
          <w:rFonts w:ascii="times new roman" w:hAnsi="times new roman"/>
          <w:sz w:val="20"/>
        </w:rPr>
        <w:t>(b) In the event that the Shares vest on the Vesting Date (or earlier as provided for in Section 3(a)), the certificate representing the Shares shall be issued by the Company as soon as reasonably practicable thereafter. In the event that the Grantee does not continue to serve as a member of the Board through the Vesting Date, then, except as set forth in the Plan or as provided for in Section 3(a), the Grantee shall not be entitled to receive the Shares issuable on the Vesting Date, and this Agreement shall terminate and be of no further force or effect.</w:t>
      </w:r>
    </w:p>
    <w:p>
      <w:pPr>
        <w:pStyle w:val="TextBody"/>
        <w:spacing w:before="0" w:after="0"/>
        <w:ind w:left="0" w:right="0" w:hanging="0"/>
        <w:jc w:val="both"/>
        <w:rPr/>
      </w:pPr>
      <w:r>
        <w:rPr/>
        <w:t> </w:t>
      </w:r>
    </w:p>
    <w:p>
      <w:pPr>
        <w:pStyle w:val="TextBody"/>
        <w:spacing w:before="0" w:after="0"/>
        <w:ind w:left="0" w:right="0" w:firstLine="1350"/>
        <w:jc w:val="both"/>
        <w:rPr>
          <w:rFonts w:ascii="times new roman" w:hAnsi="times new roman"/>
          <w:sz w:val="20"/>
        </w:rPr>
      </w:pPr>
      <w:r>
        <w:rPr>
          <w:rFonts w:ascii="times new roman" w:hAnsi="times new roman"/>
          <w:sz w:val="20"/>
        </w:rPr>
        <w:t>(c) The number of Shares issuable to the Grantee is subject to adjustment for any stock splits, reverse stock splits and other recapitalizations that take effect prior to the Vesting Date.</w:t>
      </w:r>
    </w:p>
    <w:p>
      <w:pPr>
        <w:pStyle w:val="TextBody"/>
        <w:spacing w:before="0" w:after="0"/>
        <w:ind w:left="0" w:right="0" w:hanging="0"/>
        <w:rPr/>
      </w:pPr>
      <w:r>
        <w:rPr/>
        <w:t xml:space="preserve">  </w:t>
      </w:r>
      <w:r>
        <w:br w:type="page"/>
      </w:r>
    </w:p>
    <w:tbl>
      <w:tblPr>
        <w:tblW w:w="230" w:type="dxa"/>
        <w:jc w:val="left"/>
        <w:tblInd w:w="0" w:type="dxa"/>
        <w:tblCellMar>
          <w:top w:w="0" w:type="dxa"/>
          <w:left w:w="0" w:type="dxa"/>
          <w:bottom w:w="0" w:type="dxa"/>
          <w:right w:w="0" w:type="dxa"/>
        </w:tblCellMar>
      </w:tblPr>
      <w:tblGrid>
        <w:gridCol w:w="230"/>
      </w:tblGrid>
      <w:tr>
        <w:trPr/>
        <w:tc>
          <w:tcPr>
            <w:tcW w:w="230" w:type="dxa"/>
            <w:tcBorders/>
            <w:shd w:fill="auto" w:val="clear"/>
            <w:vAlign w:val="center"/>
          </w:tcPr>
          <w:p>
            <w:pPr>
              <w:pStyle w:val="TableContents"/>
              <w:spacing w:before="0" w:after="283"/>
              <w:ind w:left="0" w:right="0" w:hanging="0"/>
              <w:rPr/>
            </w:pPr>
            <w:r>
              <w:rPr/>
              <w:t> </w:t>
            </w:r>
          </w:p>
        </w:tc>
      </w:tr>
      <w:tr>
        <w:trPr/>
        <w:tc>
          <w:tcPr>
            <w:tcW w:w="230" w:type="dxa"/>
            <w:tcBorders>
              <w:bottom w:val="single" w:sz="2" w:space="0" w:color="000000"/>
            </w:tcBorders>
            <w:shd w:fill="auto" w:val="clear"/>
            <w:tcMar>
              <w:bottom w:w="28" w:type="dxa"/>
            </w:tcMar>
            <w:vAlign w:val="center"/>
          </w:tcPr>
          <w:p>
            <w:pPr>
              <w:pStyle w:val="TableContents"/>
              <w:spacing w:before="0" w:after="283"/>
              <w:jc w:val="center"/>
              <w:rPr/>
            </w:pPr>
            <w:r>
              <w:rPr/>
              <w:t>1</w:t>
            </w:r>
          </w:p>
        </w:tc>
      </w:tr>
      <w:tr>
        <w:trPr/>
        <w:tc>
          <w:tcPr>
            <w:tcW w:w="230" w:type="dxa"/>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before="0" w:after="283"/>
              <w:rPr/>
            </w:pPr>
            <w:r>
              <w:rPr/>
              <w:t> </w:t>
            </w:r>
          </w:p>
        </w:tc>
      </w:tr>
    </w:tbl>
    <w:p>
      <w:pPr>
        <w:pStyle w:val="TextBody"/>
        <w:spacing w:before="0" w:after="0"/>
        <w:ind w:left="0" w:right="0" w:firstLine="675"/>
        <w:jc w:val="both"/>
        <w:rPr/>
      </w:pPr>
      <w:r>
        <w:rPr/>
        <w:t xml:space="preserve">   </w:t>
      </w:r>
    </w:p>
    <w:p>
      <w:pPr>
        <w:pStyle w:val="TextBody"/>
        <w:spacing w:before="0" w:after="0"/>
        <w:ind w:left="0" w:right="0" w:firstLine="675"/>
        <w:jc w:val="both"/>
        <w:rPr/>
      </w:pPr>
      <w:r>
        <w:rPr>
          <w:rFonts w:ascii="times new roman" w:hAnsi="times new roman"/>
          <w:sz w:val="20"/>
        </w:rPr>
        <w:t xml:space="preserve">4. </w:t>
      </w:r>
      <w:r>
        <w:rPr>
          <w:rStyle w:val="StrongEmphasis"/>
          <w:rFonts w:ascii="times new roman" w:hAnsi="times new roman"/>
          <w:sz w:val="20"/>
          <w:u w:val="single"/>
        </w:rPr>
        <w:t>INCORPORATION BY REFERENCE</w:t>
      </w:r>
      <w:r>
        <w:rPr>
          <w:rFonts w:ascii="times new roman" w:hAnsi="times new roman"/>
          <w:sz w:val="20"/>
        </w:rPr>
        <w:t>. The terms and conditions of the Plan are hereby incorporated by reference and made a part hereof.</w:t>
      </w:r>
    </w:p>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 xml:space="preserve">5. </w:t>
      </w:r>
      <w:r>
        <w:rPr>
          <w:rStyle w:val="StrongEmphasis"/>
          <w:rFonts w:ascii="times new roman" w:hAnsi="times new roman"/>
          <w:sz w:val="20"/>
          <w:u w:val="single"/>
        </w:rPr>
        <w:t>NOTICES</w:t>
      </w:r>
      <w:r>
        <w:rPr>
          <w:rFonts w:ascii="times new roman" w:hAnsi="times new roman"/>
          <w:sz w:val="20"/>
        </w:rPr>
        <w:t>. Any notice or other communication given hereunder shall be deemed sufficient if in writing and hand delivered or sent by registered or certified mail, return receipt requested, addressed to the addressed to the Company, 15 Joys Lane, Kingston, New York 12401, Attention: CEO and to the Grantee at the address indicated below, or, in each case, at such other address notice of which is given in accordance with the foregoing provisions. Notices shall be deemed to have been given on the date of hand delivery or mailing as provided for above, except notices of change of address, which shall be deemed to have been given when received.</w:t>
      </w:r>
    </w:p>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 xml:space="preserve">6. </w:t>
      </w:r>
      <w:r>
        <w:rPr>
          <w:rStyle w:val="StrongEmphasis"/>
          <w:rFonts w:ascii="times new roman" w:hAnsi="times new roman"/>
          <w:sz w:val="20"/>
          <w:u w:val="single"/>
        </w:rPr>
        <w:t>BINDING EFFECT</w:t>
      </w:r>
      <w:r>
        <w:rPr>
          <w:rFonts w:ascii="times new roman" w:hAnsi="times new roman"/>
          <w:sz w:val="20"/>
        </w:rPr>
        <w:t>. This Stock Grant Agreement shall be binding upon and inure to the benefit of the parties hereto and their respective legal representatives, successors and assigns.</w:t>
      </w:r>
    </w:p>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 xml:space="preserve">7. </w:t>
      </w:r>
      <w:r>
        <w:rPr>
          <w:rStyle w:val="StrongEmphasis"/>
          <w:rFonts w:ascii="times new roman" w:hAnsi="times new roman"/>
          <w:sz w:val="20"/>
          <w:u w:val="single"/>
        </w:rPr>
        <w:t>ENTIRE AGREEMENT</w:t>
      </w:r>
      <w:r>
        <w:rPr>
          <w:rFonts w:ascii="times new roman" w:hAnsi="times new roman"/>
          <w:sz w:val="20"/>
        </w:rPr>
        <w:t>. This Stock Grant Agreement, together with the Plan, contains the entire understanding of the parties hereto with respect to the subject matter hereof and may be modified only by an instrument executed by the party sought to be charged.</w:t>
      </w:r>
    </w:p>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 xml:space="preserve">8. </w:t>
      </w:r>
      <w:r>
        <w:rPr>
          <w:rStyle w:val="StrongEmphasis"/>
          <w:rFonts w:ascii="times new roman" w:hAnsi="times new roman"/>
          <w:sz w:val="20"/>
          <w:u w:val="single"/>
        </w:rPr>
        <w:t>GOVERNING LAW</w:t>
      </w:r>
      <w:r>
        <w:rPr>
          <w:rFonts w:ascii="times new roman" w:hAnsi="times new roman"/>
          <w:sz w:val="20"/>
        </w:rPr>
        <w:t>. This Stock Grant Agreement shall be governed by, and construed in accordance with, the laws of the State of Delaware, excluding choice of law rules thereof.</w:t>
      </w:r>
    </w:p>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 xml:space="preserve">9. </w:t>
      </w:r>
      <w:r>
        <w:rPr>
          <w:rStyle w:val="StrongEmphasis"/>
          <w:rFonts w:ascii="times new roman" w:hAnsi="times new roman"/>
          <w:sz w:val="20"/>
          <w:u w:val="single"/>
        </w:rPr>
        <w:t>EXECUTION IN COUNTERPARTS</w:t>
      </w:r>
      <w:r>
        <w:rPr>
          <w:rFonts w:ascii="times new roman" w:hAnsi="times new roman"/>
          <w:sz w:val="20"/>
        </w:rPr>
        <w:t>. This Stock Grant Agreement may be executed in counterparts, each of which shall be deemed to be an original, but both of which together shall constitute one and the same instrument.</w:t>
      </w:r>
    </w:p>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 xml:space="preserve">10. </w:t>
      </w:r>
      <w:r>
        <w:rPr>
          <w:rStyle w:val="StrongEmphasis"/>
          <w:rFonts w:ascii="times new roman" w:hAnsi="times new roman"/>
          <w:sz w:val="20"/>
          <w:u w:val="single"/>
        </w:rPr>
        <w:t>FACSIMILE SIGNATURES</w:t>
      </w:r>
      <w:r>
        <w:rPr>
          <w:rFonts w:ascii="times new roman" w:hAnsi="times new roman"/>
          <w:sz w:val="20"/>
        </w:rPr>
        <w:t>. Signatures hereon which are transmitted via facsimile, or other electronic image, shall be deemed original signatures.</w:t>
      </w:r>
    </w:p>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 xml:space="preserve">11. </w:t>
      </w:r>
      <w:r>
        <w:rPr>
          <w:rStyle w:val="StrongEmphasis"/>
          <w:rFonts w:ascii="times new roman" w:hAnsi="times new roman"/>
          <w:sz w:val="20"/>
          <w:u w:val="single"/>
        </w:rPr>
        <w:t>INTERPRETATION; HEADINGS</w:t>
      </w:r>
      <w:r>
        <w:rPr>
          <w:rFonts w:ascii="times new roman" w:hAnsi="times new roman"/>
          <w:sz w:val="20"/>
        </w:rPr>
        <w:t>. The provisions of this Stock Grant Agreement shall be interpreted in a reasonable manner to give effect to the intent of the parties hereto. The headings and captions under sections and paragraphs of this Stock Grant Agreement are for convenience of reference only and do not in any way modify, interpret or construe the intent of the parties or affect any of the provisions of this Stock Grant Agreement.</w:t>
      </w:r>
    </w:p>
    <w:p>
      <w:pPr>
        <w:pStyle w:val="TextBody"/>
        <w:spacing w:before="0" w:after="0"/>
        <w:ind w:left="0" w:right="0" w:hanging="0"/>
        <w:jc w:val="both"/>
        <w:rPr/>
      </w:pPr>
      <w:r>
        <w:rPr/>
        <w:t> </w:t>
      </w:r>
    </w:p>
    <w:p>
      <w:pPr>
        <w:pStyle w:val="TextBody"/>
        <w:spacing w:before="0" w:after="0"/>
        <w:ind w:left="0" w:right="0" w:hanging="0"/>
        <w:jc w:val="center"/>
        <w:rPr/>
      </w:pPr>
      <w:r>
        <w:rPr>
          <w:rFonts w:ascii="times new roman" w:hAnsi="times new roman"/>
          <w:sz w:val="20"/>
        </w:rPr>
        <w:t>[</w:t>
      </w:r>
      <w:r>
        <w:rPr>
          <w:rStyle w:val="Emphasis"/>
          <w:rFonts w:ascii="times new roman" w:hAnsi="times new roman"/>
          <w:sz w:val="20"/>
        </w:rPr>
        <w:t>Remainder of page intentionally left blank; signature page follows</w:t>
      </w:r>
      <w:r>
        <w:rPr>
          <w:rFonts w:ascii="times new roman" w:hAnsi="times new roman"/>
          <w:sz w:val="20"/>
        </w:rPr>
        <w:t>]</w:t>
      </w:r>
    </w:p>
    <w:p>
      <w:pPr>
        <w:pStyle w:val="TextBody"/>
        <w:spacing w:before="0" w:after="0"/>
        <w:ind w:left="0" w:right="0" w:hanging="0"/>
        <w:jc w:val="both"/>
        <w:rPr/>
      </w:pPr>
      <w:r>
        <w:rPr/>
        <w:t> </w:t>
      </w:r>
      <w:r>
        <w:br w:type="page"/>
      </w:r>
    </w:p>
    <w:tbl>
      <w:tblPr>
        <w:tblW w:w="230" w:type="dxa"/>
        <w:jc w:val="left"/>
        <w:tblInd w:w="0" w:type="dxa"/>
        <w:tblCellMar>
          <w:top w:w="0" w:type="dxa"/>
          <w:left w:w="0" w:type="dxa"/>
          <w:bottom w:w="0" w:type="dxa"/>
          <w:right w:w="0" w:type="dxa"/>
        </w:tblCellMar>
      </w:tblPr>
      <w:tblGrid>
        <w:gridCol w:w="230"/>
      </w:tblGrid>
      <w:tr>
        <w:trPr/>
        <w:tc>
          <w:tcPr>
            <w:tcW w:w="230" w:type="dxa"/>
            <w:tcBorders/>
            <w:shd w:fill="auto" w:val="clear"/>
            <w:vAlign w:val="center"/>
          </w:tcPr>
          <w:p>
            <w:pPr>
              <w:pStyle w:val="TableContents"/>
              <w:spacing w:before="0" w:after="283"/>
              <w:ind w:left="0" w:right="0" w:hanging="0"/>
              <w:rPr/>
            </w:pPr>
            <w:r>
              <w:rPr/>
              <w:t> </w:t>
            </w:r>
          </w:p>
        </w:tc>
      </w:tr>
      <w:tr>
        <w:trPr/>
        <w:tc>
          <w:tcPr>
            <w:tcW w:w="230" w:type="dxa"/>
            <w:tcBorders>
              <w:bottom w:val="single" w:sz="2" w:space="0" w:color="000000"/>
            </w:tcBorders>
            <w:shd w:fill="auto" w:val="clear"/>
            <w:tcMar>
              <w:bottom w:w="28" w:type="dxa"/>
            </w:tcMar>
            <w:vAlign w:val="center"/>
          </w:tcPr>
          <w:p>
            <w:pPr>
              <w:pStyle w:val="TableContents"/>
              <w:spacing w:before="0" w:after="283"/>
              <w:jc w:val="center"/>
              <w:rPr/>
            </w:pPr>
            <w:r>
              <w:rPr/>
              <w:t>2</w:t>
            </w:r>
          </w:p>
        </w:tc>
      </w:tr>
      <w:tr>
        <w:trPr/>
        <w:tc>
          <w:tcPr>
            <w:tcW w:w="230" w:type="dxa"/>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firstLine="675"/>
        <w:jc w:val="both"/>
        <w:rPr/>
      </w:pPr>
      <w:r>
        <w:rPr>
          <w:rStyle w:val="StrongEmphasis"/>
          <w:rFonts w:ascii="times new roman" w:hAnsi="times new roman"/>
          <w:sz w:val="20"/>
        </w:rPr>
        <w:t>IN WITNESS WHEREOF</w:t>
      </w:r>
      <w:r>
        <w:rPr>
          <w:rFonts w:ascii="times new roman" w:hAnsi="times new roman"/>
          <w:sz w:val="20"/>
        </w:rPr>
        <w:t>, the parties have executed this Stock Grant Agreement as of the day and year first above written.</w:t>
      </w:r>
    </w:p>
    <w:p>
      <w:pPr>
        <w:pStyle w:val="TextBody"/>
        <w:spacing w:before="0" w:after="0"/>
        <w:ind w:left="0" w:right="0" w:firstLine="675"/>
        <w:jc w:val="both"/>
        <w:rPr/>
      </w:pPr>
      <w:r>
        <w:rPr/>
        <w:t xml:space="preserve">   </w:t>
      </w:r>
    </w:p>
    <w:tbl>
      <w:tblPr>
        <w:tblW w:w="3154" w:type="dxa"/>
        <w:jc w:val="left"/>
        <w:tblInd w:w="0" w:type="dxa"/>
        <w:tblCellMar>
          <w:top w:w="0" w:type="dxa"/>
          <w:left w:w="0" w:type="dxa"/>
          <w:bottom w:w="0" w:type="dxa"/>
          <w:right w:w="0" w:type="dxa"/>
        </w:tblCellMar>
      </w:tblPr>
      <w:tblGrid>
        <w:gridCol w:w="105"/>
        <w:gridCol w:w="439"/>
        <w:gridCol w:w="2475"/>
        <w:gridCol w:w="135"/>
      </w:tblGrid>
      <w:tr>
        <w:trPr/>
        <w:tc>
          <w:tcPr>
            <w:tcW w:w="105" w:type="dxa"/>
            <w:tcBorders/>
            <w:shd w:fill="auto" w:val="clear"/>
            <w:vAlign w:val="center"/>
          </w:tcPr>
          <w:p>
            <w:pPr>
              <w:pStyle w:val="TableContents"/>
              <w:spacing w:before="0" w:after="0"/>
              <w:ind w:left="0" w:right="0" w:hanging="0"/>
              <w:rPr/>
            </w:pPr>
            <w:r>
              <w:rPr/>
              <w:t> </w:t>
            </w:r>
          </w:p>
        </w:tc>
        <w:tc>
          <w:tcPr>
            <w:tcW w:w="2914" w:type="dxa"/>
            <w:gridSpan w:val="2"/>
            <w:tcBorders/>
            <w:shd w:fill="auto" w:val="clear"/>
            <w:vAlign w:val="center"/>
          </w:tcPr>
          <w:p>
            <w:pPr>
              <w:pStyle w:val="TableContents"/>
              <w:spacing w:before="0" w:after="0"/>
              <w:ind w:left="0" w:right="0" w:hanging="0"/>
              <w:jc w:val="both"/>
              <w:rPr/>
            </w:pPr>
            <w:r>
              <w:rPr>
                <w:rStyle w:val="StrongEmphasis"/>
                <w:rFonts w:ascii="times new roman" w:hAnsi="times new roman"/>
                <w:sz w:val="20"/>
              </w:rPr>
              <w:t>KINGSTONE COMPANIES, INC.</w:t>
            </w:r>
          </w:p>
        </w:tc>
        <w:tc>
          <w:tcPr>
            <w:tcW w:w="13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439" w:type="dxa"/>
            <w:tcBorders/>
            <w:shd w:fill="auto" w:val="clear"/>
            <w:vAlign w:val="center"/>
          </w:tcPr>
          <w:p>
            <w:pPr>
              <w:pStyle w:val="TableContents"/>
              <w:spacing w:before="0" w:after="0"/>
              <w:ind w:left="0" w:right="0" w:hanging="0"/>
              <w:jc w:val="both"/>
              <w:rPr/>
            </w:pPr>
            <w:r>
              <w:rPr/>
              <w:t> </w:t>
            </w:r>
          </w:p>
        </w:tc>
        <w:tc>
          <w:tcPr>
            <w:tcW w:w="2475" w:type="dxa"/>
            <w:tcBorders/>
            <w:shd w:fill="auto" w:val="clear"/>
            <w:vAlign w:val="center"/>
          </w:tcPr>
          <w:p>
            <w:pPr>
              <w:pStyle w:val="TableContents"/>
              <w:spacing w:before="0" w:after="0"/>
              <w:ind w:left="0" w:right="0" w:hanging="0"/>
              <w:jc w:val="both"/>
              <w:rPr/>
            </w:pPr>
            <w:r>
              <w:rPr/>
              <w:t> </w:t>
            </w:r>
          </w:p>
        </w:tc>
        <w:tc>
          <w:tcPr>
            <w:tcW w:w="13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439"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By:</w:t>
            </w:r>
          </w:p>
        </w:tc>
        <w:tc>
          <w:tcPr>
            <w:tcW w:w="2475" w:type="dxa"/>
            <w:tcBorders>
              <w:bottom w:val="single" w:sz="2" w:space="0" w:color="000000"/>
            </w:tcBorders>
            <w:shd w:fill="auto" w:val="clear"/>
            <w:tcMar>
              <w:bottom w:w="28" w:type="dxa"/>
            </w:tcMar>
            <w:vAlign w:val="center"/>
          </w:tcPr>
          <w:p>
            <w:pPr>
              <w:pStyle w:val="TableContents"/>
              <w:spacing w:before="0" w:after="0"/>
              <w:ind w:left="0" w:right="0" w:hanging="0"/>
              <w:jc w:val="both"/>
              <w:rPr/>
            </w:pPr>
            <w:r>
              <w:rPr/>
              <w:t> </w:t>
            </w:r>
          </w:p>
        </w:tc>
        <w:tc>
          <w:tcPr>
            <w:tcW w:w="13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439" w:type="dxa"/>
            <w:tcBorders/>
            <w:shd w:fill="auto" w:val="clear"/>
            <w:vAlign w:val="center"/>
          </w:tcPr>
          <w:p>
            <w:pPr>
              <w:pStyle w:val="TableContents"/>
              <w:spacing w:before="0" w:after="0"/>
              <w:ind w:left="0" w:right="0" w:hanging="0"/>
              <w:jc w:val="both"/>
              <w:rPr/>
            </w:pPr>
            <w:r>
              <w:rPr/>
              <w:t> </w:t>
            </w:r>
          </w:p>
        </w:tc>
        <w:tc>
          <w:tcPr>
            <w:tcW w:w="2475"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Barry B. Goldstein</w:t>
            </w:r>
          </w:p>
        </w:tc>
        <w:tc>
          <w:tcPr>
            <w:tcW w:w="13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439" w:type="dxa"/>
            <w:tcBorders/>
            <w:shd w:fill="auto" w:val="clear"/>
            <w:vAlign w:val="center"/>
          </w:tcPr>
          <w:p>
            <w:pPr>
              <w:pStyle w:val="TableContents"/>
              <w:spacing w:before="0" w:after="0"/>
              <w:ind w:left="0" w:right="0" w:hanging="0"/>
              <w:jc w:val="both"/>
              <w:rPr/>
            </w:pPr>
            <w:r>
              <w:rPr/>
              <w:t> </w:t>
            </w:r>
          </w:p>
        </w:tc>
        <w:tc>
          <w:tcPr>
            <w:tcW w:w="2475"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Chief Executive Officer</w:t>
            </w:r>
          </w:p>
        </w:tc>
        <w:tc>
          <w:tcPr>
            <w:tcW w:w="13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439" w:type="dxa"/>
            <w:tcBorders/>
            <w:shd w:fill="auto" w:val="clear"/>
            <w:vAlign w:val="center"/>
          </w:tcPr>
          <w:p>
            <w:pPr>
              <w:pStyle w:val="TableContents"/>
              <w:spacing w:before="0" w:after="0"/>
              <w:ind w:left="0" w:right="0" w:hanging="0"/>
              <w:jc w:val="both"/>
              <w:rPr/>
            </w:pPr>
            <w:r>
              <w:rPr/>
              <w:t> </w:t>
            </w:r>
          </w:p>
        </w:tc>
        <w:tc>
          <w:tcPr>
            <w:tcW w:w="2475" w:type="dxa"/>
            <w:tcBorders/>
            <w:shd w:fill="auto" w:val="clear"/>
            <w:vAlign w:val="center"/>
          </w:tcPr>
          <w:p>
            <w:pPr>
              <w:pStyle w:val="TableContents"/>
              <w:spacing w:before="0" w:after="0"/>
              <w:ind w:left="0" w:right="0" w:hanging="0"/>
              <w:jc w:val="both"/>
              <w:rPr/>
            </w:pPr>
            <w:r>
              <w:rPr/>
              <w:t> </w:t>
            </w:r>
          </w:p>
        </w:tc>
        <w:tc>
          <w:tcPr>
            <w:tcW w:w="13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2914" w:type="dxa"/>
            <w:gridSpan w:val="2"/>
            <w:tcBorders>
              <w:bottom w:val="single" w:sz="2" w:space="0" w:color="000000"/>
            </w:tcBorders>
            <w:shd w:fill="auto" w:val="clear"/>
            <w:tcMar>
              <w:bottom w:w="28" w:type="dxa"/>
            </w:tcMar>
            <w:vAlign w:val="center"/>
          </w:tcPr>
          <w:p>
            <w:pPr>
              <w:pStyle w:val="TableContents"/>
              <w:spacing w:before="0" w:after="0"/>
              <w:ind w:left="0" w:right="0" w:hanging="0"/>
              <w:jc w:val="both"/>
              <w:rPr/>
            </w:pPr>
            <w:r>
              <w:rPr/>
              <w:t> </w:t>
            </w:r>
          </w:p>
        </w:tc>
        <w:tc>
          <w:tcPr>
            <w:tcW w:w="13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2914" w:type="dxa"/>
            <w:gridSpan w:val="2"/>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Signature of Grantee</w:t>
            </w:r>
          </w:p>
        </w:tc>
        <w:tc>
          <w:tcPr>
            <w:tcW w:w="13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439" w:type="dxa"/>
            <w:tcBorders/>
            <w:shd w:fill="auto" w:val="clear"/>
            <w:vAlign w:val="center"/>
          </w:tcPr>
          <w:p>
            <w:pPr>
              <w:pStyle w:val="TableContents"/>
              <w:spacing w:before="0" w:after="0"/>
              <w:ind w:left="0" w:right="0" w:hanging="0"/>
              <w:rPr/>
            </w:pPr>
            <w:r>
              <w:rPr/>
              <w:t> </w:t>
            </w:r>
          </w:p>
        </w:tc>
        <w:tc>
          <w:tcPr>
            <w:tcW w:w="2475" w:type="dxa"/>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2914" w:type="dxa"/>
            <w:gridSpan w:val="2"/>
            <w:tcBorders>
              <w:bottom w:val="single" w:sz="2" w:space="0" w:color="000000"/>
            </w:tcBorders>
            <w:shd w:fill="auto"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Carla D’Andre</w:t>
            </w:r>
          </w:p>
        </w:tc>
        <w:tc>
          <w:tcPr>
            <w:tcW w:w="135" w:type="dxa"/>
            <w:tcBorders/>
            <w:shd w:fill="auto" w:val="clear"/>
            <w:vAlign w:val="center"/>
          </w:tcPr>
          <w:p>
            <w:pPr>
              <w:pStyle w:val="TableContents"/>
              <w:spacing w:before="0" w:after="0"/>
              <w:ind w:left="0" w:right="0" w:hanging="0"/>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2914" w:type="dxa"/>
            <w:gridSpan w:val="2"/>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Name of Grantee</w:t>
            </w:r>
          </w:p>
        </w:tc>
        <w:tc>
          <w:tcPr>
            <w:tcW w:w="13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439" w:type="dxa"/>
            <w:tcBorders/>
            <w:shd w:fill="auto" w:val="clear"/>
            <w:vAlign w:val="center"/>
          </w:tcPr>
          <w:p>
            <w:pPr>
              <w:pStyle w:val="TableContents"/>
              <w:spacing w:before="0" w:after="0"/>
              <w:ind w:left="0" w:right="0" w:hanging="0"/>
              <w:rPr/>
            </w:pPr>
            <w:r>
              <w:rPr/>
              <w:t> </w:t>
            </w:r>
          </w:p>
        </w:tc>
        <w:tc>
          <w:tcPr>
            <w:tcW w:w="2475" w:type="dxa"/>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2914" w:type="dxa"/>
            <w:gridSpan w:val="2"/>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2914" w:type="dxa"/>
            <w:gridSpan w:val="2"/>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Address of Grantee</w:t>
            </w:r>
          </w:p>
        </w:tc>
        <w:tc>
          <w:tcPr>
            <w:tcW w:w="135" w:type="dxa"/>
            <w:tcBorders/>
            <w:shd w:fill="auto" w:val="clear"/>
            <w:vAlign w:val="center"/>
          </w:tcPr>
          <w:p>
            <w:pPr>
              <w:pStyle w:val="TableContents"/>
              <w:spacing w:before="0" w:after="0"/>
              <w:ind w:left="0" w:right="0" w:hanging="0"/>
              <w:jc w:val="both"/>
              <w:rPr/>
            </w:pPr>
            <w:r>
              <w:rPr/>
              <w:t> </w:t>
            </w:r>
          </w:p>
        </w:tc>
      </w:tr>
    </w:tbl>
    <w:p>
      <w:pPr>
        <w:pStyle w:val="TextBody"/>
        <w:spacing w:before="0" w:after="0"/>
        <w:ind w:left="0" w:right="0" w:hanging="0"/>
        <w:jc w:val="both"/>
        <w:rPr/>
      </w:pPr>
      <w:r>
        <w:rPr/>
        <w:t> </w:t>
      </w:r>
    </w:p>
    <w:tbl>
      <w:tblPr>
        <w:tblW w:w="230" w:type="dxa"/>
        <w:jc w:val="left"/>
        <w:tblInd w:w="0" w:type="dxa"/>
        <w:tblCellMar>
          <w:top w:w="0" w:type="dxa"/>
          <w:left w:w="0" w:type="dxa"/>
          <w:bottom w:w="0" w:type="dxa"/>
          <w:right w:w="0" w:type="dxa"/>
        </w:tblCellMar>
      </w:tblPr>
      <w:tblGrid>
        <w:gridCol w:w="230"/>
      </w:tblGrid>
      <w:tr>
        <w:trPr/>
        <w:tc>
          <w:tcPr>
            <w:tcW w:w="230" w:type="dxa"/>
            <w:tcBorders/>
            <w:shd w:fill="auto" w:val="clear"/>
            <w:vAlign w:val="center"/>
          </w:tcPr>
          <w:p>
            <w:pPr>
              <w:pStyle w:val="TableContents"/>
              <w:spacing w:before="0" w:after="283"/>
              <w:ind w:left="0" w:right="0" w:hanging="0"/>
              <w:rPr/>
            </w:pPr>
            <w:r>
              <w:rPr/>
              <w:t> </w:t>
            </w:r>
          </w:p>
        </w:tc>
      </w:tr>
      <w:tr>
        <w:trPr/>
        <w:tc>
          <w:tcPr>
            <w:tcW w:w="230" w:type="dxa"/>
            <w:tcBorders>
              <w:bottom w:val="single" w:sz="2" w:space="0" w:color="000000"/>
            </w:tcBorders>
            <w:shd w:fill="auto" w:val="clear"/>
            <w:tcMar>
              <w:bottom w:w="28" w:type="dxa"/>
            </w:tcMar>
            <w:vAlign w:val="center"/>
          </w:tcPr>
          <w:p>
            <w:pPr>
              <w:pStyle w:val="TableContents"/>
              <w:spacing w:before="0" w:after="283"/>
              <w:jc w:val="center"/>
              <w:rPr/>
            </w:pPr>
            <w:r>
              <w:rPr/>
              <w:t>3</w:t>
            </w:r>
          </w:p>
        </w:tc>
      </w:tr>
    </w:tbl>
    <w:p>
      <w:pPr>
        <w:pStyle w:val="TextBody"/>
        <w:spacing w:before="0" w:after="0"/>
        <w:ind w:left="0" w:right="0" w:hanging="0"/>
        <w:rPr/>
      </w:pPr>
      <w:r>
        <w:rPr/>
        <w:t> </w:t>
      </w:r>
      <w:r>
        <w:br w:type="page"/>
      </w:r>
    </w:p>
    <w:p>
      <w:pPr>
        <w:pStyle w:val="TextBody"/>
        <w:spacing w:before="0" w:after="0"/>
        <w:ind w:left="0" w:right="0" w:hanging="0"/>
        <w:jc w:val="right"/>
        <w:rPr/>
      </w:pPr>
      <w:bookmarkStart w:id="38" w:name="king_ex10o.htm"/>
      <w:bookmarkStart w:id="39" w:name="ksking_ex10o"/>
      <w:bookmarkEnd w:id="38"/>
      <w:bookmarkEnd w:id="39"/>
      <w:r>
        <w:rPr>
          <w:rStyle w:val="StrongEmphasis"/>
          <w:rFonts w:ascii="times new roman" w:hAnsi="times new roman"/>
          <w:sz w:val="20"/>
        </w:rPr>
        <w:t>EXHIBIT 10(o)</w:t>
      </w:r>
    </w:p>
    <w:p>
      <w:pPr>
        <w:pStyle w:val="TextBody"/>
        <w:spacing w:before="0" w:after="0"/>
        <w:ind w:left="0" w:right="0" w:hanging="0"/>
        <w:jc w:val="center"/>
        <w:rPr/>
      </w:pPr>
      <w:r>
        <w:rPr>
          <w:rStyle w:val="StrongEmphasis"/>
        </w:rPr>
        <w:t xml:space="preserve">   </w:t>
      </w:r>
    </w:p>
    <w:p>
      <w:pPr>
        <w:pStyle w:val="TextBody"/>
        <w:spacing w:before="0" w:after="0"/>
        <w:ind w:left="0" w:right="0" w:firstLine="675"/>
        <w:jc w:val="both"/>
        <w:rPr/>
      </w:pPr>
      <w:r>
        <w:rPr>
          <w:rStyle w:val="StrongEmphasis"/>
          <w:rFonts w:ascii="times new roman" w:hAnsi="times new roman"/>
          <w:sz w:val="20"/>
        </w:rPr>
        <w:t xml:space="preserve">STOCK GRANT AGREEMENT </w:t>
      </w:r>
      <w:r>
        <w:rPr>
          <w:rFonts w:ascii="times new roman" w:hAnsi="times new roman"/>
          <w:sz w:val="20"/>
        </w:rPr>
        <w:t xml:space="preserve">made as of the 3rd day of January, 2023 between </w:t>
      </w:r>
      <w:r>
        <w:rPr>
          <w:rStyle w:val="StrongEmphasis"/>
          <w:rFonts w:ascii="times new roman" w:hAnsi="times new roman"/>
          <w:sz w:val="20"/>
        </w:rPr>
        <w:t>KINGSTONE COMPANIES, INC.,</w:t>
      </w:r>
      <w:r>
        <w:rPr>
          <w:rFonts w:ascii="times new roman" w:hAnsi="times new roman"/>
          <w:sz w:val="20"/>
        </w:rPr>
        <w:t xml:space="preserve"> a Delaware corporation (the “Company”), and </w:t>
      </w:r>
      <w:r>
        <w:rPr>
          <w:rStyle w:val="StrongEmphasis"/>
          <w:rFonts w:ascii="times new roman" w:hAnsi="times new roman"/>
          <w:sz w:val="20"/>
        </w:rPr>
        <w:t>WILLIAM L. YANKUS</w:t>
      </w:r>
      <w:r>
        <w:rPr>
          <w:rFonts w:ascii="times new roman" w:hAnsi="times new roman"/>
          <w:sz w:val="20"/>
        </w:rPr>
        <w:t xml:space="preserve"> (the “Grantee”).</w:t>
      </w:r>
    </w:p>
    <w:p>
      <w:pPr>
        <w:pStyle w:val="TextBody"/>
        <w:spacing w:before="0" w:after="0"/>
        <w:ind w:left="0" w:right="0" w:hanging="0"/>
        <w:jc w:val="both"/>
        <w:rPr/>
      </w:pPr>
      <w:r>
        <w:rPr/>
        <w:t> </w:t>
      </w:r>
    </w:p>
    <w:p>
      <w:pPr>
        <w:pStyle w:val="TextBody"/>
        <w:spacing w:before="0" w:after="0"/>
        <w:ind w:left="0" w:right="0" w:firstLine="675"/>
        <w:jc w:val="both"/>
        <w:rPr/>
      </w:pPr>
      <w:r>
        <w:rPr>
          <w:rStyle w:val="StrongEmphasis"/>
          <w:rFonts w:ascii="times new roman" w:hAnsi="times new roman"/>
          <w:sz w:val="20"/>
        </w:rPr>
        <w:t>WHEREAS</w:t>
      </w:r>
      <w:r>
        <w:rPr>
          <w:rFonts w:ascii="times new roman" w:hAnsi="times new roman"/>
          <w:sz w:val="20"/>
        </w:rPr>
        <w:t>, the Grantee is a non-employee member of the Board of Directors of the Company;</w:t>
      </w:r>
    </w:p>
    <w:p>
      <w:pPr>
        <w:pStyle w:val="TextBody"/>
        <w:spacing w:before="0" w:after="0"/>
        <w:ind w:left="0" w:right="0" w:hanging="0"/>
        <w:jc w:val="both"/>
        <w:rPr/>
      </w:pPr>
      <w:r>
        <w:rPr/>
        <w:t> </w:t>
      </w:r>
    </w:p>
    <w:p>
      <w:pPr>
        <w:pStyle w:val="TextBody"/>
        <w:spacing w:before="0" w:after="0"/>
        <w:ind w:left="0" w:right="0" w:firstLine="675"/>
        <w:jc w:val="both"/>
        <w:rPr/>
      </w:pPr>
      <w:r>
        <w:rPr>
          <w:rStyle w:val="StrongEmphasis"/>
          <w:rFonts w:ascii="times new roman" w:hAnsi="times new roman"/>
          <w:sz w:val="20"/>
        </w:rPr>
        <w:t>WHEREAS</w:t>
      </w:r>
      <w:r>
        <w:rPr>
          <w:rFonts w:ascii="times new roman" w:hAnsi="times new roman"/>
          <w:sz w:val="20"/>
        </w:rPr>
        <w:t>, the Compensation Committee of the Board of Directors of the Company has approved the grant to the Grantee of common stock of the Company (“Common Stock”) pursuant to the Company’s Amended and Restated 2014 Equity Participation Plan (the “Plan”).</w:t>
      </w:r>
    </w:p>
    <w:p>
      <w:pPr>
        <w:pStyle w:val="TextBody"/>
        <w:spacing w:before="0" w:after="0"/>
        <w:ind w:left="0" w:right="0" w:hanging="0"/>
        <w:jc w:val="both"/>
        <w:rPr/>
      </w:pPr>
      <w:r>
        <w:rPr/>
        <w:t> </w:t>
      </w:r>
    </w:p>
    <w:p>
      <w:pPr>
        <w:pStyle w:val="TextBody"/>
        <w:spacing w:before="0" w:after="0"/>
        <w:ind w:left="0" w:right="0" w:firstLine="675"/>
        <w:jc w:val="both"/>
        <w:rPr/>
      </w:pPr>
      <w:r>
        <w:rPr>
          <w:rStyle w:val="StrongEmphasis"/>
          <w:rFonts w:ascii="times new roman" w:hAnsi="times new roman"/>
          <w:sz w:val="20"/>
        </w:rPr>
        <w:t>NOW, THEREFORE</w:t>
      </w:r>
      <w:r>
        <w:rPr>
          <w:rFonts w:ascii="times new roman" w:hAnsi="times new roman"/>
          <w:sz w:val="20"/>
        </w:rPr>
        <w:t>, in consideration of the foregoing, the Company hereby grants to the Grantee an award of shares of Common Stock upon the following terms and conditions:</w:t>
      </w:r>
    </w:p>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 xml:space="preserve">1. </w:t>
      </w:r>
      <w:r>
        <w:rPr>
          <w:rStyle w:val="StrongEmphasis"/>
          <w:rFonts w:ascii="times new roman" w:hAnsi="times new roman"/>
          <w:sz w:val="20"/>
          <w:u w:val="single"/>
        </w:rPr>
        <w:t>DEFINED TERMS.</w:t>
      </w:r>
      <w:r>
        <w:rPr>
          <w:rFonts w:ascii="times new roman" w:hAnsi="times new roman"/>
          <w:sz w:val="20"/>
        </w:rPr>
        <w:t xml:space="preserve"> All terms used, but not otherwise defined, herein shall have the meanings ascribed to them in the Plan. </w:t>
      </w:r>
    </w:p>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 xml:space="preserve">2. </w:t>
      </w:r>
      <w:r>
        <w:rPr>
          <w:rStyle w:val="StrongEmphasis"/>
          <w:rFonts w:ascii="times new roman" w:hAnsi="times new roman"/>
          <w:sz w:val="20"/>
          <w:u w:val="single"/>
        </w:rPr>
        <w:t>GRANT</w:t>
      </w:r>
      <w:r>
        <w:rPr>
          <w:rFonts w:ascii="times new roman" w:hAnsi="times new roman"/>
          <w:sz w:val="20"/>
        </w:rPr>
        <w:t>. Subject to the terms and conditions of the Plan and the provisions hereof, the Company hereby agrees to grant to the Grantee, pursuant to Section 16 of the Plan, an award of thirty-nine thousand two hundred fifty-nine (39,259) shares of Common Stock (the “Shares”), such Shares being issuable on the Vesting Date (as hereinafter defined) set forth in, and subject to the provisions of, Section 3 hereof.</w:t>
      </w:r>
    </w:p>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 xml:space="preserve">3. </w:t>
      </w:r>
      <w:r>
        <w:rPr>
          <w:rStyle w:val="StrongEmphasis"/>
          <w:rFonts w:ascii="times new roman" w:hAnsi="times new roman"/>
          <w:sz w:val="20"/>
          <w:u w:val="single"/>
        </w:rPr>
        <w:t>VESTING OF SHARES.</w:t>
      </w:r>
      <w:r>
        <w:rPr>
          <w:rFonts w:ascii="times new roman" w:hAnsi="times new roman"/>
          <w:sz w:val="20"/>
        </w:rPr>
        <w:t xml:space="preserve"> (a) The Shares shall vest on January 3, 2024 (the “Vesting Date”) provided that the Grantee continues to serve as a member of the Board of Directors of the Company (the “Board”) through the Vesting Date, subject to the provisions of the Plan. Notwithstanding the foregoing, in the event that the Grantee resigns from the Board prior to the Vesting Date or is not re-elected as a director at the Company’s next annual meeting of stockholders, then, the Shares shall thereupon vest on a pro rata basis based on the number of days between the date hereof and the date of resignation or the date of the annual meeting of stockholders, as the case may be, in relation to three hundred sixty-five (365); provided, however, that the foregoing shall not be deemed to limit the Grantee’s right to receive all of the Shares in the event of the death or Permanent Disability of the Grantee or a Change of Control prior to the Vesting Date, as provided for in the Plan.</w:t>
      </w:r>
    </w:p>
    <w:p>
      <w:pPr>
        <w:pStyle w:val="TextBody"/>
        <w:spacing w:before="0" w:after="0"/>
        <w:ind w:left="0" w:right="0" w:hanging="0"/>
        <w:jc w:val="both"/>
        <w:rPr/>
      </w:pPr>
      <w:r>
        <w:rPr/>
        <w:t> </w:t>
      </w:r>
    </w:p>
    <w:p>
      <w:pPr>
        <w:pStyle w:val="TextBody"/>
        <w:spacing w:before="0" w:after="0"/>
        <w:ind w:left="0" w:right="0" w:firstLine="1350"/>
        <w:jc w:val="both"/>
        <w:rPr>
          <w:rFonts w:ascii="times new roman" w:hAnsi="times new roman"/>
          <w:sz w:val="20"/>
        </w:rPr>
      </w:pPr>
      <w:r>
        <w:rPr>
          <w:rFonts w:ascii="times new roman" w:hAnsi="times new roman"/>
          <w:sz w:val="20"/>
        </w:rPr>
        <w:t>(b) In the event that the Shares vest on the Vesting Date (or earlier as provided for in Section 3(a)), the certificate representing the Shares shall be issued by the Company as soon as reasonably practicable thereafter. In the event that the Grantee does not continue to serve as a member of the Board through the Vesting Date, then, except as set forth in the Plan or as provided for in Section 3(a), the Grantee shall not be entitled to receive the Shares issuable on the Vesting Date, and this Agreement shall terminate and be of no further force or effect.</w:t>
      </w:r>
    </w:p>
    <w:p>
      <w:pPr>
        <w:pStyle w:val="TextBody"/>
        <w:spacing w:before="0" w:after="0"/>
        <w:ind w:left="0" w:right="0" w:hanging="0"/>
        <w:jc w:val="both"/>
        <w:rPr/>
      </w:pPr>
      <w:r>
        <w:rPr/>
        <w:t> </w:t>
      </w:r>
    </w:p>
    <w:p>
      <w:pPr>
        <w:pStyle w:val="TextBody"/>
        <w:spacing w:before="0" w:after="0"/>
        <w:ind w:left="0" w:right="0" w:firstLine="1350"/>
        <w:jc w:val="both"/>
        <w:rPr>
          <w:rFonts w:ascii="times new roman" w:hAnsi="times new roman"/>
          <w:sz w:val="20"/>
        </w:rPr>
      </w:pPr>
      <w:r>
        <w:rPr>
          <w:rFonts w:ascii="times new roman" w:hAnsi="times new roman"/>
          <w:sz w:val="20"/>
        </w:rPr>
        <w:t>(c) The number of Shares issuable to the Grantee is subject to adjustment for any stock splits, reverse stock splits and other recapitalizations that take effect prior to the Vesting Date.</w:t>
      </w:r>
    </w:p>
    <w:p>
      <w:pPr>
        <w:pStyle w:val="TextBody"/>
        <w:spacing w:before="0" w:after="0"/>
        <w:ind w:left="0" w:right="0" w:hanging="0"/>
        <w:jc w:val="both"/>
        <w:rPr/>
      </w:pPr>
      <w:r>
        <w:rPr/>
        <w:t> </w:t>
      </w:r>
      <w:r>
        <w:br w:type="page"/>
      </w:r>
    </w:p>
    <w:tbl>
      <w:tblPr>
        <w:tblW w:w="230" w:type="dxa"/>
        <w:jc w:val="left"/>
        <w:tblInd w:w="0" w:type="dxa"/>
        <w:tblCellMar>
          <w:top w:w="0" w:type="dxa"/>
          <w:left w:w="0" w:type="dxa"/>
          <w:bottom w:w="0" w:type="dxa"/>
          <w:right w:w="0" w:type="dxa"/>
        </w:tblCellMar>
      </w:tblPr>
      <w:tblGrid>
        <w:gridCol w:w="230"/>
      </w:tblGrid>
      <w:tr>
        <w:trPr/>
        <w:tc>
          <w:tcPr>
            <w:tcW w:w="230" w:type="dxa"/>
            <w:tcBorders/>
            <w:shd w:fill="auto" w:val="clear"/>
            <w:vAlign w:val="center"/>
          </w:tcPr>
          <w:p>
            <w:pPr>
              <w:pStyle w:val="TableContents"/>
              <w:spacing w:before="0" w:after="283"/>
              <w:ind w:left="0" w:right="0" w:hanging="0"/>
              <w:rPr/>
            </w:pPr>
            <w:r>
              <w:rPr/>
              <w:t> </w:t>
            </w:r>
          </w:p>
        </w:tc>
      </w:tr>
      <w:tr>
        <w:trPr/>
        <w:tc>
          <w:tcPr>
            <w:tcW w:w="230" w:type="dxa"/>
            <w:tcBorders>
              <w:bottom w:val="single" w:sz="2" w:space="0" w:color="000000"/>
            </w:tcBorders>
            <w:shd w:fill="auto" w:val="clear"/>
            <w:tcMar>
              <w:bottom w:w="28" w:type="dxa"/>
            </w:tcMar>
            <w:vAlign w:val="center"/>
          </w:tcPr>
          <w:p>
            <w:pPr>
              <w:pStyle w:val="TableContents"/>
              <w:spacing w:before="0" w:after="283"/>
              <w:jc w:val="center"/>
              <w:rPr/>
            </w:pPr>
            <w:r>
              <w:rPr/>
              <w:t>1</w:t>
            </w:r>
          </w:p>
        </w:tc>
      </w:tr>
      <w:tr>
        <w:trPr/>
        <w:tc>
          <w:tcPr>
            <w:tcW w:w="230" w:type="dxa"/>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firstLine="675"/>
        <w:jc w:val="both"/>
        <w:rPr/>
      </w:pPr>
      <w:r>
        <w:rPr>
          <w:rFonts w:ascii="times new roman" w:hAnsi="times new roman"/>
          <w:sz w:val="20"/>
        </w:rPr>
        <w:t xml:space="preserve">4. </w:t>
      </w:r>
      <w:r>
        <w:rPr>
          <w:rStyle w:val="StrongEmphasis"/>
          <w:rFonts w:ascii="times new roman" w:hAnsi="times new roman"/>
          <w:sz w:val="20"/>
          <w:u w:val="single"/>
        </w:rPr>
        <w:t>INCORPORATION BY REFERENCE</w:t>
      </w:r>
      <w:r>
        <w:rPr>
          <w:rFonts w:ascii="times new roman" w:hAnsi="times new roman"/>
          <w:sz w:val="20"/>
        </w:rPr>
        <w:t>. The terms and conditions of the Plan are hereby incorporated by reference and made a part hereof.</w:t>
      </w:r>
    </w:p>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 xml:space="preserve">5. </w:t>
      </w:r>
      <w:r>
        <w:rPr>
          <w:rStyle w:val="StrongEmphasis"/>
          <w:rFonts w:ascii="times new roman" w:hAnsi="times new roman"/>
          <w:sz w:val="20"/>
          <w:u w:val="single"/>
        </w:rPr>
        <w:t>NOTICES</w:t>
      </w:r>
      <w:r>
        <w:rPr>
          <w:rFonts w:ascii="times new roman" w:hAnsi="times new roman"/>
          <w:sz w:val="20"/>
        </w:rPr>
        <w:t>. Any notice or other communication given hereunder shall be deemed sufficient if in writing and hand delivered or sent by registered or certified mail, return receipt requested, addressed to the addressed to the Company, 15 Joys Lane, Kingston, New York 12401, Attention: CEO and to the Grantee at the address indicated below, or, in each case, at such other address notice of which is given in accordance with the foregoing provisions. Notices shall be deemed to have been given on the date of hand delivery or mailing as provided for above, except notices of change of address, which shall be deemed to have been given when received.</w:t>
      </w:r>
    </w:p>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 xml:space="preserve">6. </w:t>
      </w:r>
      <w:r>
        <w:rPr>
          <w:rStyle w:val="StrongEmphasis"/>
          <w:rFonts w:ascii="times new roman" w:hAnsi="times new roman"/>
          <w:sz w:val="20"/>
          <w:u w:val="single"/>
        </w:rPr>
        <w:t>BINDING EFFECT</w:t>
      </w:r>
      <w:r>
        <w:rPr>
          <w:rFonts w:ascii="times new roman" w:hAnsi="times new roman"/>
          <w:sz w:val="20"/>
        </w:rPr>
        <w:t>. This Stock Grant Agreement shall be binding upon and inure to the benefit of the parties hereto and their respective legal representatives, successors and assigns.</w:t>
      </w:r>
    </w:p>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 xml:space="preserve">7. </w:t>
      </w:r>
      <w:r>
        <w:rPr>
          <w:rStyle w:val="StrongEmphasis"/>
          <w:rFonts w:ascii="times new roman" w:hAnsi="times new roman"/>
          <w:sz w:val="20"/>
          <w:u w:val="single"/>
        </w:rPr>
        <w:t>ENTIRE AGREEMENT</w:t>
      </w:r>
      <w:r>
        <w:rPr>
          <w:rFonts w:ascii="times new roman" w:hAnsi="times new roman"/>
          <w:sz w:val="20"/>
        </w:rPr>
        <w:t>. This Stock Grant Agreement, together with the Plan, contains the entire understanding of the parties hereto with respect to the subject matter hereof and may be modified only by an instrument executed by the party sought to be charged.</w:t>
      </w:r>
    </w:p>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 xml:space="preserve">8. </w:t>
      </w:r>
      <w:r>
        <w:rPr>
          <w:rStyle w:val="StrongEmphasis"/>
          <w:rFonts w:ascii="times new roman" w:hAnsi="times new roman"/>
          <w:sz w:val="20"/>
          <w:u w:val="single"/>
        </w:rPr>
        <w:t>GOVERNING LAW</w:t>
      </w:r>
      <w:r>
        <w:rPr>
          <w:rFonts w:ascii="times new roman" w:hAnsi="times new roman"/>
          <w:sz w:val="20"/>
        </w:rPr>
        <w:t>. This Stock Grant Agreement shall be governed by, and construed in accordance with, the laws of the State of Delaware, excluding choice of law rules thereof.</w:t>
      </w:r>
    </w:p>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 xml:space="preserve">9. </w:t>
      </w:r>
      <w:r>
        <w:rPr>
          <w:rStyle w:val="StrongEmphasis"/>
          <w:rFonts w:ascii="times new roman" w:hAnsi="times new roman"/>
          <w:sz w:val="20"/>
          <w:u w:val="single"/>
        </w:rPr>
        <w:t>EXECUTION IN COUNTERPARTS</w:t>
      </w:r>
      <w:r>
        <w:rPr>
          <w:rFonts w:ascii="times new roman" w:hAnsi="times new roman"/>
          <w:sz w:val="20"/>
        </w:rPr>
        <w:t>. This Stock Grant Agreement may be executed in counterparts, each of which shall be deemed to be an original, but both of which together shall constitute one and the same instrument.</w:t>
      </w:r>
    </w:p>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 xml:space="preserve">10. </w:t>
      </w:r>
      <w:r>
        <w:rPr>
          <w:rStyle w:val="StrongEmphasis"/>
          <w:rFonts w:ascii="times new roman" w:hAnsi="times new roman"/>
          <w:sz w:val="20"/>
          <w:u w:val="single"/>
        </w:rPr>
        <w:t>FACSIMILE SIGNATURES</w:t>
      </w:r>
      <w:r>
        <w:rPr>
          <w:rFonts w:ascii="times new roman" w:hAnsi="times new roman"/>
          <w:sz w:val="20"/>
        </w:rPr>
        <w:t>. Signatures hereon which are transmitted via facsimile, or other electronic image, shall be deemed original signatures.</w:t>
      </w:r>
    </w:p>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 xml:space="preserve">11. </w:t>
      </w:r>
      <w:r>
        <w:rPr>
          <w:rStyle w:val="StrongEmphasis"/>
          <w:rFonts w:ascii="times new roman" w:hAnsi="times new roman"/>
          <w:sz w:val="20"/>
          <w:u w:val="single"/>
        </w:rPr>
        <w:t>INTERPRETATION; HEADINGS</w:t>
      </w:r>
      <w:r>
        <w:rPr>
          <w:rFonts w:ascii="times new roman" w:hAnsi="times new roman"/>
          <w:sz w:val="20"/>
        </w:rPr>
        <w:t>. The provisions of this Stock Grant Agreement shall be interpreted in a reasonable manner to give effect to the intent of the parties hereto. The headings and captions under sections and paragraphs of this Stock Grant Agreement are for convenience of reference only and do not in any way modify, interpret or construe the intent of the parties or affect any of the provisions of this Stock Grant Agreement.</w:t>
      </w:r>
    </w:p>
    <w:p>
      <w:pPr>
        <w:pStyle w:val="TextBody"/>
        <w:spacing w:before="0" w:after="0"/>
        <w:ind w:left="0" w:right="0" w:hanging="0"/>
        <w:jc w:val="both"/>
        <w:rPr/>
      </w:pPr>
      <w:r>
        <w:rPr/>
        <w:t>  </w:t>
      </w:r>
    </w:p>
    <w:p>
      <w:pPr>
        <w:pStyle w:val="TextBody"/>
        <w:spacing w:before="0" w:after="0"/>
        <w:ind w:left="0" w:right="0" w:hanging="0"/>
        <w:jc w:val="center"/>
        <w:rPr/>
      </w:pPr>
      <w:r>
        <w:rPr>
          <w:rFonts w:ascii="times new roman" w:hAnsi="times new roman"/>
          <w:sz w:val="20"/>
        </w:rPr>
        <w:t>[</w:t>
      </w:r>
      <w:r>
        <w:rPr>
          <w:rStyle w:val="Emphasis"/>
          <w:rFonts w:ascii="times new roman" w:hAnsi="times new roman"/>
          <w:sz w:val="20"/>
        </w:rPr>
        <w:t>Remainder of page intentionally left blank; signature page follows</w:t>
      </w:r>
      <w:r>
        <w:rPr>
          <w:rFonts w:ascii="times new roman" w:hAnsi="times new roman"/>
          <w:sz w:val="20"/>
        </w:rPr>
        <w:t>]</w:t>
      </w:r>
    </w:p>
    <w:p>
      <w:pPr>
        <w:pStyle w:val="TextBody"/>
        <w:spacing w:before="0" w:after="0"/>
        <w:ind w:left="0" w:right="0" w:hanging="0"/>
        <w:jc w:val="both"/>
        <w:rPr/>
      </w:pPr>
      <w:r>
        <w:rPr/>
        <w:t> </w:t>
      </w:r>
      <w:r>
        <w:br w:type="page"/>
      </w:r>
    </w:p>
    <w:tbl>
      <w:tblPr>
        <w:tblW w:w="230" w:type="dxa"/>
        <w:jc w:val="left"/>
        <w:tblInd w:w="0" w:type="dxa"/>
        <w:tblCellMar>
          <w:top w:w="0" w:type="dxa"/>
          <w:left w:w="0" w:type="dxa"/>
          <w:bottom w:w="0" w:type="dxa"/>
          <w:right w:w="0" w:type="dxa"/>
        </w:tblCellMar>
      </w:tblPr>
      <w:tblGrid>
        <w:gridCol w:w="230"/>
      </w:tblGrid>
      <w:tr>
        <w:trPr/>
        <w:tc>
          <w:tcPr>
            <w:tcW w:w="230" w:type="dxa"/>
            <w:tcBorders/>
            <w:shd w:fill="auto" w:val="clear"/>
            <w:vAlign w:val="center"/>
          </w:tcPr>
          <w:p>
            <w:pPr>
              <w:pStyle w:val="TableContents"/>
              <w:spacing w:before="0" w:after="283"/>
              <w:ind w:left="0" w:right="0" w:hanging="0"/>
              <w:rPr/>
            </w:pPr>
            <w:r>
              <w:rPr/>
              <w:t> </w:t>
            </w:r>
          </w:p>
        </w:tc>
      </w:tr>
      <w:tr>
        <w:trPr/>
        <w:tc>
          <w:tcPr>
            <w:tcW w:w="230" w:type="dxa"/>
            <w:tcBorders>
              <w:bottom w:val="single" w:sz="2" w:space="0" w:color="000000"/>
            </w:tcBorders>
            <w:shd w:fill="auto" w:val="clear"/>
            <w:tcMar>
              <w:bottom w:w="28" w:type="dxa"/>
            </w:tcMar>
            <w:vAlign w:val="center"/>
          </w:tcPr>
          <w:p>
            <w:pPr>
              <w:pStyle w:val="TableContents"/>
              <w:spacing w:before="0" w:after="283"/>
              <w:jc w:val="center"/>
              <w:rPr/>
            </w:pPr>
            <w:r>
              <w:rPr/>
              <w:t>2</w:t>
            </w:r>
          </w:p>
        </w:tc>
      </w:tr>
      <w:tr>
        <w:trPr/>
        <w:tc>
          <w:tcPr>
            <w:tcW w:w="230" w:type="dxa"/>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firstLine="675"/>
        <w:jc w:val="both"/>
        <w:rPr/>
      </w:pPr>
      <w:r>
        <w:rPr>
          <w:rStyle w:val="StrongEmphasis"/>
          <w:rFonts w:ascii="times new roman" w:hAnsi="times new roman"/>
          <w:sz w:val="20"/>
        </w:rPr>
        <w:t>IN WITNESS WHEREOF</w:t>
      </w:r>
      <w:r>
        <w:rPr>
          <w:rFonts w:ascii="times new roman" w:hAnsi="times new roman"/>
          <w:sz w:val="20"/>
        </w:rPr>
        <w:t>, the parties have executed this Stock Grant Agreement as of the day and year first above written.</w:t>
      </w:r>
    </w:p>
    <w:p>
      <w:pPr>
        <w:pStyle w:val="TextBody"/>
        <w:spacing w:before="0" w:after="0"/>
        <w:ind w:left="0" w:right="0" w:hanging="0"/>
        <w:jc w:val="both"/>
        <w:rPr/>
      </w:pPr>
      <w:r>
        <w:rPr/>
        <w:t xml:space="preserve">  </w:t>
      </w:r>
    </w:p>
    <w:tbl>
      <w:tblPr>
        <w:tblW w:w="3154" w:type="dxa"/>
        <w:jc w:val="left"/>
        <w:tblInd w:w="0" w:type="dxa"/>
        <w:tblCellMar>
          <w:top w:w="0" w:type="dxa"/>
          <w:left w:w="0" w:type="dxa"/>
          <w:bottom w:w="0" w:type="dxa"/>
          <w:right w:w="0" w:type="dxa"/>
        </w:tblCellMar>
      </w:tblPr>
      <w:tblGrid>
        <w:gridCol w:w="105"/>
        <w:gridCol w:w="439"/>
        <w:gridCol w:w="2475"/>
        <w:gridCol w:w="135"/>
      </w:tblGrid>
      <w:tr>
        <w:trPr/>
        <w:tc>
          <w:tcPr>
            <w:tcW w:w="105" w:type="dxa"/>
            <w:tcBorders/>
            <w:shd w:fill="auto" w:val="clear"/>
            <w:vAlign w:val="center"/>
          </w:tcPr>
          <w:p>
            <w:pPr>
              <w:pStyle w:val="TableContents"/>
              <w:spacing w:before="0" w:after="283"/>
              <w:rPr>
                <w:sz w:val="4"/>
                <w:szCs w:val="4"/>
              </w:rPr>
            </w:pPr>
            <w:r>
              <w:rPr>
                <w:sz w:val="4"/>
                <w:szCs w:val="4"/>
              </w:rPr>
            </w:r>
          </w:p>
        </w:tc>
        <w:tc>
          <w:tcPr>
            <w:tcW w:w="2914" w:type="dxa"/>
            <w:gridSpan w:val="2"/>
            <w:tcBorders/>
            <w:shd w:fill="auto" w:val="clear"/>
            <w:vAlign w:val="center"/>
          </w:tcPr>
          <w:p>
            <w:pPr>
              <w:pStyle w:val="TableContents"/>
              <w:spacing w:before="0" w:after="0"/>
              <w:ind w:left="0" w:right="0" w:hanging="0"/>
              <w:jc w:val="both"/>
              <w:rPr/>
            </w:pPr>
            <w:r>
              <w:rPr>
                <w:rStyle w:val="StrongEmphasis"/>
                <w:rFonts w:ascii="times new roman" w:hAnsi="times new roman"/>
                <w:sz w:val="20"/>
              </w:rPr>
              <w:t>KINGSTONE COMPANIES, INC.</w:t>
            </w:r>
          </w:p>
        </w:tc>
        <w:tc>
          <w:tcPr>
            <w:tcW w:w="13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439" w:type="dxa"/>
            <w:tcBorders/>
            <w:shd w:fill="auto" w:val="clear"/>
            <w:vAlign w:val="center"/>
          </w:tcPr>
          <w:p>
            <w:pPr>
              <w:pStyle w:val="TableContents"/>
              <w:spacing w:before="0" w:after="0"/>
              <w:ind w:left="0" w:right="0" w:hanging="0"/>
              <w:jc w:val="both"/>
              <w:rPr/>
            </w:pPr>
            <w:r>
              <w:rPr/>
              <w:t> </w:t>
            </w:r>
          </w:p>
        </w:tc>
        <w:tc>
          <w:tcPr>
            <w:tcW w:w="2475" w:type="dxa"/>
            <w:tcBorders/>
            <w:shd w:fill="auto" w:val="clear"/>
            <w:vAlign w:val="center"/>
          </w:tcPr>
          <w:p>
            <w:pPr>
              <w:pStyle w:val="TableContents"/>
              <w:spacing w:before="0" w:after="0"/>
              <w:ind w:left="0" w:right="0" w:hanging="0"/>
              <w:jc w:val="both"/>
              <w:rPr/>
            </w:pPr>
            <w:r>
              <w:rPr/>
              <w:t> </w:t>
            </w:r>
          </w:p>
        </w:tc>
        <w:tc>
          <w:tcPr>
            <w:tcW w:w="13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439"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By:</w:t>
            </w:r>
          </w:p>
        </w:tc>
        <w:tc>
          <w:tcPr>
            <w:tcW w:w="2475" w:type="dxa"/>
            <w:tcBorders>
              <w:bottom w:val="single" w:sz="2" w:space="0" w:color="000000"/>
            </w:tcBorders>
            <w:shd w:fill="auto" w:val="clear"/>
            <w:tcMar>
              <w:bottom w:w="28" w:type="dxa"/>
            </w:tcMar>
            <w:vAlign w:val="center"/>
          </w:tcPr>
          <w:p>
            <w:pPr>
              <w:pStyle w:val="TableContents"/>
              <w:spacing w:before="0" w:after="0"/>
              <w:ind w:left="0" w:right="0" w:hanging="0"/>
              <w:jc w:val="both"/>
              <w:rPr/>
            </w:pPr>
            <w:r>
              <w:rPr/>
              <w:t> </w:t>
            </w:r>
          </w:p>
        </w:tc>
        <w:tc>
          <w:tcPr>
            <w:tcW w:w="13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439" w:type="dxa"/>
            <w:tcBorders/>
            <w:shd w:fill="auto" w:val="clear"/>
            <w:vAlign w:val="center"/>
          </w:tcPr>
          <w:p>
            <w:pPr>
              <w:pStyle w:val="TableContents"/>
              <w:spacing w:before="0" w:after="0"/>
              <w:ind w:left="0" w:right="0" w:hanging="0"/>
              <w:jc w:val="both"/>
              <w:rPr/>
            </w:pPr>
            <w:r>
              <w:rPr/>
              <w:t> </w:t>
            </w:r>
          </w:p>
        </w:tc>
        <w:tc>
          <w:tcPr>
            <w:tcW w:w="2475"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Barry B. Goldstein</w:t>
            </w:r>
          </w:p>
        </w:tc>
        <w:tc>
          <w:tcPr>
            <w:tcW w:w="13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439" w:type="dxa"/>
            <w:tcBorders/>
            <w:shd w:fill="auto" w:val="clear"/>
            <w:vAlign w:val="center"/>
          </w:tcPr>
          <w:p>
            <w:pPr>
              <w:pStyle w:val="TableContents"/>
              <w:spacing w:before="0" w:after="0"/>
              <w:ind w:left="0" w:right="0" w:hanging="0"/>
              <w:jc w:val="both"/>
              <w:rPr/>
            </w:pPr>
            <w:r>
              <w:rPr/>
              <w:t> </w:t>
            </w:r>
          </w:p>
        </w:tc>
        <w:tc>
          <w:tcPr>
            <w:tcW w:w="2475"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Chief Executive Officer</w:t>
            </w:r>
          </w:p>
        </w:tc>
        <w:tc>
          <w:tcPr>
            <w:tcW w:w="13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439" w:type="dxa"/>
            <w:tcBorders/>
            <w:shd w:fill="auto" w:val="clear"/>
            <w:vAlign w:val="center"/>
          </w:tcPr>
          <w:p>
            <w:pPr>
              <w:pStyle w:val="TableContents"/>
              <w:spacing w:before="0" w:after="0"/>
              <w:ind w:left="0" w:right="0" w:hanging="0"/>
              <w:jc w:val="both"/>
              <w:rPr/>
            </w:pPr>
            <w:r>
              <w:rPr/>
              <w:t> </w:t>
            </w:r>
          </w:p>
        </w:tc>
        <w:tc>
          <w:tcPr>
            <w:tcW w:w="2475" w:type="dxa"/>
            <w:tcBorders/>
            <w:shd w:fill="auto" w:val="clear"/>
            <w:vAlign w:val="center"/>
          </w:tcPr>
          <w:p>
            <w:pPr>
              <w:pStyle w:val="TableContents"/>
              <w:spacing w:before="0" w:after="0"/>
              <w:ind w:left="0" w:right="0" w:hanging="0"/>
              <w:jc w:val="both"/>
              <w:rPr/>
            </w:pPr>
            <w:r>
              <w:rPr/>
              <w:t> </w:t>
            </w:r>
          </w:p>
        </w:tc>
        <w:tc>
          <w:tcPr>
            <w:tcW w:w="13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283"/>
              <w:rPr>
                <w:sz w:val="4"/>
                <w:szCs w:val="4"/>
              </w:rPr>
            </w:pPr>
            <w:r>
              <w:rPr>
                <w:sz w:val="4"/>
                <w:szCs w:val="4"/>
              </w:rPr>
            </w:r>
          </w:p>
        </w:tc>
        <w:tc>
          <w:tcPr>
            <w:tcW w:w="2914" w:type="dxa"/>
            <w:gridSpan w:val="2"/>
            <w:tcBorders>
              <w:bottom w:val="single" w:sz="2" w:space="0" w:color="000000"/>
            </w:tcBorders>
            <w:shd w:fill="auto" w:val="clear"/>
            <w:tcMar>
              <w:bottom w:w="28" w:type="dxa"/>
            </w:tcMar>
            <w:vAlign w:val="center"/>
          </w:tcPr>
          <w:p>
            <w:pPr>
              <w:pStyle w:val="TableContents"/>
              <w:spacing w:before="0" w:after="0"/>
              <w:ind w:left="0" w:right="0" w:hanging="0"/>
              <w:jc w:val="both"/>
              <w:rPr/>
            </w:pPr>
            <w:r>
              <w:rPr/>
              <w:t> </w:t>
            </w:r>
          </w:p>
        </w:tc>
        <w:tc>
          <w:tcPr>
            <w:tcW w:w="13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283"/>
              <w:rPr>
                <w:sz w:val="4"/>
                <w:szCs w:val="4"/>
              </w:rPr>
            </w:pPr>
            <w:r>
              <w:rPr>
                <w:sz w:val="4"/>
                <w:szCs w:val="4"/>
              </w:rPr>
            </w:r>
          </w:p>
        </w:tc>
        <w:tc>
          <w:tcPr>
            <w:tcW w:w="2914" w:type="dxa"/>
            <w:gridSpan w:val="2"/>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Signature of Grantee</w:t>
            </w:r>
          </w:p>
        </w:tc>
        <w:tc>
          <w:tcPr>
            <w:tcW w:w="13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439" w:type="dxa"/>
            <w:tcBorders/>
            <w:shd w:fill="auto" w:val="clear"/>
            <w:vAlign w:val="center"/>
          </w:tcPr>
          <w:p>
            <w:pPr>
              <w:pStyle w:val="TableContents"/>
              <w:spacing w:before="0" w:after="0"/>
              <w:ind w:left="0" w:right="0" w:hanging="0"/>
              <w:rPr/>
            </w:pPr>
            <w:r>
              <w:rPr/>
              <w:t> </w:t>
            </w:r>
          </w:p>
        </w:tc>
        <w:tc>
          <w:tcPr>
            <w:tcW w:w="2475" w:type="dxa"/>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105" w:type="dxa"/>
            <w:tcBorders/>
            <w:shd w:fill="auto" w:val="clear"/>
            <w:vAlign w:val="center"/>
          </w:tcPr>
          <w:p>
            <w:pPr>
              <w:pStyle w:val="TableContents"/>
              <w:spacing w:before="0" w:after="283"/>
              <w:rPr>
                <w:sz w:val="4"/>
                <w:szCs w:val="4"/>
              </w:rPr>
            </w:pPr>
            <w:r>
              <w:rPr>
                <w:sz w:val="4"/>
                <w:szCs w:val="4"/>
              </w:rPr>
            </w:r>
          </w:p>
        </w:tc>
        <w:tc>
          <w:tcPr>
            <w:tcW w:w="2914" w:type="dxa"/>
            <w:gridSpan w:val="2"/>
            <w:tcBorders>
              <w:bottom w:val="single" w:sz="2" w:space="0" w:color="000000"/>
            </w:tcBorders>
            <w:shd w:fill="auto"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William L. Yankus</w:t>
            </w:r>
          </w:p>
        </w:tc>
        <w:tc>
          <w:tcPr>
            <w:tcW w:w="135" w:type="dxa"/>
            <w:tcBorders/>
            <w:shd w:fill="auto" w:val="clear"/>
            <w:vAlign w:val="center"/>
          </w:tcPr>
          <w:p>
            <w:pPr>
              <w:pStyle w:val="TableContents"/>
              <w:spacing w:before="0" w:after="0"/>
              <w:ind w:left="0" w:right="0" w:hanging="0"/>
              <w:rPr/>
            </w:pPr>
            <w:r>
              <w:rPr/>
              <w:t> </w:t>
            </w:r>
          </w:p>
        </w:tc>
      </w:tr>
      <w:tr>
        <w:trPr/>
        <w:tc>
          <w:tcPr>
            <w:tcW w:w="105" w:type="dxa"/>
            <w:tcBorders/>
            <w:shd w:fill="auto" w:val="clear"/>
            <w:vAlign w:val="center"/>
          </w:tcPr>
          <w:p>
            <w:pPr>
              <w:pStyle w:val="TableContents"/>
              <w:spacing w:before="0" w:after="283"/>
              <w:rPr>
                <w:sz w:val="4"/>
                <w:szCs w:val="4"/>
              </w:rPr>
            </w:pPr>
            <w:r>
              <w:rPr>
                <w:sz w:val="4"/>
                <w:szCs w:val="4"/>
              </w:rPr>
            </w:r>
          </w:p>
        </w:tc>
        <w:tc>
          <w:tcPr>
            <w:tcW w:w="2914" w:type="dxa"/>
            <w:gridSpan w:val="2"/>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Name of Grantee</w:t>
            </w:r>
          </w:p>
        </w:tc>
        <w:tc>
          <w:tcPr>
            <w:tcW w:w="13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439" w:type="dxa"/>
            <w:tcBorders/>
            <w:shd w:fill="auto" w:val="clear"/>
            <w:vAlign w:val="center"/>
          </w:tcPr>
          <w:p>
            <w:pPr>
              <w:pStyle w:val="TableContents"/>
              <w:spacing w:before="0" w:after="0"/>
              <w:ind w:left="0" w:right="0" w:hanging="0"/>
              <w:rPr/>
            </w:pPr>
            <w:r>
              <w:rPr/>
              <w:t> </w:t>
            </w:r>
          </w:p>
        </w:tc>
        <w:tc>
          <w:tcPr>
            <w:tcW w:w="2475" w:type="dxa"/>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105" w:type="dxa"/>
            <w:tcBorders/>
            <w:shd w:fill="auto" w:val="clear"/>
            <w:vAlign w:val="center"/>
          </w:tcPr>
          <w:p>
            <w:pPr>
              <w:pStyle w:val="TableContents"/>
              <w:spacing w:before="0" w:after="283"/>
              <w:rPr>
                <w:sz w:val="4"/>
                <w:szCs w:val="4"/>
              </w:rPr>
            </w:pPr>
            <w:r>
              <w:rPr>
                <w:sz w:val="4"/>
                <w:szCs w:val="4"/>
              </w:rPr>
            </w:r>
          </w:p>
        </w:tc>
        <w:tc>
          <w:tcPr>
            <w:tcW w:w="2914" w:type="dxa"/>
            <w:gridSpan w:val="2"/>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105" w:type="dxa"/>
            <w:tcBorders/>
            <w:shd w:fill="auto" w:val="clear"/>
            <w:vAlign w:val="center"/>
          </w:tcPr>
          <w:p>
            <w:pPr>
              <w:pStyle w:val="TableContents"/>
              <w:spacing w:before="0" w:after="283"/>
              <w:rPr>
                <w:sz w:val="4"/>
                <w:szCs w:val="4"/>
              </w:rPr>
            </w:pPr>
            <w:r>
              <w:rPr>
                <w:sz w:val="4"/>
                <w:szCs w:val="4"/>
              </w:rPr>
            </w:r>
          </w:p>
        </w:tc>
        <w:tc>
          <w:tcPr>
            <w:tcW w:w="2914" w:type="dxa"/>
            <w:gridSpan w:val="2"/>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Address of Grantee</w:t>
            </w:r>
          </w:p>
        </w:tc>
        <w:tc>
          <w:tcPr>
            <w:tcW w:w="135" w:type="dxa"/>
            <w:tcBorders/>
            <w:shd w:fill="auto" w:val="clear"/>
            <w:vAlign w:val="center"/>
          </w:tcPr>
          <w:p>
            <w:pPr>
              <w:pStyle w:val="TableContents"/>
              <w:spacing w:before="0" w:after="0"/>
              <w:ind w:left="0" w:right="0" w:hanging="0"/>
              <w:jc w:val="both"/>
              <w:rPr/>
            </w:pPr>
            <w:r>
              <w:rPr/>
              <w:t> </w:t>
            </w:r>
          </w:p>
        </w:tc>
      </w:tr>
    </w:tbl>
    <w:p>
      <w:pPr>
        <w:pStyle w:val="TextBody"/>
        <w:spacing w:before="0" w:after="0"/>
        <w:ind w:left="0" w:right="0" w:hanging="0"/>
        <w:jc w:val="both"/>
        <w:rPr/>
      </w:pPr>
      <w:r>
        <w:rPr/>
        <w:t> </w:t>
      </w:r>
    </w:p>
    <w:tbl>
      <w:tblPr>
        <w:tblW w:w="230" w:type="dxa"/>
        <w:jc w:val="left"/>
        <w:tblInd w:w="0" w:type="dxa"/>
        <w:tblCellMar>
          <w:top w:w="0" w:type="dxa"/>
          <w:left w:w="0" w:type="dxa"/>
          <w:bottom w:w="0" w:type="dxa"/>
          <w:right w:w="0" w:type="dxa"/>
        </w:tblCellMar>
      </w:tblPr>
      <w:tblGrid>
        <w:gridCol w:w="230"/>
      </w:tblGrid>
      <w:tr>
        <w:trPr/>
        <w:tc>
          <w:tcPr>
            <w:tcW w:w="230" w:type="dxa"/>
            <w:tcBorders/>
            <w:shd w:fill="auto" w:val="clear"/>
            <w:vAlign w:val="center"/>
          </w:tcPr>
          <w:p>
            <w:pPr>
              <w:pStyle w:val="TableContents"/>
              <w:spacing w:before="0" w:after="283"/>
              <w:ind w:left="0" w:right="0" w:hanging="0"/>
              <w:rPr/>
            </w:pPr>
            <w:r>
              <w:rPr/>
              <w:t> </w:t>
            </w:r>
          </w:p>
        </w:tc>
      </w:tr>
      <w:tr>
        <w:trPr/>
        <w:tc>
          <w:tcPr>
            <w:tcW w:w="230" w:type="dxa"/>
            <w:tcBorders>
              <w:bottom w:val="single" w:sz="2" w:space="0" w:color="000000"/>
            </w:tcBorders>
            <w:shd w:fill="auto" w:val="clear"/>
            <w:tcMar>
              <w:bottom w:w="28" w:type="dxa"/>
            </w:tcMar>
            <w:vAlign w:val="center"/>
          </w:tcPr>
          <w:p>
            <w:pPr>
              <w:pStyle w:val="TableContents"/>
              <w:spacing w:before="0" w:after="283"/>
              <w:jc w:val="center"/>
              <w:rPr/>
            </w:pPr>
            <w:r>
              <w:rPr/>
              <w:t>3</w:t>
            </w:r>
          </w:p>
        </w:tc>
      </w:tr>
    </w:tbl>
    <w:p>
      <w:pPr>
        <w:pStyle w:val="TextBody"/>
        <w:spacing w:before="0" w:after="0"/>
        <w:ind w:left="0" w:right="0" w:hanging="0"/>
        <w:rPr/>
      </w:pPr>
      <w:r>
        <w:rPr/>
        <w:t> </w:t>
      </w:r>
      <w:r>
        <w:br w:type="page"/>
      </w:r>
    </w:p>
    <w:p>
      <w:pPr>
        <w:pStyle w:val="TextBody"/>
        <w:spacing w:before="0" w:after="0"/>
        <w:ind w:left="0" w:right="0" w:hanging="0"/>
        <w:jc w:val="right"/>
        <w:rPr/>
      </w:pPr>
      <w:bookmarkStart w:id="40" w:name="king_ex10p.htm"/>
      <w:bookmarkStart w:id="41" w:name="ksking_ex10p"/>
      <w:bookmarkEnd w:id="40"/>
      <w:bookmarkEnd w:id="41"/>
      <w:r>
        <w:rPr>
          <w:rStyle w:val="StrongEmphasis"/>
          <w:rFonts w:ascii="times new roman" w:hAnsi="times new roman"/>
          <w:sz w:val="20"/>
        </w:rPr>
        <w:t>EXHIBIT 10(p)</w:t>
      </w:r>
    </w:p>
    <w:p>
      <w:pPr>
        <w:pStyle w:val="TextBody"/>
        <w:spacing w:before="0" w:after="0"/>
        <w:ind w:left="0" w:right="0" w:hanging="0"/>
        <w:jc w:val="center"/>
        <w:rPr/>
      </w:pPr>
      <w:r>
        <w:rPr>
          <w:rStyle w:val="StrongEmphasis"/>
        </w:rPr>
        <w:t xml:space="preserve">   </w:t>
      </w:r>
    </w:p>
    <w:p>
      <w:pPr>
        <w:pStyle w:val="TextBody"/>
        <w:spacing w:before="0" w:after="0"/>
        <w:ind w:left="0" w:right="0" w:firstLine="675"/>
        <w:jc w:val="both"/>
        <w:rPr/>
      </w:pPr>
      <w:r>
        <w:rPr>
          <w:rStyle w:val="StrongEmphasis"/>
          <w:rFonts w:ascii="times new roman" w:hAnsi="times new roman"/>
          <w:sz w:val="20"/>
        </w:rPr>
        <w:t xml:space="preserve">STOCK GRANT AGREEMENT </w:t>
      </w:r>
      <w:r>
        <w:rPr>
          <w:rFonts w:ascii="times new roman" w:hAnsi="times new roman"/>
          <w:sz w:val="20"/>
        </w:rPr>
        <w:t xml:space="preserve">made as of the 3rd day of January, 2023 between </w:t>
      </w:r>
      <w:r>
        <w:rPr>
          <w:rStyle w:val="StrongEmphasis"/>
          <w:rFonts w:ascii="times new roman" w:hAnsi="times new roman"/>
          <w:sz w:val="20"/>
        </w:rPr>
        <w:t>KINGSTONE COMPANIES, INC.</w:t>
      </w:r>
      <w:r>
        <w:rPr>
          <w:rFonts w:ascii="times new roman" w:hAnsi="times new roman"/>
          <w:sz w:val="20"/>
        </w:rPr>
        <w:t xml:space="preserve">, a Delaware corporation (the “Company”), and </w:t>
      </w:r>
      <w:r>
        <w:rPr>
          <w:rStyle w:val="StrongEmphasis"/>
          <w:rFonts w:ascii="times new roman" w:hAnsi="times new roman"/>
          <w:sz w:val="20"/>
        </w:rPr>
        <w:t>TIMOTHY P. MCFADDEN</w:t>
      </w:r>
      <w:r>
        <w:rPr>
          <w:rFonts w:ascii="times new roman" w:hAnsi="times new roman"/>
          <w:sz w:val="20"/>
        </w:rPr>
        <w:t xml:space="preserve"> (the “Grantee”).</w:t>
      </w:r>
    </w:p>
    <w:p>
      <w:pPr>
        <w:pStyle w:val="TextBody"/>
        <w:spacing w:before="0" w:after="0"/>
        <w:ind w:left="0" w:right="0" w:hanging="0"/>
        <w:jc w:val="both"/>
        <w:rPr/>
      </w:pPr>
      <w:r>
        <w:rPr/>
        <w:t> </w:t>
      </w:r>
    </w:p>
    <w:p>
      <w:pPr>
        <w:pStyle w:val="TextBody"/>
        <w:spacing w:before="0" w:after="0"/>
        <w:ind w:left="0" w:right="0" w:firstLine="675"/>
        <w:jc w:val="both"/>
        <w:rPr/>
      </w:pPr>
      <w:r>
        <w:rPr>
          <w:rStyle w:val="StrongEmphasis"/>
          <w:rFonts w:ascii="times new roman" w:hAnsi="times new roman"/>
          <w:sz w:val="20"/>
        </w:rPr>
        <w:t>WHEREAS</w:t>
      </w:r>
      <w:r>
        <w:rPr>
          <w:rFonts w:ascii="times new roman" w:hAnsi="times new roman"/>
          <w:sz w:val="20"/>
        </w:rPr>
        <w:t>, the Grantee is a non-employee member of the Board of Directors of the Company;</w:t>
      </w:r>
    </w:p>
    <w:p>
      <w:pPr>
        <w:pStyle w:val="TextBody"/>
        <w:spacing w:before="0" w:after="0"/>
        <w:ind w:left="0" w:right="0" w:hanging="0"/>
        <w:jc w:val="both"/>
        <w:rPr/>
      </w:pPr>
      <w:r>
        <w:rPr/>
        <w:t> </w:t>
      </w:r>
    </w:p>
    <w:p>
      <w:pPr>
        <w:pStyle w:val="TextBody"/>
        <w:spacing w:before="0" w:after="0"/>
        <w:ind w:left="0" w:right="0" w:firstLine="675"/>
        <w:jc w:val="both"/>
        <w:rPr/>
      </w:pPr>
      <w:r>
        <w:rPr>
          <w:rStyle w:val="StrongEmphasis"/>
          <w:rFonts w:ascii="times new roman" w:hAnsi="times new roman"/>
          <w:sz w:val="20"/>
        </w:rPr>
        <w:t>WHEREAS</w:t>
      </w:r>
      <w:r>
        <w:rPr>
          <w:rFonts w:ascii="times new roman" w:hAnsi="times new roman"/>
          <w:sz w:val="20"/>
        </w:rPr>
        <w:t>, the Compensation Committee of the Board of Directors of the Company has approved the grant to the Grantee of common stock of the Company (“Common Stock”) pursuant to the Company’s Amended and Restated 2014 Equity Participation Plan (the “Plan”).</w:t>
      </w:r>
    </w:p>
    <w:p>
      <w:pPr>
        <w:pStyle w:val="TextBody"/>
        <w:spacing w:before="0" w:after="0"/>
        <w:ind w:left="0" w:right="0" w:hanging="0"/>
        <w:jc w:val="both"/>
        <w:rPr/>
      </w:pPr>
      <w:r>
        <w:rPr/>
        <w:t> </w:t>
      </w:r>
    </w:p>
    <w:p>
      <w:pPr>
        <w:pStyle w:val="TextBody"/>
        <w:spacing w:before="0" w:after="0"/>
        <w:ind w:left="0" w:right="0" w:firstLine="675"/>
        <w:jc w:val="both"/>
        <w:rPr/>
      </w:pPr>
      <w:r>
        <w:rPr>
          <w:rStyle w:val="StrongEmphasis"/>
          <w:rFonts w:ascii="times new roman" w:hAnsi="times new roman"/>
          <w:sz w:val="20"/>
        </w:rPr>
        <w:t>NOW, THEREFORE</w:t>
      </w:r>
      <w:r>
        <w:rPr>
          <w:rFonts w:ascii="times new roman" w:hAnsi="times new roman"/>
          <w:sz w:val="20"/>
        </w:rPr>
        <w:t>, in consideration of the foregoing, the Company hereby grants to the Grantee an award of shares of Common Stock upon the following terms and conditions:</w:t>
      </w:r>
    </w:p>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 xml:space="preserve">1. </w:t>
      </w:r>
      <w:r>
        <w:rPr>
          <w:rStyle w:val="StrongEmphasis"/>
          <w:rFonts w:ascii="times new roman" w:hAnsi="times new roman"/>
          <w:sz w:val="20"/>
          <w:u w:val="single"/>
        </w:rPr>
        <w:t>DEFINED TERMS.</w:t>
      </w:r>
      <w:r>
        <w:rPr>
          <w:rFonts w:ascii="times new roman" w:hAnsi="times new roman"/>
          <w:sz w:val="20"/>
        </w:rPr>
        <w:t xml:space="preserve"> All terms used, but not otherwise defined, herein shall have the meanings ascribed to them in the Plan. </w:t>
      </w:r>
    </w:p>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 xml:space="preserve">2. </w:t>
      </w:r>
      <w:r>
        <w:rPr>
          <w:rStyle w:val="StrongEmphasis"/>
          <w:rFonts w:ascii="times new roman" w:hAnsi="times new roman"/>
          <w:sz w:val="20"/>
          <w:u w:val="single"/>
        </w:rPr>
        <w:t>GRANT</w:t>
      </w:r>
      <w:r>
        <w:rPr>
          <w:rFonts w:ascii="times new roman" w:hAnsi="times new roman"/>
          <w:sz w:val="20"/>
        </w:rPr>
        <w:t>. Subject to the terms and conditions of the Plan and the provisions hereof, the Company hereby agrees to grant to the Grantee, pursuant to Section 16 of the Plan, an award of thirty-nine thousand two hundred fifty-nine (39,259) shares of Common Stock (the “Shares”), such Shares being issuable on the Vesting Date (as hereinafter defined) set forth in, and subject to the provisions of, Section 3 hereof.</w:t>
      </w:r>
    </w:p>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 xml:space="preserve">3. </w:t>
      </w:r>
      <w:r>
        <w:rPr>
          <w:rStyle w:val="StrongEmphasis"/>
          <w:rFonts w:ascii="times new roman" w:hAnsi="times new roman"/>
          <w:sz w:val="20"/>
          <w:u w:val="single"/>
        </w:rPr>
        <w:t>VESTING OF SHARES</w:t>
      </w:r>
      <w:r>
        <w:rPr>
          <w:rFonts w:ascii="times new roman" w:hAnsi="times new roman"/>
          <w:sz w:val="20"/>
        </w:rPr>
        <w:t>. (a) The Shares shall vest on January 3, 2024 (the “Vesting Date”) provided that the Grantee continues to serve as a member of the Board of Directors of the Company (the “Board”) through the Vesting Date, subject to the provisions of the Plan. Notwithstanding the foregoing, in the event that the Grantee resigns from the Board prior to the Vesting Date or is not re-elected as a director at the Company’s next annual meeting of stockholders, then, the Shares shall thereupon vest on a pro rata basis based on the number of days between the date hereof and the date of resignation or the date of the annual meeting of stockholders, as the case may be, in relation to three hundred sixty-five (365); provided, however, that the foregoing shall not be deemed to limit the Grantee’s right to receive all of the Shares in the event of the death or Permanent Disability of the Grantee or a Change of Control prior to the Vesting Date, as provided for in the Plan.</w:t>
      </w:r>
    </w:p>
    <w:p>
      <w:pPr>
        <w:pStyle w:val="TextBody"/>
        <w:spacing w:before="0" w:after="0"/>
        <w:ind w:left="0" w:right="0" w:hanging="0"/>
        <w:jc w:val="both"/>
        <w:rPr/>
      </w:pPr>
      <w:r>
        <w:rPr/>
        <w:t> </w:t>
      </w:r>
    </w:p>
    <w:p>
      <w:pPr>
        <w:pStyle w:val="TextBody"/>
        <w:spacing w:before="0" w:after="0"/>
        <w:ind w:left="0" w:right="0" w:firstLine="1350"/>
        <w:jc w:val="both"/>
        <w:rPr>
          <w:rFonts w:ascii="times new roman" w:hAnsi="times new roman"/>
          <w:sz w:val="20"/>
        </w:rPr>
      </w:pPr>
      <w:r>
        <w:rPr>
          <w:rFonts w:ascii="times new roman" w:hAnsi="times new roman"/>
          <w:sz w:val="20"/>
        </w:rPr>
        <w:t>(b) In the event that the Shares vest on the Vesting Date (or earlier as provided for in Section 3(a)), the certificate representing the Shares shall be issued by the Company as soon as reasonably practicable thereafter. In the event that the Grantee does not continue to serve as a member of the Board through the Vesting Date, then, except as set forth in the Plan or as provided for in Section 3(a), the Grantee shall not be entitled to receive the Shares issuable on the Vesting Date, and this Agreement shall terminate and be of no further force or effect.</w:t>
      </w:r>
    </w:p>
    <w:p>
      <w:pPr>
        <w:pStyle w:val="TextBody"/>
        <w:spacing w:before="0" w:after="0"/>
        <w:ind w:left="0" w:right="0" w:hanging="0"/>
        <w:jc w:val="both"/>
        <w:rPr/>
      </w:pPr>
      <w:r>
        <w:rPr/>
        <w:t> </w:t>
      </w:r>
    </w:p>
    <w:p>
      <w:pPr>
        <w:pStyle w:val="TextBody"/>
        <w:spacing w:before="0" w:after="0"/>
        <w:ind w:left="0" w:right="0" w:firstLine="1350"/>
        <w:jc w:val="both"/>
        <w:rPr>
          <w:rFonts w:ascii="times new roman" w:hAnsi="times new roman"/>
          <w:sz w:val="20"/>
        </w:rPr>
      </w:pPr>
      <w:r>
        <w:rPr>
          <w:rFonts w:ascii="times new roman" w:hAnsi="times new roman"/>
          <w:sz w:val="20"/>
        </w:rPr>
        <w:t>(c) The number of Shares issuable to the Grantee is subject to adjustment for any stock splits, reverse stock splits and other recapitalizations that take effect prior to the Vesting Date.</w:t>
      </w:r>
    </w:p>
    <w:p>
      <w:pPr>
        <w:pStyle w:val="TextBody"/>
        <w:spacing w:before="0" w:after="0"/>
        <w:ind w:left="0" w:right="0" w:hanging="0"/>
        <w:jc w:val="both"/>
        <w:rPr/>
      </w:pPr>
      <w:r>
        <w:rPr/>
        <w:t> </w:t>
      </w:r>
      <w:r>
        <w:br w:type="page"/>
      </w:r>
    </w:p>
    <w:tbl>
      <w:tblPr>
        <w:tblW w:w="230" w:type="dxa"/>
        <w:jc w:val="left"/>
        <w:tblInd w:w="0" w:type="dxa"/>
        <w:tblCellMar>
          <w:top w:w="0" w:type="dxa"/>
          <w:left w:w="0" w:type="dxa"/>
          <w:bottom w:w="0" w:type="dxa"/>
          <w:right w:w="0" w:type="dxa"/>
        </w:tblCellMar>
      </w:tblPr>
      <w:tblGrid>
        <w:gridCol w:w="230"/>
      </w:tblGrid>
      <w:tr>
        <w:trPr/>
        <w:tc>
          <w:tcPr>
            <w:tcW w:w="230" w:type="dxa"/>
            <w:tcBorders/>
            <w:shd w:fill="auto" w:val="clear"/>
            <w:vAlign w:val="center"/>
          </w:tcPr>
          <w:p>
            <w:pPr>
              <w:pStyle w:val="TableContents"/>
              <w:spacing w:before="0" w:after="283"/>
              <w:ind w:left="0" w:right="0" w:hanging="0"/>
              <w:rPr/>
            </w:pPr>
            <w:r>
              <w:rPr/>
              <w:t> </w:t>
            </w:r>
          </w:p>
        </w:tc>
      </w:tr>
      <w:tr>
        <w:trPr/>
        <w:tc>
          <w:tcPr>
            <w:tcW w:w="230" w:type="dxa"/>
            <w:tcBorders>
              <w:bottom w:val="single" w:sz="2" w:space="0" w:color="000000"/>
            </w:tcBorders>
            <w:shd w:fill="auto" w:val="clear"/>
            <w:tcMar>
              <w:bottom w:w="28" w:type="dxa"/>
            </w:tcMar>
            <w:vAlign w:val="center"/>
          </w:tcPr>
          <w:p>
            <w:pPr>
              <w:pStyle w:val="TableContents"/>
              <w:spacing w:before="0" w:after="283"/>
              <w:jc w:val="center"/>
              <w:rPr/>
            </w:pPr>
            <w:r>
              <w:rPr/>
              <w:t>1</w:t>
            </w:r>
          </w:p>
        </w:tc>
      </w:tr>
      <w:tr>
        <w:trPr/>
        <w:tc>
          <w:tcPr>
            <w:tcW w:w="230" w:type="dxa"/>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firstLine="675"/>
        <w:jc w:val="both"/>
        <w:rPr/>
      </w:pPr>
      <w:r>
        <w:rPr>
          <w:rFonts w:ascii="times new roman" w:hAnsi="times new roman"/>
          <w:sz w:val="20"/>
        </w:rPr>
        <w:t xml:space="preserve">4. </w:t>
      </w:r>
      <w:r>
        <w:rPr>
          <w:rStyle w:val="StrongEmphasis"/>
          <w:rFonts w:ascii="times new roman" w:hAnsi="times new roman"/>
          <w:sz w:val="20"/>
          <w:u w:val="single"/>
        </w:rPr>
        <w:t>INCORPORATION BY REFERENCE</w:t>
      </w:r>
      <w:r>
        <w:rPr>
          <w:rFonts w:ascii="times new roman" w:hAnsi="times new roman"/>
          <w:sz w:val="20"/>
        </w:rPr>
        <w:t>. The terms and conditions of the Plan are hereby incorporated by reference and made a part hereof.</w:t>
      </w:r>
    </w:p>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 xml:space="preserve">5. </w:t>
      </w:r>
      <w:r>
        <w:rPr>
          <w:rStyle w:val="StrongEmphasis"/>
          <w:rFonts w:ascii="times new roman" w:hAnsi="times new roman"/>
          <w:sz w:val="20"/>
          <w:u w:val="single"/>
        </w:rPr>
        <w:t>NOTICES</w:t>
      </w:r>
      <w:r>
        <w:rPr>
          <w:rFonts w:ascii="times new roman" w:hAnsi="times new roman"/>
          <w:sz w:val="20"/>
        </w:rPr>
        <w:t>. Any notice or other communication given hereunder shall be deemed sufficient if in writing and hand delivered or sent by registered or certified mail, return receipt requested, addressed to the addressed to the Company, 15 Joys Lane, Kingston, New York 12401, Attention: CEO and to the Grantee at the address indicated below, or, in each case, at such other address notice of which is given in accordance with the foregoing provisions. Notices shall be deemed to have been given on the date of hand delivery or mailing as provided for above, except notices of change of address, which shall be deemed to have been given when received.</w:t>
      </w:r>
    </w:p>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 xml:space="preserve">6. </w:t>
      </w:r>
      <w:r>
        <w:rPr>
          <w:rStyle w:val="StrongEmphasis"/>
          <w:rFonts w:ascii="times new roman" w:hAnsi="times new roman"/>
          <w:sz w:val="20"/>
          <w:u w:val="single"/>
        </w:rPr>
        <w:t>BINDING EFFECT</w:t>
      </w:r>
      <w:r>
        <w:rPr>
          <w:rFonts w:ascii="times new roman" w:hAnsi="times new roman"/>
          <w:sz w:val="20"/>
        </w:rPr>
        <w:t>. This Stock Grant Agreement shall be binding upon and inure to the benefit of the parties hereto and their respective legal representatives, successors and assigns.</w:t>
      </w:r>
    </w:p>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 xml:space="preserve">7. </w:t>
      </w:r>
      <w:r>
        <w:rPr>
          <w:rStyle w:val="StrongEmphasis"/>
          <w:rFonts w:ascii="times new roman" w:hAnsi="times new roman"/>
          <w:sz w:val="20"/>
          <w:u w:val="single"/>
        </w:rPr>
        <w:t>ENTIRE AGREEMENT</w:t>
      </w:r>
      <w:r>
        <w:rPr>
          <w:rFonts w:ascii="times new roman" w:hAnsi="times new roman"/>
          <w:sz w:val="20"/>
        </w:rPr>
        <w:t>. This Stock Grant Agreement, together with the Plan, contains the entire understanding of the parties hereto with respect to the subject matter hereof and may be modified only by an instrument executed by the party sought to be charged.</w:t>
      </w:r>
    </w:p>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 xml:space="preserve">8. </w:t>
      </w:r>
      <w:r>
        <w:rPr>
          <w:rStyle w:val="StrongEmphasis"/>
          <w:rFonts w:ascii="times new roman" w:hAnsi="times new roman"/>
          <w:sz w:val="20"/>
          <w:u w:val="single"/>
        </w:rPr>
        <w:t>GOVERNING LAW</w:t>
      </w:r>
      <w:r>
        <w:rPr>
          <w:rFonts w:ascii="times new roman" w:hAnsi="times new roman"/>
          <w:sz w:val="20"/>
        </w:rPr>
        <w:t>. This Stock Grant Agreement shall be governed by, and construed in accordance with, the laws of the State of Delaware, excluding choice of law rules thereof.</w:t>
      </w:r>
    </w:p>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 xml:space="preserve">9. </w:t>
      </w:r>
      <w:r>
        <w:rPr>
          <w:rStyle w:val="StrongEmphasis"/>
          <w:rFonts w:ascii="times new roman" w:hAnsi="times new roman"/>
          <w:sz w:val="20"/>
          <w:u w:val="single"/>
        </w:rPr>
        <w:t>EXECUTION IN COUNTERPARTS</w:t>
      </w:r>
      <w:r>
        <w:rPr>
          <w:rFonts w:ascii="times new roman" w:hAnsi="times new roman"/>
          <w:sz w:val="20"/>
        </w:rPr>
        <w:t>. This Stock Grant Agreement may be executed in counterparts, each of which shall be deemed to be an original, but both of which together shall constitute one and the same instrument.</w:t>
      </w:r>
    </w:p>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 xml:space="preserve">10. </w:t>
      </w:r>
      <w:r>
        <w:rPr>
          <w:rStyle w:val="StrongEmphasis"/>
          <w:rFonts w:ascii="times new roman" w:hAnsi="times new roman"/>
          <w:sz w:val="20"/>
          <w:u w:val="single"/>
        </w:rPr>
        <w:t>FACSIMILE SIGNATURES</w:t>
      </w:r>
      <w:r>
        <w:rPr>
          <w:rFonts w:ascii="times new roman" w:hAnsi="times new roman"/>
          <w:sz w:val="20"/>
        </w:rPr>
        <w:t>. Signatures hereon which are transmitted via facsimile, or other electronic image, shall be deemed original signatures.</w:t>
      </w:r>
    </w:p>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 xml:space="preserve">11. </w:t>
      </w:r>
      <w:r>
        <w:rPr>
          <w:rStyle w:val="StrongEmphasis"/>
          <w:rFonts w:ascii="times new roman" w:hAnsi="times new roman"/>
          <w:sz w:val="20"/>
          <w:u w:val="single"/>
        </w:rPr>
        <w:t>INTERPRETATION; HEADINGS</w:t>
      </w:r>
      <w:r>
        <w:rPr>
          <w:rFonts w:ascii="times new roman" w:hAnsi="times new roman"/>
          <w:sz w:val="20"/>
        </w:rPr>
        <w:t>. The provisions of this Stock Grant Agreement shall be interpreted in a reasonable manner to give effect to the intent of the parties hereto. The headings and captions under sections and paragraphs of this Stock Grant Agreement are for convenience of reference only and do not in any way modify, interpret or construe the intent of the parties or affect any of the provisions of this Stock Grant Agreement.</w:t>
      </w:r>
    </w:p>
    <w:p>
      <w:pPr>
        <w:pStyle w:val="TextBody"/>
        <w:spacing w:before="0" w:after="0"/>
        <w:ind w:left="0" w:right="0" w:hanging="0"/>
        <w:jc w:val="both"/>
        <w:rPr/>
      </w:pPr>
      <w:r>
        <w:rPr/>
        <w:t> </w:t>
      </w:r>
    </w:p>
    <w:p>
      <w:pPr>
        <w:pStyle w:val="TextBody"/>
        <w:spacing w:before="0" w:after="0"/>
        <w:ind w:left="0" w:right="0" w:hanging="0"/>
        <w:jc w:val="center"/>
        <w:rPr/>
      </w:pPr>
      <w:r>
        <w:rPr>
          <w:rFonts w:ascii="times new roman" w:hAnsi="times new roman"/>
          <w:sz w:val="20"/>
        </w:rPr>
        <w:t>[</w:t>
      </w:r>
      <w:r>
        <w:rPr>
          <w:rStyle w:val="Emphasis"/>
          <w:rFonts w:ascii="times new roman" w:hAnsi="times new roman"/>
          <w:sz w:val="20"/>
        </w:rPr>
        <w:t>Remainder of page intentionally left blank; signature page follows</w:t>
      </w:r>
      <w:r>
        <w:rPr>
          <w:rFonts w:ascii="times new roman" w:hAnsi="times new roman"/>
          <w:sz w:val="20"/>
        </w:rPr>
        <w:t>]</w:t>
      </w:r>
    </w:p>
    <w:p>
      <w:pPr>
        <w:pStyle w:val="TextBody"/>
        <w:spacing w:before="0" w:after="0"/>
        <w:ind w:left="0" w:right="0" w:hanging="0"/>
        <w:jc w:val="both"/>
        <w:rPr/>
      </w:pPr>
      <w:r>
        <w:rPr/>
        <w:t> </w:t>
      </w:r>
      <w:r>
        <w:br w:type="page"/>
      </w:r>
    </w:p>
    <w:tbl>
      <w:tblPr>
        <w:tblW w:w="230" w:type="dxa"/>
        <w:jc w:val="left"/>
        <w:tblInd w:w="0" w:type="dxa"/>
        <w:tblCellMar>
          <w:top w:w="0" w:type="dxa"/>
          <w:left w:w="0" w:type="dxa"/>
          <w:bottom w:w="0" w:type="dxa"/>
          <w:right w:w="0" w:type="dxa"/>
        </w:tblCellMar>
      </w:tblPr>
      <w:tblGrid>
        <w:gridCol w:w="230"/>
      </w:tblGrid>
      <w:tr>
        <w:trPr/>
        <w:tc>
          <w:tcPr>
            <w:tcW w:w="230" w:type="dxa"/>
            <w:tcBorders/>
            <w:shd w:fill="auto" w:val="clear"/>
            <w:vAlign w:val="center"/>
          </w:tcPr>
          <w:p>
            <w:pPr>
              <w:pStyle w:val="TableContents"/>
              <w:spacing w:before="0" w:after="283"/>
              <w:ind w:left="0" w:right="0" w:hanging="0"/>
              <w:rPr/>
            </w:pPr>
            <w:r>
              <w:rPr/>
              <w:t> </w:t>
            </w:r>
          </w:p>
        </w:tc>
      </w:tr>
      <w:tr>
        <w:trPr/>
        <w:tc>
          <w:tcPr>
            <w:tcW w:w="230" w:type="dxa"/>
            <w:tcBorders>
              <w:bottom w:val="single" w:sz="2" w:space="0" w:color="000000"/>
            </w:tcBorders>
            <w:shd w:fill="auto" w:val="clear"/>
            <w:tcMar>
              <w:bottom w:w="28" w:type="dxa"/>
            </w:tcMar>
            <w:vAlign w:val="center"/>
          </w:tcPr>
          <w:p>
            <w:pPr>
              <w:pStyle w:val="TableContents"/>
              <w:spacing w:before="0" w:after="283"/>
              <w:jc w:val="center"/>
              <w:rPr/>
            </w:pPr>
            <w:r>
              <w:rPr/>
              <w:t>2</w:t>
            </w:r>
          </w:p>
        </w:tc>
      </w:tr>
      <w:tr>
        <w:trPr/>
        <w:tc>
          <w:tcPr>
            <w:tcW w:w="230" w:type="dxa"/>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firstLine="675"/>
        <w:jc w:val="both"/>
        <w:rPr/>
      </w:pPr>
      <w:r>
        <w:rPr>
          <w:rStyle w:val="StrongEmphasis"/>
          <w:rFonts w:ascii="times new roman" w:hAnsi="times new roman"/>
          <w:sz w:val="20"/>
        </w:rPr>
        <w:t>IN WITNESS WHEREOF</w:t>
      </w:r>
      <w:r>
        <w:rPr>
          <w:rFonts w:ascii="times new roman" w:hAnsi="times new roman"/>
          <w:sz w:val="20"/>
        </w:rPr>
        <w:t>, the parties have executed this Stock Grant Agreement as of the day and year first above written.</w:t>
      </w:r>
    </w:p>
    <w:p>
      <w:pPr>
        <w:pStyle w:val="TextBody"/>
        <w:spacing w:before="0" w:after="0"/>
        <w:ind w:left="0" w:right="0" w:hanging="0"/>
        <w:jc w:val="both"/>
        <w:rPr/>
      </w:pPr>
      <w:r>
        <w:rPr/>
        <w:t> </w:t>
      </w:r>
    </w:p>
    <w:tbl>
      <w:tblPr>
        <w:tblW w:w="3154" w:type="dxa"/>
        <w:jc w:val="left"/>
        <w:tblInd w:w="0" w:type="dxa"/>
        <w:tblCellMar>
          <w:top w:w="0" w:type="dxa"/>
          <w:left w:w="0" w:type="dxa"/>
          <w:bottom w:w="0" w:type="dxa"/>
          <w:right w:w="0" w:type="dxa"/>
        </w:tblCellMar>
      </w:tblPr>
      <w:tblGrid>
        <w:gridCol w:w="105"/>
        <w:gridCol w:w="439"/>
        <w:gridCol w:w="2475"/>
        <w:gridCol w:w="135"/>
      </w:tblGrid>
      <w:tr>
        <w:trPr/>
        <w:tc>
          <w:tcPr>
            <w:tcW w:w="105" w:type="dxa"/>
            <w:tcBorders/>
            <w:shd w:fill="auto" w:val="clear"/>
            <w:vAlign w:val="center"/>
          </w:tcPr>
          <w:p>
            <w:pPr>
              <w:pStyle w:val="TableContents"/>
              <w:spacing w:before="0" w:after="0"/>
              <w:ind w:left="0" w:right="0" w:hanging="0"/>
              <w:rPr/>
            </w:pPr>
            <w:r>
              <w:rPr/>
              <w:t> </w:t>
            </w:r>
          </w:p>
        </w:tc>
        <w:tc>
          <w:tcPr>
            <w:tcW w:w="2914" w:type="dxa"/>
            <w:gridSpan w:val="2"/>
            <w:tcBorders/>
            <w:shd w:fill="auto" w:val="clear"/>
            <w:vAlign w:val="center"/>
          </w:tcPr>
          <w:p>
            <w:pPr>
              <w:pStyle w:val="TableContents"/>
              <w:spacing w:before="0" w:after="0"/>
              <w:ind w:left="0" w:right="0" w:hanging="0"/>
              <w:jc w:val="both"/>
              <w:rPr/>
            </w:pPr>
            <w:r>
              <w:rPr>
                <w:rStyle w:val="StrongEmphasis"/>
                <w:rFonts w:ascii="times new roman" w:hAnsi="times new roman"/>
                <w:sz w:val="20"/>
              </w:rPr>
              <w:t>KINGSTONE COMPANIES, INC.</w:t>
            </w:r>
          </w:p>
        </w:tc>
        <w:tc>
          <w:tcPr>
            <w:tcW w:w="13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439" w:type="dxa"/>
            <w:tcBorders/>
            <w:shd w:fill="auto" w:val="clear"/>
            <w:vAlign w:val="center"/>
          </w:tcPr>
          <w:p>
            <w:pPr>
              <w:pStyle w:val="TableContents"/>
              <w:spacing w:before="0" w:after="0"/>
              <w:ind w:left="0" w:right="0" w:hanging="0"/>
              <w:jc w:val="both"/>
              <w:rPr/>
            </w:pPr>
            <w:r>
              <w:rPr/>
              <w:t> </w:t>
            </w:r>
          </w:p>
        </w:tc>
        <w:tc>
          <w:tcPr>
            <w:tcW w:w="2475" w:type="dxa"/>
            <w:tcBorders/>
            <w:shd w:fill="auto" w:val="clear"/>
            <w:vAlign w:val="center"/>
          </w:tcPr>
          <w:p>
            <w:pPr>
              <w:pStyle w:val="TableContents"/>
              <w:spacing w:before="0" w:after="0"/>
              <w:ind w:left="0" w:right="0" w:hanging="0"/>
              <w:jc w:val="both"/>
              <w:rPr/>
            </w:pPr>
            <w:r>
              <w:rPr/>
              <w:t> </w:t>
            </w:r>
          </w:p>
        </w:tc>
        <w:tc>
          <w:tcPr>
            <w:tcW w:w="13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439"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By:</w:t>
            </w:r>
          </w:p>
        </w:tc>
        <w:tc>
          <w:tcPr>
            <w:tcW w:w="2475" w:type="dxa"/>
            <w:tcBorders>
              <w:bottom w:val="single" w:sz="2" w:space="0" w:color="000000"/>
            </w:tcBorders>
            <w:shd w:fill="auto" w:val="clear"/>
            <w:tcMar>
              <w:bottom w:w="28" w:type="dxa"/>
            </w:tcMar>
            <w:vAlign w:val="center"/>
          </w:tcPr>
          <w:p>
            <w:pPr>
              <w:pStyle w:val="TableContents"/>
              <w:spacing w:before="0" w:after="0"/>
              <w:ind w:left="0" w:right="0" w:hanging="0"/>
              <w:jc w:val="both"/>
              <w:rPr/>
            </w:pPr>
            <w:r>
              <w:rPr/>
              <w:t> </w:t>
            </w:r>
          </w:p>
        </w:tc>
        <w:tc>
          <w:tcPr>
            <w:tcW w:w="13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439" w:type="dxa"/>
            <w:tcBorders/>
            <w:shd w:fill="auto" w:val="clear"/>
            <w:vAlign w:val="center"/>
          </w:tcPr>
          <w:p>
            <w:pPr>
              <w:pStyle w:val="TableContents"/>
              <w:spacing w:before="0" w:after="0"/>
              <w:ind w:left="0" w:right="0" w:hanging="0"/>
              <w:jc w:val="both"/>
              <w:rPr/>
            </w:pPr>
            <w:r>
              <w:rPr/>
              <w:t> </w:t>
            </w:r>
          </w:p>
        </w:tc>
        <w:tc>
          <w:tcPr>
            <w:tcW w:w="2475"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Barry B. Goldstein</w:t>
            </w:r>
          </w:p>
        </w:tc>
        <w:tc>
          <w:tcPr>
            <w:tcW w:w="13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439" w:type="dxa"/>
            <w:tcBorders/>
            <w:shd w:fill="auto" w:val="clear"/>
            <w:vAlign w:val="center"/>
          </w:tcPr>
          <w:p>
            <w:pPr>
              <w:pStyle w:val="TableContents"/>
              <w:spacing w:before="0" w:after="0"/>
              <w:ind w:left="0" w:right="0" w:hanging="0"/>
              <w:jc w:val="both"/>
              <w:rPr/>
            </w:pPr>
            <w:r>
              <w:rPr/>
              <w:t> </w:t>
            </w:r>
          </w:p>
        </w:tc>
        <w:tc>
          <w:tcPr>
            <w:tcW w:w="2475"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Chief Executive Officer</w:t>
            </w:r>
          </w:p>
        </w:tc>
        <w:tc>
          <w:tcPr>
            <w:tcW w:w="13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439" w:type="dxa"/>
            <w:tcBorders/>
            <w:shd w:fill="auto" w:val="clear"/>
            <w:vAlign w:val="center"/>
          </w:tcPr>
          <w:p>
            <w:pPr>
              <w:pStyle w:val="TableContents"/>
              <w:spacing w:before="0" w:after="0"/>
              <w:ind w:left="0" w:right="0" w:hanging="0"/>
              <w:jc w:val="both"/>
              <w:rPr/>
            </w:pPr>
            <w:r>
              <w:rPr/>
              <w:t> </w:t>
            </w:r>
          </w:p>
        </w:tc>
        <w:tc>
          <w:tcPr>
            <w:tcW w:w="2475" w:type="dxa"/>
            <w:tcBorders/>
            <w:shd w:fill="auto" w:val="clear"/>
            <w:vAlign w:val="center"/>
          </w:tcPr>
          <w:p>
            <w:pPr>
              <w:pStyle w:val="TableContents"/>
              <w:spacing w:before="0" w:after="0"/>
              <w:ind w:left="0" w:right="0" w:hanging="0"/>
              <w:jc w:val="both"/>
              <w:rPr/>
            </w:pPr>
            <w:r>
              <w:rPr/>
              <w:t> </w:t>
            </w:r>
          </w:p>
        </w:tc>
        <w:tc>
          <w:tcPr>
            <w:tcW w:w="13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2914" w:type="dxa"/>
            <w:gridSpan w:val="2"/>
            <w:tcBorders>
              <w:bottom w:val="single" w:sz="2" w:space="0" w:color="000000"/>
            </w:tcBorders>
            <w:shd w:fill="auto" w:val="clear"/>
            <w:tcMar>
              <w:bottom w:w="28" w:type="dxa"/>
            </w:tcMar>
            <w:vAlign w:val="center"/>
          </w:tcPr>
          <w:p>
            <w:pPr>
              <w:pStyle w:val="TableContents"/>
              <w:spacing w:before="0" w:after="0"/>
              <w:ind w:left="0" w:right="0" w:hanging="0"/>
              <w:jc w:val="both"/>
              <w:rPr/>
            </w:pPr>
            <w:r>
              <w:rPr/>
              <w:t> </w:t>
            </w:r>
          </w:p>
        </w:tc>
        <w:tc>
          <w:tcPr>
            <w:tcW w:w="13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2914" w:type="dxa"/>
            <w:gridSpan w:val="2"/>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Signature of Grantee</w:t>
            </w:r>
          </w:p>
        </w:tc>
        <w:tc>
          <w:tcPr>
            <w:tcW w:w="13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439" w:type="dxa"/>
            <w:tcBorders/>
            <w:shd w:fill="auto" w:val="clear"/>
            <w:vAlign w:val="center"/>
          </w:tcPr>
          <w:p>
            <w:pPr>
              <w:pStyle w:val="TableContents"/>
              <w:spacing w:before="0" w:after="0"/>
              <w:ind w:left="0" w:right="0" w:hanging="0"/>
              <w:rPr/>
            </w:pPr>
            <w:r>
              <w:rPr/>
              <w:t> </w:t>
            </w:r>
          </w:p>
        </w:tc>
        <w:tc>
          <w:tcPr>
            <w:tcW w:w="2475" w:type="dxa"/>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2914" w:type="dxa"/>
            <w:gridSpan w:val="2"/>
            <w:tcBorders>
              <w:bottom w:val="single" w:sz="2" w:space="0" w:color="000000"/>
            </w:tcBorders>
            <w:shd w:fill="auto" w:val="clear"/>
            <w:tcMar>
              <w:bottom w:w="28" w:type="dxa"/>
            </w:tcMar>
            <w:vAlign w:val="center"/>
          </w:tcPr>
          <w:p>
            <w:pPr>
              <w:pStyle w:val="TableContents"/>
              <w:spacing w:before="0" w:after="0"/>
              <w:ind w:left="0" w:right="0" w:hanging="0"/>
              <w:rPr>
                <w:rFonts w:ascii="times new roman" w:hAnsi="times new roman"/>
                <w:sz w:val="20"/>
              </w:rPr>
            </w:pPr>
            <w:r>
              <w:rPr>
                <w:rFonts w:ascii="times new roman" w:hAnsi="times new roman"/>
                <w:sz w:val="20"/>
              </w:rPr>
              <w:t>Timothy P. McFadden</w:t>
            </w:r>
          </w:p>
        </w:tc>
        <w:tc>
          <w:tcPr>
            <w:tcW w:w="135" w:type="dxa"/>
            <w:tcBorders/>
            <w:shd w:fill="auto" w:val="clear"/>
            <w:vAlign w:val="center"/>
          </w:tcPr>
          <w:p>
            <w:pPr>
              <w:pStyle w:val="TableContents"/>
              <w:spacing w:before="0" w:after="0"/>
              <w:ind w:left="0" w:right="0" w:hanging="0"/>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2914" w:type="dxa"/>
            <w:gridSpan w:val="2"/>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Name of Grantee</w:t>
            </w:r>
          </w:p>
        </w:tc>
        <w:tc>
          <w:tcPr>
            <w:tcW w:w="13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439" w:type="dxa"/>
            <w:tcBorders/>
            <w:shd w:fill="auto" w:val="clear"/>
            <w:vAlign w:val="center"/>
          </w:tcPr>
          <w:p>
            <w:pPr>
              <w:pStyle w:val="TableContents"/>
              <w:spacing w:before="0" w:after="0"/>
              <w:ind w:left="0" w:right="0" w:hanging="0"/>
              <w:rPr/>
            </w:pPr>
            <w:r>
              <w:rPr/>
              <w:t> </w:t>
            </w:r>
          </w:p>
        </w:tc>
        <w:tc>
          <w:tcPr>
            <w:tcW w:w="2475" w:type="dxa"/>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2914" w:type="dxa"/>
            <w:gridSpan w:val="2"/>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2914" w:type="dxa"/>
            <w:gridSpan w:val="2"/>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Address of Grantee</w:t>
            </w:r>
          </w:p>
        </w:tc>
        <w:tc>
          <w:tcPr>
            <w:tcW w:w="135" w:type="dxa"/>
            <w:tcBorders/>
            <w:shd w:fill="auto" w:val="clear"/>
            <w:vAlign w:val="center"/>
          </w:tcPr>
          <w:p>
            <w:pPr>
              <w:pStyle w:val="TableContents"/>
              <w:spacing w:before="0" w:after="0"/>
              <w:ind w:left="0" w:right="0" w:hanging="0"/>
              <w:jc w:val="both"/>
              <w:rPr/>
            </w:pPr>
            <w:r>
              <w:rPr/>
              <w:t> </w:t>
            </w:r>
          </w:p>
        </w:tc>
      </w:tr>
    </w:tbl>
    <w:p>
      <w:pPr>
        <w:pStyle w:val="TextBody"/>
        <w:spacing w:before="0" w:after="0"/>
        <w:ind w:left="0" w:right="0" w:hanging="0"/>
        <w:rPr/>
      </w:pPr>
      <w:r>
        <w:rPr/>
        <w:t> </w:t>
      </w:r>
    </w:p>
    <w:tbl>
      <w:tblPr>
        <w:tblW w:w="230" w:type="dxa"/>
        <w:jc w:val="left"/>
        <w:tblInd w:w="0" w:type="dxa"/>
        <w:tblCellMar>
          <w:top w:w="0" w:type="dxa"/>
          <w:left w:w="0" w:type="dxa"/>
          <w:bottom w:w="0" w:type="dxa"/>
          <w:right w:w="0" w:type="dxa"/>
        </w:tblCellMar>
      </w:tblPr>
      <w:tblGrid>
        <w:gridCol w:w="230"/>
      </w:tblGrid>
      <w:tr>
        <w:trPr/>
        <w:tc>
          <w:tcPr>
            <w:tcW w:w="230" w:type="dxa"/>
            <w:tcBorders/>
            <w:shd w:fill="auto" w:val="clear"/>
            <w:vAlign w:val="center"/>
          </w:tcPr>
          <w:p>
            <w:pPr>
              <w:pStyle w:val="TableContents"/>
              <w:spacing w:before="0" w:after="283"/>
              <w:ind w:left="0" w:right="0" w:hanging="0"/>
              <w:rPr/>
            </w:pPr>
            <w:r>
              <w:rPr/>
              <w:t> </w:t>
            </w:r>
          </w:p>
        </w:tc>
      </w:tr>
      <w:tr>
        <w:trPr/>
        <w:tc>
          <w:tcPr>
            <w:tcW w:w="230" w:type="dxa"/>
            <w:tcBorders>
              <w:bottom w:val="single" w:sz="2" w:space="0" w:color="000000"/>
            </w:tcBorders>
            <w:shd w:fill="auto" w:val="clear"/>
            <w:tcMar>
              <w:bottom w:w="28" w:type="dxa"/>
            </w:tcMar>
            <w:vAlign w:val="center"/>
          </w:tcPr>
          <w:p>
            <w:pPr>
              <w:pStyle w:val="TableContents"/>
              <w:spacing w:before="0" w:after="283"/>
              <w:jc w:val="center"/>
              <w:rPr/>
            </w:pPr>
            <w:r>
              <w:rPr/>
              <w:t>3</w:t>
            </w:r>
          </w:p>
        </w:tc>
      </w:tr>
    </w:tbl>
    <w:p>
      <w:pPr>
        <w:pStyle w:val="TextBody"/>
        <w:spacing w:before="0" w:after="0"/>
        <w:ind w:left="0" w:right="0" w:hanging="0"/>
        <w:rPr/>
      </w:pPr>
      <w:r>
        <w:rPr/>
        <w:t> </w:t>
      </w:r>
      <w:r>
        <w:br w:type="page"/>
      </w:r>
    </w:p>
    <w:p>
      <w:pPr>
        <w:pStyle w:val="TextBody"/>
        <w:spacing w:before="0" w:after="0"/>
        <w:ind w:left="0" w:right="0" w:hanging="0"/>
        <w:jc w:val="right"/>
        <w:rPr/>
      </w:pPr>
      <w:bookmarkStart w:id="42" w:name="king_ex10q.htm"/>
      <w:bookmarkStart w:id="43" w:name="ksking_ex10q"/>
      <w:bookmarkEnd w:id="42"/>
      <w:bookmarkEnd w:id="43"/>
      <w:r>
        <w:rPr>
          <w:rStyle w:val="StrongEmphasis"/>
          <w:rFonts w:ascii="times new roman" w:hAnsi="times new roman"/>
          <w:sz w:val="20"/>
        </w:rPr>
        <w:t>EXHIBIT 10(q)</w:t>
      </w:r>
    </w:p>
    <w:p>
      <w:pPr>
        <w:pStyle w:val="TextBody"/>
        <w:spacing w:before="0" w:after="0"/>
        <w:ind w:left="0" w:right="0" w:hanging="0"/>
        <w:jc w:val="center"/>
        <w:rPr/>
      </w:pPr>
      <w:r>
        <w:rPr/>
        <w:t> </w:t>
      </w:r>
    </w:p>
    <w:p>
      <w:pPr>
        <w:pStyle w:val="TextBody"/>
        <w:spacing w:before="0" w:after="0"/>
        <w:ind w:left="0" w:right="0" w:firstLine="675"/>
        <w:jc w:val="both"/>
        <w:rPr/>
      </w:pPr>
      <w:r>
        <w:rPr>
          <w:rStyle w:val="StrongEmphasis"/>
          <w:rFonts w:ascii="times new roman" w:hAnsi="times new roman"/>
          <w:sz w:val="20"/>
        </w:rPr>
        <w:t xml:space="preserve">STOCK GRANT AGREEMENT </w:t>
      </w:r>
      <w:r>
        <w:rPr>
          <w:rFonts w:ascii="times new roman" w:hAnsi="times new roman"/>
          <w:sz w:val="20"/>
        </w:rPr>
        <w:t xml:space="preserve">made as of the 3rd day of January, 2023 between </w:t>
      </w:r>
      <w:r>
        <w:rPr>
          <w:rStyle w:val="StrongEmphasis"/>
          <w:rFonts w:ascii="times new roman" w:hAnsi="times new roman"/>
          <w:sz w:val="20"/>
        </w:rPr>
        <w:t>KINGSTONE COMPANIES, INC.,</w:t>
      </w:r>
      <w:r>
        <w:rPr>
          <w:rFonts w:ascii="times new roman" w:hAnsi="times new roman"/>
          <w:sz w:val="20"/>
        </w:rPr>
        <w:t xml:space="preserve"> a Delaware corporation (the “Company”), and </w:t>
      </w:r>
      <w:r>
        <w:rPr>
          <w:rStyle w:val="StrongEmphasis"/>
          <w:rFonts w:ascii="times new roman" w:hAnsi="times new roman"/>
          <w:sz w:val="20"/>
        </w:rPr>
        <w:t xml:space="preserve">MERYL S. GOLDEN </w:t>
      </w:r>
      <w:r>
        <w:rPr>
          <w:rFonts w:ascii="times new roman" w:hAnsi="times new roman"/>
          <w:sz w:val="20"/>
        </w:rPr>
        <w:t>(the “Grantee”).</w:t>
      </w:r>
    </w:p>
    <w:p>
      <w:pPr>
        <w:pStyle w:val="TextBody"/>
        <w:spacing w:before="0" w:after="0"/>
        <w:ind w:left="0" w:right="0" w:hanging="0"/>
        <w:jc w:val="both"/>
        <w:rPr/>
      </w:pPr>
      <w:r>
        <w:rPr/>
        <w:t> </w:t>
      </w:r>
    </w:p>
    <w:p>
      <w:pPr>
        <w:pStyle w:val="TextBody"/>
        <w:spacing w:before="0" w:after="0"/>
        <w:ind w:left="0" w:right="0" w:firstLine="675"/>
        <w:jc w:val="both"/>
        <w:rPr/>
      </w:pPr>
      <w:r>
        <w:rPr>
          <w:rStyle w:val="StrongEmphasis"/>
          <w:rFonts w:ascii="times new roman" w:hAnsi="times new roman"/>
          <w:sz w:val="20"/>
        </w:rPr>
        <w:t>WHEREAS</w:t>
      </w:r>
      <w:r>
        <w:rPr>
          <w:rFonts w:ascii="times new roman" w:hAnsi="times new roman"/>
          <w:sz w:val="20"/>
        </w:rPr>
        <w:t>, the Grantee is an employee of the Company or a subsidiary thereof;</w:t>
      </w:r>
    </w:p>
    <w:p>
      <w:pPr>
        <w:pStyle w:val="TextBody"/>
        <w:spacing w:before="0" w:after="0"/>
        <w:ind w:left="0" w:right="0" w:hanging="0"/>
        <w:jc w:val="both"/>
        <w:rPr/>
      </w:pPr>
      <w:r>
        <w:rPr/>
        <w:t> </w:t>
      </w:r>
    </w:p>
    <w:p>
      <w:pPr>
        <w:pStyle w:val="TextBody"/>
        <w:spacing w:before="0" w:after="0"/>
        <w:ind w:left="0" w:right="0" w:firstLine="675"/>
        <w:jc w:val="both"/>
        <w:rPr/>
      </w:pPr>
      <w:r>
        <w:rPr>
          <w:rStyle w:val="StrongEmphasis"/>
          <w:rFonts w:ascii="times new roman" w:hAnsi="times new roman"/>
          <w:sz w:val="20"/>
        </w:rPr>
        <w:t>WHEREAS</w:t>
      </w:r>
      <w:r>
        <w:rPr>
          <w:rFonts w:ascii="times new roman" w:hAnsi="times new roman"/>
          <w:sz w:val="20"/>
        </w:rPr>
        <w:t>, the Company and the Grantee are parties to a Second Amended and Restated Employment Agreement dated as of June 27, 2022 (the “Employment Agreement”);</w:t>
      </w:r>
    </w:p>
    <w:p>
      <w:pPr>
        <w:pStyle w:val="TextBody"/>
        <w:spacing w:before="0" w:after="0"/>
        <w:ind w:left="0" w:right="0" w:hanging="0"/>
        <w:jc w:val="both"/>
        <w:rPr/>
      </w:pPr>
      <w:r>
        <w:rPr/>
        <w:t> </w:t>
      </w:r>
    </w:p>
    <w:p>
      <w:pPr>
        <w:pStyle w:val="TextBody"/>
        <w:spacing w:before="0" w:after="0"/>
        <w:ind w:left="0" w:right="0" w:firstLine="675"/>
        <w:jc w:val="both"/>
        <w:rPr/>
      </w:pPr>
      <w:r>
        <w:rPr>
          <w:rStyle w:val="StrongEmphasis"/>
          <w:rFonts w:ascii="times new roman" w:hAnsi="times new roman"/>
          <w:sz w:val="20"/>
        </w:rPr>
        <w:t>WHEREAS</w:t>
      </w:r>
      <w:r>
        <w:rPr>
          <w:rFonts w:ascii="times new roman" w:hAnsi="times new roman"/>
          <w:sz w:val="20"/>
        </w:rPr>
        <w:t>, pursuant to the Employment Agreement, the Compensation Committee of the Board of Directors of the Company has approved the grant to the Grantee of common stock of the Company (“Common Stock”) pursuant to the Company’s Amended and Restated 2014 Equity Participation Plan (the “Plan”).</w:t>
      </w:r>
    </w:p>
    <w:p>
      <w:pPr>
        <w:pStyle w:val="TextBody"/>
        <w:spacing w:before="0" w:after="0"/>
        <w:ind w:left="0" w:right="0" w:hanging="0"/>
        <w:jc w:val="both"/>
        <w:rPr/>
      </w:pPr>
      <w:r>
        <w:rPr/>
        <w:t> </w:t>
      </w:r>
    </w:p>
    <w:p>
      <w:pPr>
        <w:pStyle w:val="TextBody"/>
        <w:spacing w:before="0" w:after="0"/>
        <w:ind w:left="0" w:right="0" w:firstLine="675"/>
        <w:jc w:val="both"/>
        <w:rPr/>
      </w:pPr>
      <w:r>
        <w:rPr>
          <w:rStyle w:val="StrongEmphasis"/>
          <w:rFonts w:ascii="times new roman" w:hAnsi="times new roman"/>
          <w:sz w:val="20"/>
        </w:rPr>
        <w:t>NOW, THEREFORE</w:t>
      </w:r>
      <w:r>
        <w:rPr>
          <w:rFonts w:ascii="times new roman" w:hAnsi="times new roman"/>
          <w:sz w:val="20"/>
        </w:rPr>
        <w:t>, in consideration of the foregoing, the Company hereby grants to the Grantee an award of shares of Common Stock upon the following terms and conditions:</w:t>
      </w:r>
    </w:p>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 xml:space="preserve">1. </w:t>
      </w:r>
      <w:r>
        <w:rPr>
          <w:rStyle w:val="StrongEmphasis"/>
          <w:rFonts w:ascii="times new roman" w:hAnsi="times new roman"/>
          <w:sz w:val="20"/>
          <w:u w:val="single"/>
        </w:rPr>
        <w:t>DEFINED TERMS.</w:t>
      </w:r>
      <w:r>
        <w:rPr>
          <w:rFonts w:ascii="times new roman" w:hAnsi="times new roman"/>
          <w:sz w:val="20"/>
        </w:rPr>
        <w:t xml:space="preserve"> All terms used, but not otherwise defined, herein shall have the meanings ascribed to them in the Plan or the Employment Agreement. </w:t>
      </w:r>
    </w:p>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 xml:space="preserve">2. </w:t>
      </w:r>
      <w:r>
        <w:rPr>
          <w:rStyle w:val="StrongEmphasis"/>
          <w:rFonts w:ascii="times new roman" w:hAnsi="times new roman"/>
          <w:sz w:val="20"/>
          <w:u w:val="single"/>
        </w:rPr>
        <w:t>GRANT</w:t>
      </w:r>
      <w:r>
        <w:rPr>
          <w:rFonts w:ascii="times new roman" w:hAnsi="times new roman"/>
          <w:sz w:val="20"/>
        </w:rPr>
        <w:t>. Subject to the terms and conditions of the Plan and the provisions hereof, the Company hereby agrees to grant to the Grantee, pursuant to Section 16 of the Plan, an award of one hundred one thousand one hundred eleven (101,111) shares of Common Stock (the “Shares”), such Shares being issuable on the Vesting Dates (as hereinafter defined) set forth in, and subject to the provisions of, Section 3 hereof.</w:t>
      </w:r>
    </w:p>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 xml:space="preserve">3. </w:t>
      </w:r>
      <w:r>
        <w:rPr>
          <w:rStyle w:val="StrongEmphasis"/>
          <w:rFonts w:ascii="times new roman" w:hAnsi="times new roman"/>
          <w:sz w:val="20"/>
          <w:u w:val="single"/>
        </w:rPr>
        <w:t>VESTING OF SHARES</w:t>
      </w:r>
      <w:r>
        <w:rPr>
          <w:rFonts w:ascii="times new roman" w:hAnsi="times new roman"/>
          <w:sz w:val="20"/>
        </w:rPr>
        <w:t>. (a) The Shares shall vest on the Vesting Dates set forth below, provided that the Grantee continues to serve as an employee of the Company or a subsidiary thereof as of the applicable Vesting Date (or sooner as provided for in paragraph (c) hereof), subject to the provisions of the Plan:</w:t>
      </w:r>
    </w:p>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105"/>
        <w:gridCol w:w="540"/>
        <w:gridCol w:w="9560"/>
      </w:tblGrid>
      <w:tr>
        <w:trPr/>
        <w:tc>
          <w:tcPr>
            <w:tcW w:w="105" w:type="dxa"/>
            <w:tcBorders/>
            <w:shd w:fill="auto" w:val="clear"/>
            <w:vAlign w:val="center"/>
          </w:tcPr>
          <w:p>
            <w:pPr>
              <w:pStyle w:val="TableContents"/>
              <w:spacing w:before="0" w:after="0"/>
              <w:ind w:left="0" w:right="0" w:hanging="0"/>
              <w:rPr/>
            </w:pPr>
            <w:r>
              <w:rPr/>
              <w:t> </w:t>
            </w:r>
          </w:p>
        </w:tc>
        <w:tc>
          <w:tcPr>
            <w:tcW w:w="540"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(i)</w:t>
            </w:r>
          </w:p>
        </w:tc>
        <w:tc>
          <w:tcPr>
            <w:tcW w:w="9560"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fifty thousand five hundred fifty-six (50,556) of the Shares on the first anniversary of the date hereof (the “First Vesting Date”); and</w:t>
            </w:r>
          </w:p>
        </w:tc>
      </w:tr>
      <w:tr>
        <w:trPr/>
        <w:tc>
          <w:tcPr>
            <w:tcW w:w="105" w:type="dxa"/>
            <w:tcBorders/>
            <w:shd w:fill="auto" w:val="clear"/>
            <w:vAlign w:val="center"/>
          </w:tcPr>
          <w:p>
            <w:pPr>
              <w:pStyle w:val="TableContents"/>
              <w:spacing w:before="0" w:after="0"/>
              <w:ind w:left="0" w:right="0" w:hanging="0"/>
              <w:jc w:val="both"/>
              <w:rPr/>
            </w:pPr>
            <w:r>
              <w:rPr/>
              <w:t> </w:t>
            </w:r>
          </w:p>
        </w:tc>
        <w:tc>
          <w:tcPr>
            <w:tcW w:w="540" w:type="dxa"/>
            <w:tcBorders/>
            <w:shd w:fill="auto" w:val="clear"/>
            <w:vAlign w:val="center"/>
          </w:tcPr>
          <w:p>
            <w:pPr>
              <w:pStyle w:val="TableContents"/>
              <w:spacing w:before="0" w:after="0"/>
              <w:ind w:left="0" w:right="0" w:firstLine="450"/>
              <w:jc w:val="both"/>
              <w:rPr/>
            </w:pPr>
            <w:r>
              <w:rPr/>
              <w:t> </w:t>
            </w:r>
          </w:p>
        </w:tc>
        <w:tc>
          <w:tcPr>
            <w:tcW w:w="9560"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jc w:val="both"/>
              <w:rPr/>
            </w:pPr>
            <w:r>
              <w:rPr/>
              <w:t> </w:t>
            </w:r>
          </w:p>
        </w:tc>
        <w:tc>
          <w:tcPr>
            <w:tcW w:w="540"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(ii)</w:t>
            </w:r>
          </w:p>
        </w:tc>
        <w:tc>
          <w:tcPr>
            <w:tcW w:w="9560"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fifty thousand five hundred fifty-five (50,555) of the Shares on December 31, 2024 (the “Second Vesting Date”); each of the First Vesting Date and the Second Vesting Date is referred to hereinafter as a “Vesting Date”.</w:t>
            </w:r>
          </w:p>
        </w:tc>
      </w:tr>
    </w:tbl>
    <w:p>
      <w:pPr>
        <w:pStyle w:val="TextBody"/>
        <w:spacing w:before="0" w:after="0"/>
        <w:ind w:left="0" w:right="0" w:hanging="0"/>
        <w:jc w:val="both"/>
        <w:rPr/>
      </w:pPr>
      <w:r>
        <w:rPr/>
        <w:t xml:space="preserve">    </w:t>
      </w:r>
    </w:p>
    <w:p>
      <w:pPr>
        <w:pStyle w:val="TextBody"/>
        <w:spacing w:before="0" w:after="0"/>
        <w:ind w:left="0" w:right="0" w:firstLine="1350"/>
        <w:jc w:val="both"/>
        <w:rPr>
          <w:rFonts w:ascii="times new roman" w:hAnsi="times new roman"/>
          <w:sz w:val="20"/>
        </w:rPr>
      </w:pPr>
      <w:r>
        <w:rPr>
          <w:rFonts w:ascii="times new roman" w:hAnsi="times new roman"/>
          <w:sz w:val="20"/>
        </w:rPr>
        <w:t>(b) Subject to the provisions of the Plan, in the event that the Grantee does not continue to serve as an employee of the Company or a subsidiary thereof as of a particular Vesting Date as a result of the termination of the Grantee’s employment for Cause or the Grantee’s resignation (other than for Good Reason), the Grantee shall not be entitled to receive any of the Shares issuable on such Vesting Date or thereafter, and this Agreement shall terminate and be of no further force or effect.</w:t>
      </w:r>
    </w:p>
    <w:p>
      <w:pPr>
        <w:pStyle w:val="TextBody"/>
        <w:spacing w:before="0" w:after="0"/>
        <w:ind w:left="0" w:right="0" w:hanging="0"/>
        <w:jc w:val="both"/>
        <w:rPr/>
      </w:pPr>
      <w:r>
        <w:rPr/>
        <w:t> </w:t>
      </w:r>
      <w:r>
        <w:br w:type="page"/>
      </w:r>
    </w:p>
    <w:tbl>
      <w:tblPr>
        <w:tblW w:w="230" w:type="dxa"/>
        <w:jc w:val="left"/>
        <w:tblInd w:w="0" w:type="dxa"/>
        <w:tblCellMar>
          <w:top w:w="0" w:type="dxa"/>
          <w:left w:w="0" w:type="dxa"/>
          <w:bottom w:w="0" w:type="dxa"/>
          <w:right w:w="0" w:type="dxa"/>
        </w:tblCellMar>
      </w:tblPr>
      <w:tblGrid>
        <w:gridCol w:w="230"/>
      </w:tblGrid>
      <w:tr>
        <w:trPr/>
        <w:tc>
          <w:tcPr>
            <w:tcW w:w="230" w:type="dxa"/>
            <w:tcBorders/>
            <w:shd w:fill="auto" w:val="clear"/>
            <w:vAlign w:val="center"/>
          </w:tcPr>
          <w:p>
            <w:pPr>
              <w:pStyle w:val="TableContents"/>
              <w:spacing w:before="0" w:after="283"/>
              <w:ind w:left="0" w:right="0" w:hanging="0"/>
              <w:rPr/>
            </w:pPr>
            <w:r>
              <w:rPr/>
              <w:t> </w:t>
            </w:r>
          </w:p>
        </w:tc>
      </w:tr>
      <w:tr>
        <w:trPr/>
        <w:tc>
          <w:tcPr>
            <w:tcW w:w="230" w:type="dxa"/>
            <w:tcBorders>
              <w:bottom w:val="single" w:sz="2" w:space="0" w:color="000000"/>
            </w:tcBorders>
            <w:shd w:fill="auto" w:val="clear"/>
            <w:tcMar>
              <w:bottom w:w="28" w:type="dxa"/>
            </w:tcMar>
            <w:vAlign w:val="center"/>
          </w:tcPr>
          <w:p>
            <w:pPr>
              <w:pStyle w:val="TableContents"/>
              <w:spacing w:before="0" w:after="283"/>
              <w:jc w:val="center"/>
              <w:rPr/>
            </w:pPr>
            <w:r>
              <w:rPr/>
              <w:t>1</w:t>
            </w:r>
          </w:p>
        </w:tc>
      </w:tr>
      <w:tr>
        <w:trPr/>
        <w:tc>
          <w:tcPr>
            <w:tcW w:w="230" w:type="dxa"/>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firstLine="1350"/>
        <w:jc w:val="both"/>
        <w:rPr>
          <w:rFonts w:ascii="times new roman" w:hAnsi="times new roman"/>
          <w:sz w:val="20"/>
        </w:rPr>
      </w:pPr>
      <w:r>
        <w:rPr>
          <w:rFonts w:ascii="times new roman" w:hAnsi="times new roman"/>
          <w:sz w:val="20"/>
        </w:rPr>
        <w:t>(c) In the event that, prior to a particular Vesting Date (i) the Grantee’s employment with the Company is terminated other than for Cause or (ii) the Grantee resigns her employment with the Company for Good Reason, the Shares that were scheduled to vest on such Vesting Date and thereafter shall instead vest on the date of termination of employment or the date of resignation of employment, as the case may be (the “Termination Date”).</w:t>
      </w:r>
    </w:p>
    <w:p>
      <w:pPr>
        <w:pStyle w:val="TextBody"/>
        <w:spacing w:before="0" w:after="0"/>
        <w:ind w:left="0" w:right="0" w:hanging="0"/>
        <w:jc w:val="both"/>
        <w:rPr/>
      </w:pPr>
      <w:r>
        <w:rPr/>
        <w:t> </w:t>
      </w:r>
    </w:p>
    <w:p>
      <w:pPr>
        <w:pStyle w:val="TextBody"/>
        <w:spacing w:before="0" w:after="0"/>
        <w:ind w:left="0" w:right="0" w:firstLine="1350"/>
        <w:jc w:val="both"/>
        <w:rPr>
          <w:rFonts w:ascii="times new roman" w:hAnsi="times new roman"/>
          <w:sz w:val="20"/>
        </w:rPr>
      </w:pPr>
      <w:r>
        <w:rPr>
          <w:rFonts w:ascii="times new roman" w:hAnsi="times new roman"/>
          <w:sz w:val="20"/>
        </w:rPr>
        <w:t>(d) In the event that Shares vest on a Vesting Date or the Termination Date, as the case may be, the certificate representing the portion of the Shares then vested shall be issued by the Company as soon as reasonably practicable thereafter.</w:t>
      </w:r>
    </w:p>
    <w:p>
      <w:pPr>
        <w:pStyle w:val="TextBody"/>
        <w:spacing w:before="0" w:after="0"/>
        <w:ind w:left="0" w:right="0" w:hanging="0"/>
        <w:jc w:val="both"/>
        <w:rPr/>
      </w:pPr>
      <w:r>
        <w:rPr/>
        <w:t> </w:t>
      </w:r>
    </w:p>
    <w:p>
      <w:pPr>
        <w:pStyle w:val="TextBody"/>
        <w:spacing w:before="0" w:after="0"/>
        <w:ind w:left="0" w:right="0" w:firstLine="1350"/>
        <w:jc w:val="both"/>
        <w:rPr>
          <w:rFonts w:ascii="times new roman" w:hAnsi="times new roman"/>
          <w:sz w:val="20"/>
        </w:rPr>
      </w:pPr>
      <w:r>
        <w:rPr>
          <w:rFonts w:ascii="times new roman" w:hAnsi="times new roman"/>
          <w:sz w:val="20"/>
        </w:rPr>
        <w:t>(e) The number of Shares issuable to the Grantee is subject to adjustment for any stock splits, reverse stock splits and other recapitalizations that take effect prior to a particular Vesting Date or the Termination Date, as the case may be.</w:t>
      </w:r>
    </w:p>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 xml:space="preserve">4. </w:t>
      </w:r>
      <w:r>
        <w:rPr>
          <w:rStyle w:val="StrongEmphasis"/>
          <w:rFonts w:ascii="times new roman" w:hAnsi="times new roman"/>
          <w:sz w:val="20"/>
          <w:u w:val="single"/>
        </w:rPr>
        <w:t>INCORPORATION BY REFERENCE</w:t>
      </w:r>
      <w:r>
        <w:rPr>
          <w:rFonts w:ascii="times new roman" w:hAnsi="times new roman"/>
          <w:sz w:val="20"/>
        </w:rPr>
        <w:t>. The terms and conditions of the Plan are hereby incorporated by reference and made a part hereof.</w:t>
      </w:r>
    </w:p>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 xml:space="preserve">5. </w:t>
      </w:r>
      <w:r>
        <w:rPr>
          <w:rStyle w:val="StrongEmphasis"/>
          <w:rFonts w:ascii="times new roman" w:hAnsi="times new roman"/>
          <w:sz w:val="20"/>
          <w:u w:val="single"/>
        </w:rPr>
        <w:t>NOTICES</w:t>
      </w:r>
      <w:r>
        <w:rPr>
          <w:rFonts w:ascii="times new roman" w:hAnsi="times new roman"/>
          <w:sz w:val="20"/>
        </w:rPr>
        <w:t>. Any notice or other communication given hereunder shall be deemed sufficient if in writing and hand delivered or sent by registered or certified mail, return receipt requested, addressed to the Company, 15 Joys Lane, Kingston, New York 12401, Attention: President and to the Grantee at the address indicated below, or, in each case, at such other address notice of which is given in accordance with the foregoing provisions. Notices shall be deemed to have been given on the date of hand delivery or mailing as provided for above, except notices of change of address, which shall be deemed to have been given when received.</w:t>
      </w:r>
    </w:p>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 xml:space="preserve">6. </w:t>
      </w:r>
      <w:r>
        <w:rPr>
          <w:rStyle w:val="StrongEmphasis"/>
          <w:rFonts w:ascii="times new roman" w:hAnsi="times new roman"/>
          <w:sz w:val="20"/>
          <w:u w:val="single"/>
        </w:rPr>
        <w:t>BINDING EFFECT</w:t>
      </w:r>
      <w:r>
        <w:rPr>
          <w:rFonts w:ascii="times new roman" w:hAnsi="times new roman"/>
          <w:sz w:val="20"/>
        </w:rPr>
        <w:t>. This Stock Grant Agreement shall be binding upon and inure to the benefit of the parties hereto and their respective legal representatives, successors and assigns.</w:t>
      </w:r>
    </w:p>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 xml:space="preserve">7. </w:t>
      </w:r>
      <w:r>
        <w:rPr>
          <w:rStyle w:val="StrongEmphasis"/>
          <w:rFonts w:ascii="times new roman" w:hAnsi="times new roman"/>
          <w:sz w:val="20"/>
          <w:u w:val="single"/>
        </w:rPr>
        <w:t>ENTIRE AGREEMENT</w:t>
      </w:r>
      <w:r>
        <w:rPr>
          <w:rFonts w:ascii="times new roman" w:hAnsi="times new roman"/>
          <w:sz w:val="20"/>
        </w:rPr>
        <w:t>. This Stock Grant Agreement, together with the Plan, contains the entire understanding of the parties hereto with respect to the subject matter hereof and may be modified only by an instrument executed by the party sought to be charged.</w:t>
      </w:r>
    </w:p>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 xml:space="preserve">8. </w:t>
      </w:r>
      <w:r>
        <w:rPr>
          <w:rStyle w:val="StrongEmphasis"/>
          <w:rFonts w:ascii="times new roman" w:hAnsi="times new roman"/>
          <w:sz w:val="20"/>
          <w:u w:val="single"/>
        </w:rPr>
        <w:t>GOVERNING LAW</w:t>
      </w:r>
      <w:r>
        <w:rPr>
          <w:rFonts w:ascii="times new roman" w:hAnsi="times new roman"/>
          <w:sz w:val="20"/>
        </w:rPr>
        <w:t>. This Stock Grant Agreement shall be governed by, and construed in accordance with, the laws of the State of Delaware, excluding choice of law rules thereof.</w:t>
      </w:r>
    </w:p>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 xml:space="preserve">9. </w:t>
      </w:r>
      <w:r>
        <w:rPr>
          <w:rStyle w:val="StrongEmphasis"/>
          <w:rFonts w:ascii="times new roman" w:hAnsi="times new roman"/>
          <w:sz w:val="20"/>
          <w:u w:val="single"/>
        </w:rPr>
        <w:t>EXECUTION IN COUNTERPARTS</w:t>
      </w:r>
      <w:r>
        <w:rPr>
          <w:rFonts w:ascii="times new roman" w:hAnsi="times new roman"/>
          <w:sz w:val="20"/>
        </w:rPr>
        <w:t>. This Stock Grant Agreement may be executed in counterparts, each of which shall be deemed to be an original, but both of which together shall constitute one and the same instrument.</w:t>
      </w:r>
    </w:p>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 xml:space="preserve">10. </w:t>
      </w:r>
      <w:r>
        <w:rPr>
          <w:rStyle w:val="StrongEmphasis"/>
          <w:rFonts w:ascii="times new roman" w:hAnsi="times new roman"/>
          <w:sz w:val="20"/>
          <w:u w:val="single"/>
        </w:rPr>
        <w:t>FACSIMILE SIGNATURES</w:t>
      </w:r>
      <w:r>
        <w:rPr>
          <w:rFonts w:ascii="times new roman" w:hAnsi="times new roman"/>
          <w:sz w:val="20"/>
        </w:rPr>
        <w:t>. Signatures hereon which are transmitted via facsimile, or other electronic image, shall be deemed original signatures.</w:t>
      </w:r>
    </w:p>
    <w:p>
      <w:pPr>
        <w:pStyle w:val="TextBody"/>
        <w:spacing w:before="0" w:after="0"/>
        <w:ind w:left="0" w:right="0" w:hanging="0"/>
        <w:jc w:val="both"/>
        <w:rPr/>
      </w:pPr>
      <w:r>
        <w:rPr/>
        <w:t> </w:t>
      </w:r>
    </w:p>
    <w:p>
      <w:pPr>
        <w:pStyle w:val="TextBody"/>
        <w:spacing w:before="0" w:after="0"/>
        <w:ind w:left="0" w:right="0" w:firstLine="675"/>
        <w:jc w:val="both"/>
        <w:rPr/>
      </w:pPr>
      <w:r>
        <w:rPr>
          <w:rFonts w:ascii="times new roman" w:hAnsi="times new roman"/>
          <w:sz w:val="20"/>
        </w:rPr>
        <w:t xml:space="preserve">11. </w:t>
      </w:r>
      <w:r>
        <w:rPr>
          <w:rStyle w:val="StrongEmphasis"/>
          <w:rFonts w:ascii="times new roman" w:hAnsi="times new roman"/>
          <w:sz w:val="20"/>
          <w:u w:val="single"/>
        </w:rPr>
        <w:t>INTERPRETATION; HEADINGS</w:t>
      </w:r>
      <w:r>
        <w:rPr>
          <w:rFonts w:ascii="times new roman" w:hAnsi="times new roman"/>
          <w:sz w:val="20"/>
        </w:rPr>
        <w:t>. The provisions of this Stock Grant Agreement shall be interpreted in a reasonable manner to give effect to the intent of the parties hereto. The headings and captions under sections and paragraphs of this Stock Grant Agreement are for convenience of reference only and do not in any way modify, interpret or construe the intent of the parties or affect any of the provisions of this Stock Grant Agreement.</w:t>
      </w:r>
    </w:p>
    <w:p>
      <w:pPr>
        <w:pStyle w:val="TextBody"/>
        <w:spacing w:before="0" w:after="0"/>
        <w:ind w:left="0" w:right="0" w:hanging="0"/>
        <w:jc w:val="both"/>
        <w:rPr/>
      </w:pPr>
      <w:r>
        <w:rPr/>
        <w:t> </w:t>
      </w:r>
      <w:r>
        <w:br w:type="page"/>
      </w:r>
    </w:p>
    <w:tbl>
      <w:tblPr>
        <w:tblW w:w="230" w:type="dxa"/>
        <w:jc w:val="left"/>
        <w:tblInd w:w="0" w:type="dxa"/>
        <w:tblCellMar>
          <w:top w:w="0" w:type="dxa"/>
          <w:left w:w="0" w:type="dxa"/>
          <w:bottom w:w="0" w:type="dxa"/>
          <w:right w:w="0" w:type="dxa"/>
        </w:tblCellMar>
      </w:tblPr>
      <w:tblGrid>
        <w:gridCol w:w="230"/>
      </w:tblGrid>
      <w:tr>
        <w:trPr/>
        <w:tc>
          <w:tcPr>
            <w:tcW w:w="230" w:type="dxa"/>
            <w:tcBorders/>
            <w:shd w:fill="auto" w:val="clear"/>
            <w:vAlign w:val="center"/>
          </w:tcPr>
          <w:p>
            <w:pPr>
              <w:pStyle w:val="TableContents"/>
              <w:spacing w:before="0" w:after="283"/>
              <w:ind w:left="0" w:right="0" w:hanging="0"/>
              <w:rPr/>
            </w:pPr>
            <w:r>
              <w:rPr/>
              <w:t> </w:t>
            </w:r>
          </w:p>
        </w:tc>
      </w:tr>
      <w:tr>
        <w:trPr/>
        <w:tc>
          <w:tcPr>
            <w:tcW w:w="230" w:type="dxa"/>
            <w:tcBorders>
              <w:bottom w:val="single" w:sz="2" w:space="0" w:color="000000"/>
            </w:tcBorders>
            <w:shd w:fill="auto" w:val="clear"/>
            <w:tcMar>
              <w:bottom w:w="28" w:type="dxa"/>
            </w:tcMar>
            <w:vAlign w:val="center"/>
          </w:tcPr>
          <w:p>
            <w:pPr>
              <w:pStyle w:val="TableContents"/>
              <w:spacing w:before="0" w:after="283"/>
              <w:jc w:val="center"/>
              <w:rPr/>
            </w:pPr>
            <w:r>
              <w:rPr/>
              <w:t>2</w:t>
            </w:r>
          </w:p>
        </w:tc>
      </w:tr>
      <w:tr>
        <w:trPr/>
        <w:tc>
          <w:tcPr>
            <w:tcW w:w="230" w:type="dxa"/>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firstLine="675"/>
        <w:jc w:val="both"/>
        <w:rPr/>
      </w:pPr>
      <w:r>
        <w:rPr>
          <w:rStyle w:val="StrongEmphasis"/>
          <w:rFonts w:ascii="times new roman" w:hAnsi="times new roman"/>
          <w:sz w:val="20"/>
        </w:rPr>
        <w:t>IN WITNESS WHEREOF</w:t>
      </w:r>
      <w:r>
        <w:rPr>
          <w:rFonts w:ascii="times new roman" w:hAnsi="times new roman"/>
          <w:sz w:val="20"/>
        </w:rPr>
        <w:t>, the parties have executed this Stock Grant Agreement as of the day and year first above written.</w:t>
      </w:r>
    </w:p>
    <w:p>
      <w:pPr>
        <w:pStyle w:val="TextBody"/>
        <w:spacing w:before="0" w:after="0"/>
        <w:ind w:left="0" w:right="0" w:hanging="0"/>
        <w:jc w:val="both"/>
        <w:rPr/>
      </w:pPr>
      <w:r>
        <w:rPr/>
        <w:t> </w:t>
      </w:r>
    </w:p>
    <w:tbl>
      <w:tblPr>
        <w:tblW w:w="3154" w:type="dxa"/>
        <w:jc w:val="left"/>
        <w:tblInd w:w="0" w:type="dxa"/>
        <w:tblCellMar>
          <w:top w:w="0" w:type="dxa"/>
          <w:left w:w="0" w:type="dxa"/>
          <w:bottom w:w="0" w:type="dxa"/>
          <w:right w:w="0" w:type="dxa"/>
        </w:tblCellMar>
      </w:tblPr>
      <w:tblGrid>
        <w:gridCol w:w="105"/>
        <w:gridCol w:w="439"/>
        <w:gridCol w:w="2475"/>
        <w:gridCol w:w="135"/>
      </w:tblGrid>
      <w:tr>
        <w:trPr/>
        <w:tc>
          <w:tcPr>
            <w:tcW w:w="105" w:type="dxa"/>
            <w:tcBorders/>
            <w:shd w:fill="auto" w:val="clear"/>
            <w:vAlign w:val="center"/>
          </w:tcPr>
          <w:p>
            <w:pPr>
              <w:pStyle w:val="TableContents"/>
              <w:spacing w:before="0" w:after="0"/>
              <w:ind w:left="0" w:right="0" w:hanging="0"/>
              <w:rPr/>
            </w:pPr>
            <w:r>
              <w:rPr/>
              <w:t> </w:t>
            </w:r>
          </w:p>
        </w:tc>
        <w:tc>
          <w:tcPr>
            <w:tcW w:w="2914" w:type="dxa"/>
            <w:gridSpan w:val="2"/>
            <w:tcBorders/>
            <w:shd w:fill="auto" w:val="clear"/>
            <w:vAlign w:val="center"/>
          </w:tcPr>
          <w:p>
            <w:pPr>
              <w:pStyle w:val="TableContents"/>
              <w:spacing w:before="0" w:after="0"/>
              <w:ind w:left="0" w:right="0" w:hanging="0"/>
              <w:jc w:val="both"/>
              <w:rPr/>
            </w:pPr>
            <w:r>
              <w:rPr>
                <w:rStyle w:val="StrongEmphasis"/>
                <w:rFonts w:ascii="times new roman" w:hAnsi="times new roman"/>
                <w:sz w:val="20"/>
              </w:rPr>
              <w:t>KINGSTONE COMPANIES, INC.</w:t>
            </w:r>
          </w:p>
        </w:tc>
        <w:tc>
          <w:tcPr>
            <w:tcW w:w="13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439" w:type="dxa"/>
            <w:tcBorders/>
            <w:shd w:fill="auto" w:val="clear"/>
            <w:vAlign w:val="center"/>
          </w:tcPr>
          <w:p>
            <w:pPr>
              <w:pStyle w:val="TableContents"/>
              <w:spacing w:before="0" w:after="0"/>
              <w:ind w:left="0" w:right="0" w:hanging="0"/>
              <w:jc w:val="both"/>
              <w:rPr/>
            </w:pPr>
            <w:r>
              <w:rPr/>
              <w:t> </w:t>
            </w:r>
          </w:p>
        </w:tc>
        <w:tc>
          <w:tcPr>
            <w:tcW w:w="2475" w:type="dxa"/>
            <w:tcBorders/>
            <w:shd w:fill="auto" w:val="clear"/>
            <w:vAlign w:val="center"/>
          </w:tcPr>
          <w:p>
            <w:pPr>
              <w:pStyle w:val="TableContents"/>
              <w:spacing w:before="0" w:after="0"/>
              <w:ind w:left="0" w:right="0" w:hanging="0"/>
              <w:jc w:val="both"/>
              <w:rPr/>
            </w:pPr>
            <w:r>
              <w:rPr/>
              <w:t> </w:t>
            </w:r>
          </w:p>
        </w:tc>
        <w:tc>
          <w:tcPr>
            <w:tcW w:w="13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439"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By:</w:t>
            </w:r>
          </w:p>
        </w:tc>
        <w:tc>
          <w:tcPr>
            <w:tcW w:w="2475" w:type="dxa"/>
            <w:tcBorders>
              <w:bottom w:val="single" w:sz="2" w:space="0" w:color="000000"/>
            </w:tcBorders>
            <w:shd w:fill="auto" w:val="clear"/>
            <w:tcMar>
              <w:bottom w:w="28" w:type="dxa"/>
            </w:tcMar>
            <w:vAlign w:val="center"/>
          </w:tcPr>
          <w:p>
            <w:pPr>
              <w:pStyle w:val="TableContents"/>
              <w:spacing w:before="0" w:after="0"/>
              <w:ind w:left="0" w:right="0" w:hanging="0"/>
              <w:jc w:val="both"/>
              <w:rPr/>
            </w:pPr>
            <w:r>
              <w:rPr/>
              <w:t> </w:t>
            </w:r>
          </w:p>
        </w:tc>
        <w:tc>
          <w:tcPr>
            <w:tcW w:w="13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439" w:type="dxa"/>
            <w:tcBorders/>
            <w:shd w:fill="auto" w:val="clear"/>
            <w:vAlign w:val="center"/>
          </w:tcPr>
          <w:p>
            <w:pPr>
              <w:pStyle w:val="TableContents"/>
              <w:spacing w:before="0" w:after="0"/>
              <w:ind w:left="0" w:right="0" w:hanging="0"/>
              <w:jc w:val="both"/>
              <w:rPr/>
            </w:pPr>
            <w:r>
              <w:rPr/>
              <w:t> </w:t>
            </w:r>
          </w:p>
        </w:tc>
        <w:tc>
          <w:tcPr>
            <w:tcW w:w="2475"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Barry B. Goldstein</w:t>
            </w:r>
          </w:p>
        </w:tc>
        <w:tc>
          <w:tcPr>
            <w:tcW w:w="13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439" w:type="dxa"/>
            <w:tcBorders/>
            <w:shd w:fill="auto" w:val="clear"/>
            <w:vAlign w:val="center"/>
          </w:tcPr>
          <w:p>
            <w:pPr>
              <w:pStyle w:val="TableContents"/>
              <w:spacing w:before="0" w:after="0"/>
              <w:ind w:left="0" w:right="0" w:hanging="0"/>
              <w:jc w:val="both"/>
              <w:rPr/>
            </w:pPr>
            <w:r>
              <w:rPr/>
              <w:t> </w:t>
            </w:r>
          </w:p>
        </w:tc>
        <w:tc>
          <w:tcPr>
            <w:tcW w:w="2475"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Chief Executive Officer</w:t>
            </w:r>
          </w:p>
        </w:tc>
        <w:tc>
          <w:tcPr>
            <w:tcW w:w="13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439" w:type="dxa"/>
            <w:tcBorders/>
            <w:shd w:fill="auto" w:val="clear"/>
            <w:vAlign w:val="center"/>
          </w:tcPr>
          <w:p>
            <w:pPr>
              <w:pStyle w:val="TableContents"/>
              <w:spacing w:before="0" w:after="0"/>
              <w:ind w:left="0" w:right="0" w:hanging="0"/>
              <w:jc w:val="both"/>
              <w:rPr/>
            </w:pPr>
            <w:r>
              <w:rPr/>
              <w:t> </w:t>
            </w:r>
          </w:p>
        </w:tc>
        <w:tc>
          <w:tcPr>
            <w:tcW w:w="2475" w:type="dxa"/>
            <w:tcBorders/>
            <w:shd w:fill="auto" w:val="clear"/>
            <w:vAlign w:val="center"/>
          </w:tcPr>
          <w:p>
            <w:pPr>
              <w:pStyle w:val="TableContents"/>
              <w:spacing w:before="0" w:after="0"/>
              <w:ind w:left="0" w:right="0" w:hanging="0"/>
              <w:jc w:val="both"/>
              <w:rPr/>
            </w:pPr>
            <w:r>
              <w:rPr/>
              <w:t> </w:t>
            </w:r>
          </w:p>
        </w:tc>
        <w:tc>
          <w:tcPr>
            <w:tcW w:w="13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2914" w:type="dxa"/>
            <w:gridSpan w:val="2"/>
            <w:tcBorders>
              <w:bottom w:val="single" w:sz="2" w:space="0" w:color="000000"/>
            </w:tcBorders>
            <w:shd w:fill="auto" w:val="clear"/>
            <w:tcMar>
              <w:bottom w:w="28" w:type="dxa"/>
            </w:tcMar>
            <w:vAlign w:val="center"/>
          </w:tcPr>
          <w:p>
            <w:pPr>
              <w:pStyle w:val="TableContents"/>
              <w:spacing w:before="0" w:after="0"/>
              <w:ind w:left="0" w:right="0" w:hanging="0"/>
              <w:jc w:val="both"/>
              <w:rPr/>
            </w:pPr>
            <w:r>
              <w:rPr/>
              <w:t> </w:t>
            </w:r>
          </w:p>
        </w:tc>
        <w:tc>
          <w:tcPr>
            <w:tcW w:w="13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2914" w:type="dxa"/>
            <w:gridSpan w:val="2"/>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Signature of Grantee</w:t>
            </w:r>
          </w:p>
        </w:tc>
        <w:tc>
          <w:tcPr>
            <w:tcW w:w="13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439" w:type="dxa"/>
            <w:tcBorders/>
            <w:shd w:fill="auto" w:val="clear"/>
            <w:vAlign w:val="center"/>
          </w:tcPr>
          <w:p>
            <w:pPr>
              <w:pStyle w:val="TableContents"/>
              <w:spacing w:before="0" w:after="0"/>
              <w:ind w:left="0" w:right="0" w:hanging="0"/>
              <w:jc w:val="both"/>
              <w:rPr/>
            </w:pPr>
            <w:r>
              <w:rPr/>
              <w:t> </w:t>
            </w:r>
          </w:p>
        </w:tc>
        <w:tc>
          <w:tcPr>
            <w:tcW w:w="2475" w:type="dxa"/>
            <w:tcBorders/>
            <w:shd w:fill="auto" w:val="clear"/>
            <w:vAlign w:val="center"/>
          </w:tcPr>
          <w:p>
            <w:pPr>
              <w:pStyle w:val="TableContents"/>
              <w:spacing w:before="0" w:after="0"/>
              <w:ind w:left="0" w:right="0" w:hanging="0"/>
              <w:jc w:val="both"/>
              <w:rPr/>
            </w:pPr>
            <w:r>
              <w:rPr/>
              <w:t> </w:t>
            </w:r>
          </w:p>
        </w:tc>
        <w:tc>
          <w:tcPr>
            <w:tcW w:w="13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2914" w:type="dxa"/>
            <w:gridSpan w:val="2"/>
            <w:tcBorders>
              <w:bottom w:val="single" w:sz="2" w:space="0" w:color="000000"/>
            </w:tcBorders>
            <w:shd w:fill="auto" w:val="clear"/>
            <w:tcMar>
              <w:bottom w:w="28"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Meryl S. Golden</w:t>
            </w:r>
          </w:p>
        </w:tc>
        <w:tc>
          <w:tcPr>
            <w:tcW w:w="13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2914" w:type="dxa"/>
            <w:gridSpan w:val="2"/>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Name of Grantee</w:t>
            </w:r>
          </w:p>
        </w:tc>
        <w:tc>
          <w:tcPr>
            <w:tcW w:w="135" w:type="dxa"/>
            <w:tcBorders/>
            <w:shd w:fill="auto" w:val="clear"/>
            <w:vAlign w:val="center"/>
          </w:tcPr>
          <w:p>
            <w:pPr>
              <w:pStyle w:val="TableContents"/>
              <w:spacing w:before="0" w:after="0"/>
              <w:ind w:left="0" w:right="0" w:hanging="0"/>
              <w:jc w:val="both"/>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439" w:type="dxa"/>
            <w:tcBorders/>
            <w:shd w:fill="auto" w:val="clear"/>
            <w:vAlign w:val="center"/>
          </w:tcPr>
          <w:p>
            <w:pPr>
              <w:pStyle w:val="TableContents"/>
              <w:spacing w:before="0" w:after="0"/>
              <w:ind w:left="0" w:right="0" w:hanging="0"/>
              <w:rPr/>
            </w:pPr>
            <w:r>
              <w:rPr/>
              <w:t> </w:t>
            </w:r>
          </w:p>
        </w:tc>
        <w:tc>
          <w:tcPr>
            <w:tcW w:w="2475" w:type="dxa"/>
            <w:tcBorders/>
            <w:shd w:fill="auto" w:val="cle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2914" w:type="dxa"/>
            <w:gridSpan w:val="2"/>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105" w:type="dxa"/>
            <w:tcBorders/>
            <w:shd w:fill="auto" w:val="clear"/>
            <w:vAlign w:val="center"/>
          </w:tcPr>
          <w:p>
            <w:pPr>
              <w:pStyle w:val="TableContents"/>
              <w:spacing w:before="0" w:after="0"/>
              <w:ind w:left="0" w:right="0" w:hanging="0"/>
              <w:rPr/>
            </w:pPr>
            <w:r>
              <w:rPr/>
              <w:t> </w:t>
            </w:r>
          </w:p>
        </w:tc>
        <w:tc>
          <w:tcPr>
            <w:tcW w:w="2914" w:type="dxa"/>
            <w:gridSpan w:val="2"/>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Address of Grantee</w:t>
            </w:r>
          </w:p>
        </w:tc>
        <w:tc>
          <w:tcPr>
            <w:tcW w:w="135" w:type="dxa"/>
            <w:tcBorders/>
            <w:shd w:fill="auto"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p>
    <w:tbl>
      <w:tblPr>
        <w:tblW w:w="230" w:type="dxa"/>
        <w:jc w:val="left"/>
        <w:tblInd w:w="0" w:type="dxa"/>
        <w:tblCellMar>
          <w:top w:w="0" w:type="dxa"/>
          <w:left w:w="0" w:type="dxa"/>
          <w:bottom w:w="0" w:type="dxa"/>
          <w:right w:w="0" w:type="dxa"/>
        </w:tblCellMar>
      </w:tblPr>
      <w:tblGrid>
        <w:gridCol w:w="230"/>
      </w:tblGrid>
      <w:tr>
        <w:trPr/>
        <w:tc>
          <w:tcPr>
            <w:tcW w:w="230" w:type="dxa"/>
            <w:tcBorders/>
            <w:shd w:fill="auto" w:val="clear"/>
            <w:vAlign w:val="center"/>
          </w:tcPr>
          <w:p>
            <w:pPr>
              <w:pStyle w:val="TableContents"/>
              <w:spacing w:before="0" w:after="283"/>
              <w:ind w:left="0" w:right="0" w:hanging="0"/>
              <w:rPr/>
            </w:pPr>
            <w:r>
              <w:rPr/>
              <w:t> </w:t>
            </w:r>
          </w:p>
        </w:tc>
      </w:tr>
      <w:tr>
        <w:trPr/>
        <w:tc>
          <w:tcPr>
            <w:tcW w:w="230" w:type="dxa"/>
            <w:tcBorders>
              <w:bottom w:val="single" w:sz="2" w:space="0" w:color="000000"/>
            </w:tcBorders>
            <w:shd w:fill="auto" w:val="clear"/>
            <w:tcMar>
              <w:bottom w:w="28" w:type="dxa"/>
            </w:tcMar>
            <w:vAlign w:val="center"/>
          </w:tcPr>
          <w:p>
            <w:pPr>
              <w:pStyle w:val="TableContents"/>
              <w:spacing w:before="0" w:after="283"/>
              <w:jc w:val="center"/>
              <w:rPr/>
            </w:pPr>
            <w:r>
              <w:rPr/>
              <w:t>3</w:t>
            </w:r>
          </w:p>
        </w:tc>
      </w:tr>
    </w:tbl>
    <w:p>
      <w:pPr>
        <w:pStyle w:val="TextBody"/>
        <w:spacing w:before="0" w:after="0"/>
        <w:ind w:left="0" w:right="0" w:hanging="0"/>
        <w:rPr/>
      </w:pPr>
      <w:r>
        <w:rPr/>
        <w:t> </w:t>
      </w:r>
      <w:r>
        <w:br w:type="page"/>
      </w:r>
    </w:p>
    <w:p>
      <w:pPr>
        <w:pStyle w:val="TextBody"/>
        <w:spacing w:before="0" w:after="0"/>
        <w:ind w:left="0" w:right="0" w:hanging="0"/>
        <w:jc w:val="right"/>
        <w:rPr/>
      </w:pPr>
      <w:bookmarkStart w:id="44" w:name="king_ex31a.htm"/>
      <w:bookmarkStart w:id="45" w:name="ksking_ex31a"/>
      <w:bookmarkEnd w:id="44"/>
      <w:bookmarkEnd w:id="45"/>
      <w:r>
        <w:rPr>
          <w:rStyle w:val="StrongEmphasis"/>
          <w:rFonts w:ascii="times new roman" w:hAnsi="times new roman"/>
          <w:sz w:val="20"/>
        </w:rPr>
        <w:t>EXHIBIT 31(a)</w:t>
      </w:r>
    </w:p>
    <w:p>
      <w:pPr>
        <w:pStyle w:val="TextBody"/>
        <w:spacing w:before="0" w:after="0"/>
        <w:ind w:left="0" w:right="0" w:hanging="0"/>
        <w:jc w:val="right"/>
        <w:rPr/>
      </w:pPr>
      <w:r>
        <w:rPr/>
        <w:t> </w:t>
      </w:r>
    </w:p>
    <w:p>
      <w:pPr>
        <w:pStyle w:val="TextBody"/>
        <w:spacing w:before="0" w:after="0"/>
        <w:ind w:left="0" w:right="0" w:hanging="0"/>
        <w:jc w:val="center"/>
        <w:rPr/>
      </w:pPr>
      <w:r>
        <w:rPr>
          <w:rStyle w:val="StrongEmphasis"/>
          <w:rFonts w:ascii="times new roman" w:hAnsi="times new roman"/>
          <w:sz w:val="20"/>
        </w:rPr>
        <w:t>CERTIFICATION</w:t>
      </w:r>
    </w:p>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183"/>
        <w:gridCol w:w="233"/>
        <w:gridCol w:w="9789"/>
      </w:tblGrid>
      <w:tr>
        <w:trPr/>
        <w:tc>
          <w:tcPr>
            <w:tcW w:w="10205" w:type="dxa"/>
            <w:gridSpan w:val="3"/>
            <w:tcBorders/>
            <w:shd w:fill="auto" w:val="clear"/>
            <w:vAlign w:val="center"/>
          </w:tcPr>
          <w:p>
            <w:pPr>
              <w:pStyle w:val="TableContents"/>
              <w:spacing w:before="0" w:after="0"/>
              <w:ind w:left="0" w:right="0" w:hanging="0"/>
              <w:jc w:val="both"/>
              <w:rPr>
                <w:rFonts w:ascii="times new roman" w:hAnsi="times new roman"/>
                <w:sz w:val="20"/>
              </w:rPr>
            </w:pPr>
            <w:bookmarkStart w:id="46" w:name="del_tdac62c8a3-735c-4cb2-84f2-3e9908834b"/>
            <w:bookmarkEnd w:id="46"/>
            <w:r>
              <w:rPr>
                <w:rFonts w:ascii="times new roman" w:hAnsi="times new roman"/>
                <w:sz w:val="20"/>
              </w:rPr>
              <w:t>I, Barry B. Goldstein, certify that:</w:t>
            </w:r>
            <w:bookmarkStart w:id="47" w:name="del_td25938934-6f7f-447e-b553-79fcd1bf44"/>
            <w:bookmarkEnd w:id="47"/>
          </w:p>
        </w:tc>
      </w:tr>
      <w:tr>
        <w:trPr/>
        <w:tc>
          <w:tcPr>
            <w:tcW w:w="183" w:type="dxa"/>
            <w:tcBorders/>
            <w:shd w:fill="auto" w:val="clear"/>
            <w:vAlign w:val="center"/>
          </w:tcPr>
          <w:p>
            <w:pPr>
              <w:pStyle w:val="TableContents"/>
              <w:spacing w:before="0" w:after="0"/>
              <w:ind w:left="0" w:right="0" w:hanging="0"/>
              <w:rPr/>
            </w:pPr>
            <w:r>
              <w:rPr/>
              <w:t> </w:t>
            </w:r>
            <w:bookmarkStart w:id="48" w:name="del_td550b67d9-5269-41b7-85df-a3a000388a"/>
            <w:bookmarkEnd w:id="48"/>
          </w:p>
        </w:tc>
        <w:tc>
          <w:tcPr>
            <w:tcW w:w="10022" w:type="dxa"/>
            <w:gridSpan w:val="2"/>
            <w:tcBorders/>
            <w:shd w:fill="auto" w:val="clear"/>
            <w:vAlign w:val="center"/>
          </w:tcPr>
          <w:p>
            <w:pPr>
              <w:pStyle w:val="TableContents"/>
              <w:spacing w:before="0" w:after="0"/>
              <w:ind w:left="0" w:right="0" w:hanging="0"/>
              <w:jc w:val="both"/>
              <w:rPr/>
            </w:pPr>
            <w:r>
              <w:rPr/>
              <w:t> </w:t>
            </w:r>
            <w:bookmarkStart w:id="49" w:name="del_tdf1990b36-f2bd-41cb-b0ae-fe45a18f30"/>
            <w:bookmarkEnd w:id="49"/>
          </w:p>
        </w:tc>
      </w:tr>
      <w:tr>
        <w:trPr/>
        <w:tc>
          <w:tcPr>
            <w:tcW w:w="18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1.</w:t>
            </w:r>
            <w:bookmarkStart w:id="50" w:name="del_tdd16a1eb9-23f8-40a1-9db1-48bb6a465b"/>
            <w:bookmarkEnd w:id="50"/>
          </w:p>
        </w:tc>
        <w:tc>
          <w:tcPr>
            <w:tcW w:w="10022" w:type="dxa"/>
            <w:gridSpan w:val="2"/>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I have reviewed this Annual Report on Form 10-K of Kingstone Companies, Inc.;</w:t>
            </w:r>
            <w:bookmarkStart w:id="51" w:name="del_tdc2c78793-ed51-4021-a2cd-d317df5c5f"/>
            <w:bookmarkEnd w:id="51"/>
          </w:p>
        </w:tc>
      </w:tr>
      <w:tr>
        <w:trPr/>
        <w:tc>
          <w:tcPr>
            <w:tcW w:w="183" w:type="dxa"/>
            <w:tcBorders/>
            <w:shd w:fill="auto" w:val="clear"/>
            <w:vAlign w:val="center"/>
          </w:tcPr>
          <w:p>
            <w:pPr>
              <w:pStyle w:val="TableContents"/>
              <w:spacing w:before="0" w:after="0"/>
              <w:ind w:left="0" w:right="0" w:hanging="0"/>
              <w:rPr/>
            </w:pPr>
            <w:r>
              <w:rPr/>
              <w:t> </w:t>
            </w:r>
            <w:bookmarkStart w:id="52" w:name="del_td3d3427b1-67a1-4cbf-b73f-2deacd573f"/>
            <w:bookmarkEnd w:id="52"/>
          </w:p>
        </w:tc>
        <w:tc>
          <w:tcPr>
            <w:tcW w:w="10022" w:type="dxa"/>
            <w:gridSpan w:val="2"/>
            <w:tcBorders/>
            <w:shd w:fill="auto" w:val="clear"/>
            <w:vAlign w:val="center"/>
          </w:tcPr>
          <w:p>
            <w:pPr>
              <w:pStyle w:val="TableContents"/>
              <w:spacing w:before="0" w:after="0"/>
              <w:ind w:left="0" w:right="0" w:hanging="0"/>
              <w:jc w:val="both"/>
              <w:rPr/>
            </w:pPr>
            <w:r>
              <w:rPr/>
              <w:t> </w:t>
            </w:r>
            <w:bookmarkStart w:id="53" w:name="del_td086ee0ba-c602-471f-9781-89a86911da"/>
            <w:bookmarkEnd w:id="53"/>
          </w:p>
        </w:tc>
      </w:tr>
      <w:tr>
        <w:trPr/>
        <w:tc>
          <w:tcPr>
            <w:tcW w:w="18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2.</w:t>
            </w:r>
            <w:bookmarkStart w:id="54" w:name="del_td223035ce-a89f-4895-9cfb-9940ce0ba9"/>
            <w:bookmarkEnd w:id="54"/>
          </w:p>
        </w:tc>
        <w:tc>
          <w:tcPr>
            <w:tcW w:w="10022" w:type="dxa"/>
            <w:gridSpan w:val="2"/>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bookmarkStart w:id="55" w:name="del_td81ef01b2-21fb-44d2-98ea-5492e13820"/>
            <w:bookmarkEnd w:id="55"/>
          </w:p>
        </w:tc>
      </w:tr>
      <w:tr>
        <w:trPr/>
        <w:tc>
          <w:tcPr>
            <w:tcW w:w="183" w:type="dxa"/>
            <w:tcBorders/>
            <w:shd w:fill="auto" w:val="clear"/>
            <w:vAlign w:val="center"/>
          </w:tcPr>
          <w:p>
            <w:pPr>
              <w:pStyle w:val="TableContents"/>
              <w:spacing w:before="0" w:after="0"/>
              <w:ind w:left="0" w:right="0" w:hanging="0"/>
              <w:rPr/>
            </w:pPr>
            <w:r>
              <w:rPr/>
              <w:t> </w:t>
            </w:r>
            <w:bookmarkStart w:id="56" w:name="del_tde865a982-4315-48df-8ce8-6cf54810dc"/>
            <w:bookmarkEnd w:id="56"/>
          </w:p>
        </w:tc>
        <w:tc>
          <w:tcPr>
            <w:tcW w:w="10022" w:type="dxa"/>
            <w:gridSpan w:val="2"/>
            <w:tcBorders/>
            <w:shd w:fill="auto" w:val="clear"/>
            <w:vAlign w:val="center"/>
          </w:tcPr>
          <w:p>
            <w:pPr>
              <w:pStyle w:val="TableContents"/>
              <w:spacing w:before="0" w:after="0"/>
              <w:ind w:left="0" w:right="0" w:hanging="0"/>
              <w:jc w:val="both"/>
              <w:rPr/>
            </w:pPr>
            <w:r>
              <w:rPr/>
              <w:t> </w:t>
            </w:r>
            <w:bookmarkStart w:id="57" w:name="del_td7af33bd5-b3ad-4df7-bd34-5f379c5be0"/>
            <w:bookmarkEnd w:id="57"/>
          </w:p>
        </w:tc>
      </w:tr>
      <w:tr>
        <w:trPr/>
        <w:tc>
          <w:tcPr>
            <w:tcW w:w="18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3.</w:t>
            </w:r>
            <w:bookmarkStart w:id="58" w:name="del_td5503cefc-4478-43b9-a928-b3494a5dda"/>
            <w:bookmarkEnd w:id="58"/>
          </w:p>
        </w:tc>
        <w:tc>
          <w:tcPr>
            <w:tcW w:w="10022" w:type="dxa"/>
            <w:gridSpan w:val="2"/>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bookmarkStart w:id="59" w:name="del_tda57e5b50-2afc-45c4-86b9-d2dcb40569"/>
            <w:bookmarkEnd w:id="59"/>
          </w:p>
        </w:tc>
      </w:tr>
      <w:tr>
        <w:trPr/>
        <w:tc>
          <w:tcPr>
            <w:tcW w:w="183" w:type="dxa"/>
            <w:tcBorders/>
            <w:shd w:fill="auto" w:val="clear"/>
            <w:vAlign w:val="center"/>
          </w:tcPr>
          <w:p>
            <w:pPr>
              <w:pStyle w:val="TableContents"/>
              <w:spacing w:before="0" w:after="0"/>
              <w:ind w:left="0" w:right="0" w:hanging="0"/>
              <w:rPr/>
            </w:pPr>
            <w:r>
              <w:rPr/>
              <w:t> </w:t>
            </w:r>
            <w:bookmarkStart w:id="60" w:name="del_td631257b6-607b-4213-a456-dc6ddff7c0"/>
            <w:bookmarkEnd w:id="60"/>
          </w:p>
        </w:tc>
        <w:tc>
          <w:tcPr>
            <w:tcW w:w="10022" w:type="dxa"/>
            <w:gridSpan w:val="2"/>
            <w:tcBorders/>
            <w:shd w:fill="auto" w:val="clear"/>
            <w:vAlign w:val="center"/>
          </w:tcPr>
          <w:p>
            <w:pPr>
              <w:pStyle w:val="TableContents"/>
              <w:spacing w:before="0" w:after="0"/>
              <w:ind w:left="0" w:right="0" w:hanging="0"/>
              <w:jc w:val="both"/>
              <w:rPr/>
            </w:pPr>
            <w:r>
              <w:rPr/>
              <w:t> </w:t>
            </w:r>
            <w:bookmarkStart w:id="61" w:name="del_tdbdba7943-9416-462c-9f39-10c86f9f31"/>
            <w:bookmarkEnd w:id="61"/>
          </w:p>
        </w:tc>
      </w:tr>
      <w:tr>
        <w:trPr/>
        <w:tc>
          <w:tcPr>
            <w:tcW w:w="18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4.</w:t>
            </w:r>
            <w:bookmarkStart w:id="62" w:name="del_tdd4351d2a-5071-407b-8bbf-709debc044"/>
            <w:bookmarkEnd w:id="62"/>
          </w:p>
        </w:tc>
        <w:tc>
          <w:tcPr>
            <w:tcW w:w="10022" w:type="dxa"/>
            <w:gridSpan w:val="2"/>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bookmarkStart w:id="63" w:name="del_tdb9594122-80a6-4fa5-a881-d4b034467c"/>
            <w:bookmarkEnd w:id="63"/>
          </w:p>
        </w:tc>
      </w:tr>
      <w:tr>
        <w:trPr/>
        <w:tc>
          <w:tcPr>
            <w:tcW w:w="183" w:type="dxa"/>
            <w:tcBorders/>
            <w:shd w:fill="auto" w:val="clear"/>
            <w:vAlign w:val="center"/>
          </w:tcPr>
          <w:p>
            <w:pPr>
              <w:pStyle w:val="TableContents"/>
              <w:spacing w:before="0" w:after="0"/>
              <w:ind w:left="0" w:right="0" w:hanging="0"/>
              <w:jc w:val="right"/>
              <w:rPr/>
            </w:pPr>
            <w:r>
              <w:rPr/>
              <w:t> </w:t>
            </w:r>
            <w:bookmarkStart w:id="64" w:name="del_tde2ee0115-9911-464e-b880-f0122cae3b"/>
            <w:bookmarkEnd w:id="64"/>
          </w:p>
        </w:tc>
        <w:tc>
          <w:tcPr>
            <w:tcW w:w="10022" w:type="dxa"/>
            <w:gridSpan w:val="2"/>
            <w:tcBorders/>
            <w:shd w:fill="auto" w:val="clear"/>
            <w:vAlign w:val="center"/>
          </w:tcPr>
          <w:p>
            <w:pPr>
              <w:pStyle w:val="TableContents"/>
              <w:spacing w:before="0" w:after="0"/>
              <w:ind w:left="0" w:right="0" w:hanging="0"/>
              <w:jc w:val="both"/>
              <w:rPr/>
            </w:pPr>
            <w:r>
              <w:rPr/>
              <w:t> </w:t>
            </w:r>
            <w:bookmarkStart w:id="65" w:name="del_tdfa16aedf-c895-455d-9ce4-0aa21fe2e1"/>
            <w:bookmarkEnd w:id="65"/>
          </w:p>
        </w:tc>
      </w:tr>
      <w:tr>
        <w:trPr/>
        <w:tc>
          <w:tcPr>
            <w:tcW w:w="183" w:type="dxa"/>
            <w:tcBorders/>
            <w:shd w:fill="auto" w:val="clear"/>
            <w:vAlign w:val="center"/>
          </w:tcPr>
          <w:p>
            <w:pPr>
              <w:pStyle w:val="TableContents"/>
              <w:spacing w:before="0" w:after="0"/>
              <w:ind w:left="0" w:right="0" w:hanging="0"/>
              <w:jc w:val="right"/>
              <w:rPr/>
            </w:pPr>
            <w:r>
              <w:rPr/>
              <w:t> </w:t>
            </w:r>
            <w:bookmarkStart w:id="66" w:name="del_tda5b2ec91-0bff-412f-b797-a83e0d023e"/>
            <w:bookmarkEnd w:id="66"/>
          </w:p>
        </w:tc>
        <w:tc>
          <w:tcPr>
            <w:tcW w:w="23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(a)</w:t>
            </w:r>
            <w:bookmarkStart w:id="67" w:name="del_td27fd201a-3340-42c9-9a3f-8128c34989"/>
            <w:bookmarkEnd w:id="67"/>
          </w:p>
        </w:tc>
        <w:tc>
          <w:tcPr>
            <w:tcW w:w="9789"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bookmarkStart w:id="68" w:name="del_tda09aa204-107a-45e9-8c7c-ca7a101eab"/>
            <w:bookmarkEnd w:id="68"/>
          </w:p>
        </w:tc>
      </w:tr>
      <w:tr>
        <w:trPr/>
        <w:tc>
          <w:tcPr>
            <w:tcW w:w="183" w:type="dxa"/>
            <w:tcBorders/>
            <w:shd w:fill="auto" w:val="clear"/>
            <w:vAlign w:val="center"/>
          </w:tcPr>
          <w:p>
            <w:pPr>
              <w:pStyle w:val="TableContents"/>
              <w:spacing w:before="0" w:after="0"/>
              <w:ind w:left="0" w:right="0" w:hanging="0"/>
              <w:jc w:val="right"/>
              <w:rPr/>
            </w:pPr>
            <w:r>
              <w:rPr/>
              <w:t> </w:t>
            </w:r>
            <w:bookmarkStart w:id="69" w:name="del_td5e2438ce-3556-4528-8202-51953c0d56"/>
            <w:bookmarkEnd w:id="69"/>
          </w:p>
        </w:tc>
        <w:tc>
          <w:tcPr>
            <w:tcW w:w="233" w:type="dxa"/>
            <w:tcBorders/>
            <w:shd w:fill="auto" w:val="clear"/>
            <w:vAlign w:val="center"/>
          </w:tcPr>
          <w:p>
            <w:pPr>
              <w:pStyle w:val="TableContents"/>
              <w:spacing w:before="0" w:after="0"/>
              <w:ind w:left="0" w:right="0" w:hanging="0"/>
              <w:rPr/>
            </w:pPr>
            <w:r>
              <w:rPr/>
              <w:t> </w:t>
            </w:r>
            <w:bookmarkStart w:id="70" w:name="del_td1ec50660-6f5f-4034-bbc6-71c6898234"/>
            <w:bookmarkEnd w:id="70"/>
          </w:p>
        </w:tc>
        <w:tc>
          <w:tcPr>
            <w:tcW w:w="9789" w:type="dxa"/>
            <w:tcBorders/>
            <w:shd w:fill="auto" w:val="clear"/>
            <w:vAlign w:val="center"/>
          </w:tcPr>
          <w:p>
            <w:pPr>
              <w:pStyle w:val="TableContents"/>
              <w:spacing w:before="0" w:after="0"/>
              <w:ind w:left="0" w:right="0" w:hanging="0"/>
              <w:jc w:val="both"/>
              <w:rPr/>
            </w:pPr>
            <w:r>
              <w:rPr/>
              <w:t> </w:t>
            </w:r>
            <w:bookmarkStart w:id="71" w:name="del_td92915a44-3e28-48eb-b70d-bb64f9e5df"/>
            <w:bookmarkEnd w:id="71"/>
          </w:p>
        </w:tc>
      </w:tr>
      <w:tr>
        <w:trPr/>
        <w:tc>
          <w:tcPr>
            <w:tcW w:w="183" w:type="dxa"/>
            <w:tcBorders/>
            <w:shd w:fill="auto" w:val="clear"/>
            <w:vAlign w:val="center"/>
          </w:tcPr>
          <w:p>
            <w:pPr>
              <w:pStyle w:val="TableContents"/>
              <w:spacing w:before="0" w:after="0"/>
              <w:ind w:left="0" w:right="0" w:hanging="0"/>
              <w:jc w:val="right"/>
              <w:rPr/>
            </w:pPr>
            <w:r>
              <w:rPr/>
              <w:t> </w:t>
            </w:r>
            <w:bookmarkStart w:id="72" w:name="del_tde5f9abdd-32d9-46df-99cd-f077c85952"/>
            <w:bookmarkEnd w:id="72"/>
          </w:p>
        </w:tc>
        <w:tc>
          <w:tcPr>
            <w:tcW w:w="23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(b)</w:t>
            </w:r>
            <w:bookmarkStart w:id="73" w:name="del_td95224f8d-5647-4559-93ae-89bd55970e"/>
            <w:bookmarkEnd w:id="73"/>
          </w:p>
        </w:tc>
        <w:tc>
          <w:tcPr>
            <w:tcW w:w="9789"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bookmarkStart w:id="74" w:name="del_td2f3a4254-3d0e-41ac-b3f5-ea5ba21693"/>
            <w:bookmarkEnd w:id="74"/>
          </w:p>
        </w:tc>
      </w:tr>
      <w:tr>
        <w:trPr/>
        <w:tc>
          <w:tcPr>
            <w:tcW w:w="183" w:type="dxa"/>
            <w:tcBorders/>
            <w:shd w:fill="auto" w:val="clear"/>
            <w:vAlign w:val="center"/>
          </w:tcPr>
          <w:p>
            <w:pPr>
              <w:pStyle w:val="TableContents"/>
              <w:spacing w:before="0" w:after="0"/>
              <w:ind w:left="0" w:right="0" w:hanging="0"/>
              <w:jc w:val="right"/>
              <w:rPr/>
            </w:pPr>
            <w:r>
              <w:rPr/>
              <w:t> </w:t>
            </w:r>
            <w:bookmarkStart w:id="75" w:name="del_tdaf63c43d-e1be-4097-a929-1c4298ea84"/>
            <w:bookmarkEnd w:id="75"/>
          </w:p>
        </w:tc>
        <w:tc>
          <w:tcPr>
            <w:tcW w:w="233" w:type="dxa"/>
            <w:tcBorders/>
            <w:shd w:fill="auto" w:val="clear"/>
            <w:vAlign w:val="center"/>
          </w:tcPr>
          <w:p>
            <w:pPr>
              <w:pStyle w:val="TableContents"/>
              <w:spacing w:before="0" w:after="0"/>
              <w:ind w:left="0" w:right="0" w:hanging="0"/>
              <w:rPr/>
            </w:pPr>
            <w:r>
              <w:rPr/>
              <w:t> </w:t>
            </w:r>
            <w:bookmarkStart w:id="76" w:name="del_td8df41e0a-beb5-42ca-93bc-53a7c4e779"/>
            <w:bookmarkEnd w:id="76"/>
          </w:p>
        </w:tc>
        <w:tc>
          <w:tcPr>
            <w:tcW w:w="9789" w:type="dxa"/>
            <w:tcBorders/>
            <w:shd w:fill="auto" w:val="clear"/>
            <w:vAlign w:val="center"/>
          </w:tcPr>
          <w:p>
            <w:pPr>
              <w:pStyle w:val="TableContents"/>
              <w:spacing w:before="0" w:after="0"/>
              <w:ind w:left="0" w:right="0" w:hanging="0"/>
              <w:jc w:val="both"/>
              <w:rPr/>
            </w:pPr>
            <w:r>
              <w:rPr/>
              <w:t> </w:t>
            </w:r>
            <w:bookmarkStart w:id="77" w:name="del_tdbe124122-62b2-498a-969c-a753da4209"/>
            <w:bookmarkEnd w:id="77"/>
          </w:p>
        </w:tc>
      </w:tr>
      <w:tr>
        <w:trPr/>
        <w:tc>
          <w:tcPr>
            <w:tcW w:w="183" w:type="dxa"/>
            <w:tcBorders/>
            <w:shd w:fill="auto" w:val="clear"/>
            <w:vAlign w:val="center"/>
          </w:tcPr>
          <w:p>
            <w:pPr>
              <w:pStyle w:val="TableContents"/>
              <w:spacing w:before="0" w:after="0"/>
              <w:ind w:left="0" w:right="0" w:hanging="0"/>
              <w:jc w:val="right"/>
              <w:rPr/>
            </w:pPr>
            <w:r>
              <w:rPr/>
              <w:t> </w:t>
            </w:r>
            <w:bookmarkStart w:id="78" w:name="del_td64efefb8-254a-4395-80b2-1b0a5a92d1"/>
            <w:bookmarkEnd w:id="78"/>
          </w:p>
        </w:tc>
        <w:tc>
          <w:tcPr>
            <w:tcW w:w="23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w:t>
            </w:r>
            <w:bookmarkStart w:id="79" w:name="del_tdaa72ef66-d8cc-430b-bd01-747b639058"/>
            <w:bookmarkEnd w:id="79"/>
          </w:p>
        </w:tc>
        <w:tc>
          <w:tcPr>
            <w:tcW w:w="9789"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bookmarkStart w:id="80" w:name="del_tdd555eb4f-3406-4ee0-9083-4d2732662e"/>
            <w:bookmarkEnd w:id="80"/>
          </w:p>
        </w:tc>
      </w:tr>
      <w:tr>
        <w:trPr/>
        <w:tc>
          <w:tcPr>
            <w:tcW w:w="183" w:type="dxa"/>
            <w:tcBorders/>
            <w:shd w:fill="auto" w:val="clear"/>
            <w:vAlign w:val="center"/>
          </w:tcPr>
          <w:p>
            <w:pPr>
              <w:pStyle w:val="TableContents"/>
              <w:spacing w:before="0" w:after="0"/>
              <w:ind w:left="0" w:right="0" w:hanging="0"/>
              <w:jc w:val="right"/>
              <w:rPr/>
            </w:pPr>
            <w:r>
              <w:rPr/>
              <w:t> </w:t>
            </w:r>
            <w:bookmarkStart w:id="81" w:name="del_tdf7f70c0d-c1f5-4044-926c-1dd9ccf234"/>
            <w:bookmarkEnd w:id="81"/>
          </w:p>
        </w:tc>
        <w:tc>
          <w:tcPr>
            <w:tcW w:w="233" w:type="dxa"/>
            <w:tcBorders/>
            <w:shd w:fill="auto" w:val="clear"/>
            <w:vAlign w:val="center"/>
          </w:tcPr>
          <w:p>
            <w:pPr>
              <w:pStyle w:val="TableContents"/>
              <w:spacing w:before="0" w:after="0"/>
              <w:ind w:left="0" w:right="0" w:hanging="0"/>
              <w:rPr/>
            </w:pPr>
            <w:r>
              <w:rPr/>
              <w:t> </w:t>
            </w:r>
            <w:bookmarkStart w:id="82" w:name="del_td8cb4de99-f716-4559-bb8b-b037ef3542"/>
            <w:bookmarkEnd w:id="82"/>
          </w:p>
        </w:tc>
        <w:tc>
          <w:tcPr>
            <w:tcW w:w="9789" w:type="dxa"/>
            <w:tcBorders/>
            <w:shd w:fill="auto" w:val="clear"/>
            <w:vAlign w:val="center"/>
          </w:tcPr>
          <w:p>
            <w:pPr>
              <w:pStyle w:val="TableContents"/>
              <w:spacing w:before="0" w:after="0"/>
              <w:ind w:left="0" w:right="0" w:hanging="0"/>
              <w:jc w:val="both"/>
              <w:rPr/>
            </w:pPr>
            <w:r>
              <w:rPr/>
              <w:t> </w:t>
            </w:r>
            <w:bookmarkStart w:id="83" w:name="del_td35b5c8ca-09a6-4815-8634-b35ba31210"/>
            <w:bookmarkEnd w:id="83"/>
          </w:p>
        </w:tc>
      </w:tr>
      <w:tr>
        <w:trPr/>
        <w:tc>
          <w:tcPr>
            <w:tcW w:w="183" w:type="dxa"/>
            <w:tcBorders/>
            <w:shd w:fill="auto" w:val="clear"/>
            <w:vAlign w:val="center"/>
          </w:tcPr>
          <w:p>
            <w:pPr>
              <w:pStyle w:val="TableContents"/>
              <w:spacing w:before="0" w:after="0"/>
              <w:ind w:left="0" w:right="0" w:hanging="0"/>
              <w:jc w:val="right"/>
              <w:rPr/>
            </w:pPr>
            <w:r>
              <w:rPr/>
              <w:t> </w:t>
            </w:r>
            <w:bookmarkStart w:id="84" w:name="del_td4aa469a9-9ce0-4cf2-8e5a-7f13b63924"/>
            <w:bookmarkEnd w:id="84"/>
          </w:p>
        </w:tc>
        <w:tc>
          <w:tcPr>
            <w:tcW w:w="23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(d)</w:t>
            </w:r>
            <w:bookmarkStart w:id="85" w:name="del_td12de9f1a-6d31-400a-a1dd-859d4cbe7a"/>
            <w:bookmarkEnd w:id="85"/>
          </w:p>
        </w:tc>
        <w:tc>
          <w:tcPr>
            <w:tcW w:w="9789"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bookmarkStart w:id="86" w:name="del_td00b1839c-c0b3-4009-83af-9339c7cfd4"/>
            <w:bookmarkEnd w:id="86"/>
          </w:p>
        </w:tc>
      </w:tr>
      <w:tr>
        <w:trPr/>
        <w:tc>
          <w:tcPr>
            <w:tcW w:w="183" w:type="dxa"/>
            <w:tcBorders/>
            <w:shd w:fill="auto" w:val="clear"/>
            <w:vAlign w:val="center"/>
          </w:tcPr>
          <w:p>
            <w:pPr>
              <w:pStyle w:val="TableContents"/>
              <w:spacing w:before="0" w:after="0"/>
              <w:ind w:left="0" w:right="0" w:hanging="0"/>
              <w:jc w:val="right"/>
              <w:rPr/>
            </w:pPr>
            <w:r>
              <w:rPr/>
              <w:t> </w:t>
            </w:r>
            <w:bookmarkStart w:id="87" w:name="del_td0e5de5ca-4bd5-4e3f-a3a4-68ea80a6fa"/>
            <w:bookmarkEnd w:id="87"/>
          </w:p>
        </w:tc>
        <w:tc>
          <w:tcPr>
            <w:tcW w:w="10022" w:type="dxa"/>
            <w:gridSpan w:val="2"/>
            <w:tcBorders/>
            <w:shd w:fill="auto" w:val="clear"/>
            <w:vAlign w:val="center"/>
          </w:tcPr>
          <w:p>
            <w:pPr>
              <w:pStyle w:val="TableContents"/>
              <w:spacing w:before="0" w:after="0"/>
              <w:ind w:left="0" w:right="0" w:hanging="0"/>
              <w:jc w:val="both"/>
              <w:rPr/>
            </w:pPr>
            <w:r>
              <w:rPr/>
              <w:t> </w:t>
            </w:r>
            <w:bookmarkStart w:id="88" w:name="del_td4dfe32f6-c427-4f69-870c-6b94e6f7ad"/>
            <w:bookmarkEnd w:id="88"/>
          </w:p>
        </w:tc>
      </w:tr>
      <w:tr>
        <w:trPr/>
        <w:tc>
          <w:tcPr>
            <w:tcW w:w="18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5.</w:t>
            </w:r>
            <w:bookmarkStart w:id="89" w:name="del_td7e1d1a6e-0692-4805-98c5-a84f9e5d2e"/>
            <w:bookmarkEnd w:id="89"/>
          </w:p>
        </w:tc>
        <w:tc>
          <w:tcPr>
            <w:tcW w:w="10022" w:type="dxa"/>
            <w:gridSpan w:val="2"/>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bookmarkStart w:id="90" w:name="del_td920ed1bc-8561-4557-8314-76a602fbe7"/>
            <w:bookmarkEnd w:id="90"/>
          </w:p>
        </w:tc>
      </w:tr>
      <w:tr>
        <w:trPr/>
        <w:tc>
          <w:tcPr>
            <w:tcW w:w="183" w:type="dxa"/>
            <w:tcBorders/>
            <w:shd w:fill="auto" w:val="clear"/>
            <w:vAlign w:val="center"/>
          </w:tcPr>
          <w:p>
            <w:pPr>
              <w:pStyle w:val="TableContents"/>
              <w:spacing w:before="0" w:after="0"/>
              <w:ind w:left="0" w:right="0" w:hanging="0"/>
              <w:jc w:val="right"/>
              <w:rPr/>
            </w:pPr>
            <w:r>
              <w:rPr/>
              <w:t> </w:t>
            </w:r>
            <w:bookmarkStart w:id="91" w:name="del_td1a1eaf12-e2b4-435f-824b-8d3cf6ed95"/>
            <w:bookmarkEnd w:id="91"/>
          </w:p>
        </w:tc>
        <w:tc>
          <w:tcPr>
            <w:tcW w:w="10022" w:type="dxa"/>
            <w:gridSpan w:val="2"/>
            <w:tcBorders/>
            <w:shd w:fill="auto" w:val="clear"/>
            <w:vAlign w:val="center"/>
          </w:tcPr>
          <w:p>
            <w:pPr>
              <w:pStyle w:val="TableContents"/>
              <w:spacing w:before="0" w:after="0"/>
              <w:ind w:left="0" w:right="0" w:hanging="0"/>
              <w:jc w:val="both"/>
              <w:rPr/>
            </w:pPr>
            <w:r>
              <w:rPr/>
              <w:t> </w:t>
            </w:r>
            <w:bookmarkStart w:id="92" w:name="del_td6660b0f2-2d0c-465b-a6f6-239c9c700b"/>
            <w:bookmarkEnd w:id="92"/>
          </w:p>
        </w:tc>
      </w:tr>
      <w:tr>
        <w:trPr/>
        <w:tc>
          <w:tcPr>
            <w:tcW w:w="183" w:type="dxa"/>
            <w:tcBorders/>
            <w:shd w:fill="auto" w:val="clear"/>
            <w:vAlign w:val="center"/>
          </w:tcPr>
          <w:p>
            <w:pPr>
              <w:pStyle w:val="TableContents"/>
              <w:spacing w:before="0" w:after="0"/>
              <w:ind w:left="0" w:right="0" w:hanging="0"/>
              <w:jc w:val="right"/>
              <w:rPr/>
            </w:pPr>
            <w:r>
              <w:rPr/>
              <w:t> </w:t>
            </w:r>
            <w:bookmarkStart w:id="93" w:name="del_td0502c8f5-f047-4df4-ae38-6d70a2d144"/>
            <w:bookmarkEnd w:id="93"/>
          </w:p>
        </w:tc>
        <w:tc>
          <w:tcPr>
            <w:tcW w:w="23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(a)</w:t>
            </w:r>
            <w:bookmarkStart w:id="94" w:name="del_td6f268bb2-c018-4ac2-916a-11d2f42c7f"/>
            <w:bookmarkEnd w:id="94"/>
          </w:p>
        </w:tc>
        <w:tc>
          <w:tcPr>
            <w:tcW w:w="9789"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bookmarkStart w:id="95" w:name="del_tdc23136c9-9559-4bf2-8f37-195707964e"/>
            <w:bookmarkEnd w:id="95"/>
          </w:p>
        </w:tc>
      </w:tr>
      <w:tr>
        <w:trPr/>
        <w:tc>
          <w:tcPr>
            <w:tcW w:w="183" w:type="dxa"/>
            <w:tcBorders/>
            <w:shd w:fill="auto" w:val="clear"/>
            <w:vAlign w:val="center"/>
          </w:tcPr>
          <w:p>
            <w:pPr>
              <w:pStyle w:val="TableContents"/>
              <w:spacing w:before="0" w:after="0"/>
              <w:ind w:left="0" w:right="0" w:hanging="0"/>
              <w:jc w:val="right"/>
              <w:rPr/>
            </w:pPr>
            <w:r>
              <w:rPr/>
              <w:t> </w:t>
            </w:r>
            <w:bookmarkStart w:id="96" w:name="del_td3f5dfe8a-9d39-468b-a600-099fcb0c37"/>
            <w:bookmarkEnd w:id="96"/>
          </w:p>
        </w:tc>
        <w:tc>
          <w:tcPr>
            <w:tcW w:w="233" w:type="dxa"/>
            <w:tcBorders/>
            <w:shd w:fill="auto" w:val="clear"/>
            <w:vAlign w:val="center"/>
          </w:tcPr>
          <w:p>
            <w:pPr>
              <w:pStyle w:val="TableContents"/>
              <w:spacing w:before="0" w:after="0"/>
              <w:ind w:left="0" w:right="0" w:hanging="0"/>
              <w:rPr/>
            </w:pPr>
            <w:r>
              <w:rPr/>
              <w:t> </w:t>
            </w:r>
            <w:bookmarkStart w:id="97" w:name="del_td01d99895-6faa-491f-a69d-1da17aa695"/>
            <w:bookmarkEnd w:id="97"/>
          </w:p>
        </w:tc>
        <w:tc>
          <w:tcPr>
            <w:tcW w:w="9789" w:type="dxa"/>
            <w:tcBorders/>
            <w:shd w:fill="auto" w:val="clear"/>
            <w:vAlign w:val="center"/>
          </w:tcPr>
          <w:p>
            <w:pPr>
              <w:pStyle w:val="TableContents"/>
              <w:spacing w:before="0" w:after="0"/>
              <w:ind w:left="0" w:right="0" w:hanging="0"/>
              <w:jc w:val="both"/>
              <w:rPr/>
            </w:pPr>
            <w:r>
              <w:rPr/>
              <w:t> </w:t>
            </w:r>
            <w:bookmarkStart w:id="98" w:name="del_tde1f74bde-947e-492d-8d92-f5d6d1d3ce"/>
            <w:bookmarkEnd w:id="98"/>
          </w:p>
        </w:tc>
      </w:tr>
      <w:tr>
        <w:trPr/>
        <w:tc>
          <w:tcPr>
            <w:tcW w:w="183" w:type="dxa"/>
            <w:tcBorders/>
            <w:shd w:fill="auto" w:val="clear"/>
            <w:vAlign w:val="center"/>
          </w:tcPr>
          <w:p>
            <w:pPr>
              <w:pStyle w:val="TableContents"/>
              <w:spacing w:before="0" w:after="0"/>
              <w:ind w:left="0" w:right="0" w:hanging="0"/>
              <w:jc w:val="right"/>
              <w:rPr/>
            </w:pPr>
            <w:r>
              <w:rPr/>
              <w:t> </w:t>
            </w:r>
            <w:bookmarkStart w:id="99" w:name="del_td569a8048-ecc7-4f21-9dbc-1a179aa3d0"/>
            <w:bookmarkEnd w:id="99"/>
          </w:p>
        </w:tc>
        <w:tc>
          <w:tcPr>
            <w:tcW w:w="23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(b)</w:t>
            </w:r>
            <w:bookmarkStart w:id="100" w:name="del_td4fd594fa-3d56-46f1-8b15-d802f79bea"/>
            <w:bookmarkEnd w:id="100"/>
          </w:p>
        </w:tc>
        <w:tc>
          <w:tcPr>
            <w:tcW w:w="9789"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jc w:val="both"/>
        <w:rPr/>
      </w:pPr>
      <w:r>
        <w:rPr/>
        <w:t> </w:t>
      </w:r>
    </w:p>
    <w:tbl>
      <w:tblPr>
        <w:tblW w:w="4030" w:type="dxa"/>
        <w:jc w:val="left"/>
        <w:tblInd w:w="0" w:type="dxa"/>
        <w:tblCellMar>
          <w:top w:w="0" w:type="dxa"/>
          <w:left w:w="0" w:type="dxa"/>
          <w:bottom w:w="0" w:type="dxa"/>
          <w:right w:w="0" w:type="dxa"/>
        </w:tblCellMar>
      </w:tblPr>
      <w:tblGrid>
        <w:gridCol w:w="1835"/>
        <w:gridCol w:w="90"/>
        <w:gridCol w:w="1970"/>
        <w:gridCol w:w="135"/>
      </w:tblGrid>
      <w:tr>
        <w:trPr/>
        <w:tc>
          <w:tcPr>
            <w:tcW w:w="1835"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Date: March 31, 2023</w:t>
            </w:r>
          </w:p>
        </w:tc>
        <w:tc>
          <w:tcPr>
            <w:tcW w:w="90" w:type="dxa"/>
            <w:tcBorders/>
            <w:shd w:fill="auto" w:val="clear"/>
            <w:vAlign w:val="center"/>
          </w:tcPr>
          <w:p>
            <w:pPr>
              <w:pStyle w:val="TableContents"/>
              <w:spacing w:before="0" w:after="0"/>
              <w:ind w:left="0" w:right="0" w:hanging="0"/>
              <w:rPr/>
            </w:pPr>
            <w:r>
              <w:rPr/>
              <w:t> </w:t>
            </w:r>
          </w:p>
        </w:tc>
        <w:tc>
          <w:tcPr>
            <w:tcW w:w="1970" w:type="dxa"/>
            <w:tcBorders/>
            <w:shd w:fill="auto" w:val="clear"/>
            <w:vAlign w:val="center"/>
          </w:tcPr>
          <w:p>
            <w:pPr>
              <w:pStyle w:val="TableContents"/>
              <w:spacing w:before="0" w:after="0"/>
              <w:ind w:left="0" w:right="0" w:hanging="0"/>
              <w:jc w:val="both"/>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1835" w:type="dxa"/>
            <w:tcBorders/>
            <w:shd w:fill="auto" w:val="clear"/>
            <w:vAlign w:val="center"/>
          </w:tcPr>
          <w:p>
            <w:pPr>
              <w:pStyle w:val="TableContents"/>
              <w:spacing w:before="0" w:after="0"/>
              <w:ind w:left="0" w:right="0" w:hanging="0"/>
              <w:jc w:val="both"/>
              <w:rPr/>
            </w:pPr>
            <w:r>
              <w:rPr/>
              <w:t> </w:t>
            </w:r>
          </w:p>
        </w:tc>
        <w:tc>
          <w:tcPr>
            <w:tcW w:w="90" w:type="dxa"/>
            <w:tcBorders/>
            <w:shd w:fill="auto" w:val="clear"/>
            <w:vAlign w:val="center"/>
          </w:tcPr>
          <w:p>
            <w:pPr>
              <w:pStyle w:val="TableContents"/>
              <w:spacing w:before="0" w:after="0"/>
              <w:ind w:left="0" w:right="0" w:hanging="0"/>
              <w:rPr/>
            </w:pPr>
            <w:r>
              <w:rPr/>
              <w:t> </w:t>
            </w:r>
          </w:p>
        </w:tc>
        <w:tc>
          <w:tcPr>
            <w:tcW w:w="1970" w:type="dxa"/>
            <w:tcBorders>
              <w:bottom w:val="single" w:sz="2" w:space="0" w:color="000000"/>
            </w:tcBorders>
            <w:shd w:fill="auto" w:val="clear"/>
            <w:tcMar>
              <w:bottom w:w="28"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/s/ Barry B. Goldstein</w:t>
            </w:r>
          </w:p>
        </w:tc>
        <w:tc>
          <w:tcPr>
            <w:tcW w:w="135" w:type="dxa"/>
            <w:tcBorders/>
            <w:shd w:fill="auto" w:val="clear"/>
            <w:vAlign w:val="center"/>
          </w:tcPr>
          <w:p>
            <w:pPr>
              <w:pStyle w:val="TableContents"/>
              <w:spacing w:before="0" w:after="0"/>
              <w:ind w:left="0" w:right="0" w:hanging="0"/>
              <w:rPr/>
            </w:pPr>
            <w:r>
              <w:rPr/>
              <w:t> </w:t>
            </w:r>
          </w:p>
        </w:tc>
      </w:tr>
      <w:tr>
        <w:trPr/>
        <w:tc>
          <w:tcPr>
            <w:tcW w:w="183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970"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Barry B. Goldstein</w:t>
            </w:r>
          </w:p>
        </w:tc>
        <w:tc>
          <w:tcPr>
            <w:tcW w:w="135" w:type="dxa"/>
            <w:tcBorders/>
            <w:shd w:fill="auto" w:val="clear"/>
            <w:vAlign w:val="center"/>
          </w:tcPr>
          <w:p>
            <w:pPr>
              <w:pStyle w:val="TableContents"/>
              <w:spacing w:before="0" w:after="0"/>
              <w:ind w:left="0" w:right="0" w:hanging="0"/>
              <w:rPr/>
            </w:pPr>
            <w:r>
              <w:rPr/>
              <w:t> </w:t>
            </w:r>
          </w:p>
        </w:tc>
      </w:tr>
      <w:tr>
        <w:trPr/>
        <w:tc>
          <w:tcPr>
            <w:tcW w:w="183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970"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Chief Executive Officer</w:t>
            </w:r>
          </w:p>
        </w:tc>
        <w:tc>
          <w:tcPr>
            <w:tcW w:w="135" w:type="dxa"/>
            <w:tcBorders/>
            <w:shd w:fill="auto" w:val="clear"/>
            <w:vAlign w:val="center"/>
          </w:tcPr>
          <w:p>
            <w:pPr>
              <w:pStyle w:val="TableContents"/>
              <w:spacing w:before="0" w:after="0"/>
              <w:ind w:left="0" w:right="0" w:hanging="0"/>
              <w:rPr/>
            </w:pPr>
            <w:r>
              <w:rPr/>
              <w:t> </w:t>
            </w:r>
          </w:p>
        </w:tc>
      </w:tr>
    </w:tbl>
    <w:p>
      <w:pPr>
        <w:pStyle w:val="TextBody"/>
        <w:spacing w:before="0" w:after="0"/>
        <w:ind w:left="0" w:right="0" w:hanging="0"/>
        <w:jc w:val="right"/>
        <w:rPr/>
      </w:pPr>
      <w:r>
        <w:br w:type="page"/>
      </w:r>
      <w:bookmarkStart w:id="101" w:name="king_ex31b.htm"/>
      <w:bookmarkStart w:id="102" w:name="ksking_ex31b"/>
      <w:bookmarkEnd w:id="101"/>
      <w:bookmarkEnd w:id="102"/>
      <w:r>
        <w:rPr>
          <w:rStyle w:val="StrongEmphasis"/>
          <w:rFonts w:ascii="times new roman" w:hAnsi="times new roman"/>
          <w:sz w:val="20"/>
        </w:rPr>
        <w:t>EXHIBIT 31(b) </w:t>
      </w:r>
    </w:p>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CERTIFICATION</w:t>
      </w:r>
    </w:p>
    <w:p>
      <w:pPr>
        <w:pStyle w:val="TextBody"/>
        <w:spacing w:before="0" w:after="0"/>
        <w:ind w:left="0" w:right="0" w:hanging="0"/>
        <w:jc w:val="both"/>
        <w:rPr/>
      </w:pPr>
      <w:r>
        <w:rPr/>
        <w:t> </w:t>
      </w:r>
    </w:p>
    <w:p>
      <w:pPr>
        <w:pStyle w:val="TextBody"/>
        <w:spacing w:before="0" w:after="0"/>
        <w:ind w:left="0" w:right="0" w:hanging="0"/>
        <w:jc w:val="both"/>
        <w:rPr/>
      </w:pPr>
      <w:r>
        <w:rPr/>
        <w:t> </w:t>
      </w:r>
    </w:p>
    <w:tbl>
      <w:tblPr>
        <w:tblW w:w="10205" w:type="dxa"/>
        <w:jc w:val="left"/>
        <w:tblInd w:w="0" w:type="dxa"/>
        <w:tblCellMar>
          <w:top w:w="0" w:type="dxa"/>
          <w:left w:w="0" w:type="dxa"/>
          <w:bottom w:w="0" w:type="dxa"/>
          <w:right w:w="0" w:type="dxa"/>
        </w:tblCellMar>
      </w:tblPr>
      <w:tblGrid>
        <w:gridCol w:w="183"/>
        <w:gridCol w:w="233"/>
        <w:gridCol w:w="9789"/>
      </w:tblGrid>
      <w:tr>
        <w:trPr/>
        <w:tc>
          <w:tcPr>
            <w:tcW w:w="10205" w:type="dxa"/>
            <w:gridSpan w:val="3"/>
            <w:tcBorders/>
            <w:shd w:fill="auto" w:val="clear"/>
            <w:vAlign w:val="center"/>
          </w:tcPr>
          <w:p>
            <w:pPr>
              <w:pStyle w:val="TableContents"/>
              <w:spacing w:before="0" w:after="0"/>
              <w:ind w:left="0" w:right="0" w:hanging="0"/>
              <w:jc w:val="both"/>
              <w:rPr>
                <w:rFonts w:ascii="times new roman" w:hAnsi="times new roman"/>
                <w:sz w:val="20"/>
              </w:rPr>
            </w:pPr>
            <w:bookmarkStart w:id="103" w:name="del_tdafc250b3-b515-45df-9b0f-4c17837999"/>
            <w:bookmarkEnd w:id="103"/>
            <w:r>
              <w:rPr>
                <w:rFonts w:ascii="times new roman" w:hAnsi="times new roman"/>
                <w:sz w:val="20"/>
              </w:rPr>
              <w:t>I, Jennifer L. Gravelle, certify that:</w:t>
            </w:r>
            <w:bookmarkStart w:id="104" w:name="del_td23a700ed-c2f9-4fb1-98a5-1a29e1a1d2"/>
            <w:bookmarkEnd w:id="104"/>
          </w:p>
        </w:tc>
      </w:tr>
      <w:tr>
        <w:trPr/>
        <w:tc>
          <w:tcPr>
            <w:tcW w:w="183" w:type="dxa"/>
            <w:tcBorders/>
            <w:shd w:fill="auto" w:val="clear"/>
            <w:vAlign w:val="center"/>
          </w:tcPr>
          <w:p>
            <w:pPr>
              <w:pStyle w:val="TableContents"/>
              <w:spacing w:before="0" w:after="0"/>
              <w:ind w:left="0" w:right="0" w:hanging="0"/>
              <w:rPr/>
            </w:pPr>
            <w:r>
              <w:rPr/>
              <w:t> </w:t>
            </w:r>
            <w:bookmarkStart w:id="105" w:name="del_td4754592d-59cf-4a07-b7de-31476f0f92"/>
            <w:bookmarkEnd w:id="105"/>
          </w:p>
        </w:tc>
        <w:tc>
          <w:tcPr>
            <w:tcW w:w="10022" w:type="dxa"/>
            <w:gridSpan w:val="2"/>
            <w:tcBorders/>
            <w:shd w:fill="auto" w:val="clear"/>
            <w:vAlign w:val="center"/>
          </w:tcPr>
          <w:p>
            <w:pPr>
              <w:pStyle w:val="TableContents"/>
              <w:spacing w:before="0" w:after="0"/>
              <w:ind w:left="0" w:right="0" w:hanging="0"/>
              <w:jc w:val="both"/>
              <w:rPr/>
            </w:pPr>
            <w:r>
              <w:rPr/>
              <w:t> </w:t>
            </w:r>
            <w:bookmarkStart w:id="106" w:name="del_td938a9ecd-2547-4aa1-b1c9-cd2ee19f5f"/>
            <w:bookmarkEnd w:id="106"/>
          </w:p>
        </w:tc>
      </w:tr>
      <w:tr>
        <w:trPr/>
        <w:tc>
          <w:tcPr>
            <w:tcW w:w="18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1.</w:t>
            </w:r>
            <w:bookmarkStart w:id="107" w:name="del_td077c2ef1-e169-4e0f-99e5-8da2a4933b"/>
            <w:bookmarkEnd w:id="107"/>
          </w:p>
        </w:tc>
        <w:tc>
          <w:tcPr>
            <w:tcW w:w="10022" w:type="dxa"/>
            <w:gridSpan w:val="2"/>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I have reviewed this Annual Report on Form 10-K of Kingstone Companies, Inc.;</w:t>
            </w:r>
            <w:bookmarkStart w:id="108" w:name="del_tddecb578f-9535-4cda-aada-4fec49e657"/>
            <w:bookmarkEnd w:id="108"/>
          </w:p>
        </w:tc>
      </w:tr>
      <w:tr>
        <w:trPr/>
        <w:tc>
          <w:tcPr>
            <w:tcW w:w="183" w:type="dxa"/>
            <w:tcBorders/>
            <w:shd w:fill="auto" w:val="clear"/>
            <w:vAlign w:val="center"/>
          </w:tcPr>
          <w:p>
            <w:pPr>
              <w:pStyle w:val="TableContents"/>
              <w:spacing w:before="0" w:after="0"/>
              <w:ind w:left="0" w:right="0" w:hanging="0"/>
              <w:rPr/>
            </w:pPr>
            <w:r>
              <w:rPr/>
              <w:t> </w:t>
            </w:r>
            <w:bookmarkStart w:id="109" w:name="del_td465837d8-ef12-44bc-8605-7be67a689c"/>
            <w:bookmarkEnd w:id="109"/>
          </w:p>
        </w:tc>
        <w:tc>
          <w:tcPr>
            <w:tcW w:w="10022" w:type="dxa"/>
            <w:gridSpan w:val="2"/>
            <w:tcBorders/>
            <w:shd w:fill="auto" w:val="clear"/>
            <w:vAlign w:val="center"/>
          </w:tcPr>
          <w:p>
            <w:pPr>
              <w:pStyle w:val="TableContents"/>
              <w:spacing w:before="0" w:after="0"/>
              <w:ind w:left="0" w:right="0" w:hanging="0"/>
              <w:jc w:val="both"/>
              <w:rPr/>
            </w:pPr>
            <w:r>
              <w:rPr/>
              <w:t> </w:t>
            </w:r>
            <w:bookmarkStart w:id="110" w:name="del_td10abb63d-ef11-44f5-af47-0c6d64278d"/>
            <w:bookmarkEnd w:id="110"/>
          </w:p>
        </w:tc>
      </w:tr>
      <w:tr>
        <w:trPr/>
        <w:tc>
          <w:tcPr>
            <w:tcW w:w="18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2.</w:t>
            </w:r>
            <w:bookmarkStart w:id="111" w:name="del_tdab980c7c-7589-4068-9657-427d3130a3"/>
            <w:bookmarkEnd w:id="111"/>
          </w:p>
        </w:tc>
        <w:tc>
          <w:tcPr>
            <w:tcW w:w="10022" w:type="dxa"/>
            <w:gridSpan w:val="2"/>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bookmarkStart w:id="112" w:name="del_td137d7199-ee32-49fa-962a-0baf74f08c"/>
            <w:bookmarkEnd w:id="112"/>
          </w:p>
        </w:tc>
      </w:tr>
      <w:tr>
        <w:trPr/>
        <w:tc>
          <w:tcPr>
            <w:tcW w:w="183" w:type="dxa"/>
            <w:tcBorders/>
            <w:shd w:fill="auto" w:val="clear"/>
            <w:vAlign w:val="center"/>
          </w:tcPr>
          <w:p>
            <w:pPr>
              <w:pStyle w:val="TableContents"/>
              <w:spacing w:before="0" w:after="0"/>
              <w:ind w:left="0" w:right="0" w:hanging="0"/>
              <w:rPr/>
            </w:pPr>
            <w:r>
              <w:rPr/>
              <w:t> </w:t>
            </w:r>
            <w:bookmarkStart w:id="113" w:name="del_tdd8a7daba-b32f-43ad-acc0-4ab0cef0fe"/>
            <w:bookmarkEnd w:id="113"/>
          </w:p>
        </w:tc>
        <w:tc>
          <w:tcPr>
            <w:tcW w:w="10022" w:type="dxa"/>
            <w:gridSpan w:val="2"/>
            <w:tcBorders/>
            <w:shd w:fill="auto" w:val="clear"/>
            <w:vAlign w:val="center"/>
          </w:tcPr>
          <w:p>
            <w:pPr>
              <w:pStyle w:val="TableContents"/>
              <w:spacing w:before="0" w:after="0"/>
              <w:ind w:left="0" w:right="0" w:hanging="0"/>
              <w:jc w:val="both"/>
              <w:rPr/>
            </w:pPr>
            <w:r>
              <w:rPr/>
              <w:t> </w:t>
            </w:r>
            <w:bookmarkStart w:id="114" w:name="del_td9b14855f-654c-4abc-ab64-ed51564e16"/>
            <w:bookmarkEnd w:id="114"/>
          </w:p>
        </w:tc>
      </w:tr>
      <w:tr>
        <w:trPr/>
        <w:tc>
          <w:tcPr>
            <w:tcW w:w="18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3.</w:t>
            </w:r>
            <w:bookmarkStart w:id="115" w:name="del_td3d01c0c3-f59c-4445-bbcf-2207acc6e7"/>
            <w:bookmarkEnd w:id="115"/>
          </w:p>
        </w:tc>
        <w:tc>
          <w:tcPr>
            <w:tcW w:w="10022" w:type="dxa"/>
            <w:gridSpan w:val="2"/>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bookmarkStart w:id="116" w:name="del_tde84b4b31-9fa5-416c-ab4d-e2629c7c99"/>
            <w:bookmarkEnd w:id="116"/>
          </w:p>
        </w:tc>
      </w:tr>
      <w:tr>
        <w:trPr/>
        <w:tc>
          <w:tcPr>
            <w:tcW w:w="183" w:type="dxa"/>
            <w:tcBorders/>
            <w:shd w:fill="auto" w:val="clear"/>
            <w:vAlign w:val="center"/>
          </w:tcPr>
          <w:p>
            <w:pPr>
              <w:pStyle w:val="TableContents"/>
              <w:spacing w:before="0" w:after="0"/>
              <w:ind w:left="0" w:right="0" w:hanging="0"/>
              <w:rPr/>
            </w:pPr>
            <w:r>
              <w:rPr/>
              <w:t> </w:t>
            </w:r>
            <w:bookmarkStart w:id="117" w:name="del_td78e7e81b-0c0b-4218-b446-e45a810489"/>
            <w:bookmarkEnd w:id="117"/>
          </w:p>
        </w:tc>
        <w:tc>
          <w:tcPr>
            <w:tcW w:w="10022" w:type="dxa"/>
            <w:gridSpan w:val="2"/>
            <w:tcBorders/>
            <w:shd w:fill="auto" w:val="clear"/>
            <w:vAlign w:val="center"/>
          </w:tcPr>
          <w:p>
            <w:pPr>
              <w:pStyle w:val="TableContents"/>
              <w:spacing w:before="0" w:after="0"/>
              <w:ind w:left="0" w:right="0" w:hanging="0"/>
              <w:jc w:val="both"/>
              <w:rPr/>
            </w:pPr>
            <w:r>
              <w:rPr/>
              <w:t> </w:t>
            </w:r>
            <w:bookmarkStart w:id="118" w:name="del_tdea7b5240-9d9f-4d55-acc5-1047eea6ee"/>
            <w:bookmarkEnd w:id="118"/>
          </w:p>
        </w:tc>
      </w:tr>
      <w:tr>
        <w:trPr/>
        <w:tc>
          <w:tcPr>
            <w:tcW w:w="18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4.</w:t>
            </w:r>
            <w:bookmarkStart w:id="119" w:name="del_td9c3f5b20-07ce-4d55-b585-9ccba3c2de"/>
            <w:bookmarkEnd w:id="119"/>
          </w:p>
        </w:tc>
        <w:tc>
          <w:tcPr>
            <w:tcW w:w="10022" w:type="dxa"/>
            <w:gridSpan w:val="2"/>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bookmarkStart w:id="120" w:name="del_td152359c9-3c97-4c5f-9f60-1cbc22ef9c"/>
            <w:bookmarkEnd w:id="120"/>
          </w:p>
        </w:tc>
      </w:tr>
      <w:tr>
        <w:trPr/>
        <w:tc>
          <w:tcPr>
            <w:tcW w:w="183" w:type="dxa"/>
            <w:tcBorders/>
            <w:shd w:fill="auto" w:val="clear"/>
            <w:vAlign w:val="center"/>
          </w:tcPr>
          <w:p>
            <w:pPr>
              <w:pStyle w:val="TableContents"/>
              <w:spacing w:before="0" w:after="0"/>
              <w:ind w:left="0" w:right="0" w:hanging="0"/>
              <w:jc w:val="right"/>
              <w:rPr/>
            </w:pPr>
            <w:r>
              <w:rPr/>
              <w:t> </w:t>
            </w:r>
            <w:bookmarkStart w:id="121" w:name="del_td371b23fc-6c47-4db9-8530-3b17a84d9a"/>
            <w:bookmarkEnd w:id="121"/>
          </w:p>
        </w:tc>
        <w:tc>
          <w:tcPr>
            <w:tcW w:w="10022" w:type="dxa"/>
            <w:gridSpan w:val="2"/>
            <w:tcBorders/>
            <w:shd w:fill="auto" w:val="clear"/>
            <w:vAlign w:val="center"/>
          </w:tcPr>
          <w:p>
            <w:pPr>
              <w:pStyle w:val="TableContents"/>
              <w:spacing w:before="0" w:after="0"/>
              <w:ind w:left="0" w:right="0" w:hanging="0"/>
              <w:jc w:val="both"/>
              <w:rPr/>
            </w:pPr>
            <w:r>
              <w:rPr/>
              <w:t> </w:t>
            </w:r>
            <w:bookmarkStart w:id="122" w:name="del_tdf65d832f-0a8f-41a7-8f86-c4416376aa"/>
            <w:bookmarkEnd w:id="122"/>
          </w:p>
        </w:tc>
      </w:tr>
      <w:tr>
        <w:trPr/>
        <w:tc>
          <w:tcPr>
            <w:tcW w:w="183" w:type="dxa"/>
            <w:tcBorders/>
            <w:shd w:fill="auto" w:val="clear"/>
            <w:vAlign w:val="center"/>
          </w:tcPr>
          <w:p>
            <w:pPr>
              <w:pStyle w:val="TableContents"/>
              <w:spacing w:before="0" w:after="0"/>
              <w:ind w:left="0" w:right="0" w:hanging="0"/>
              <w:jc w:val="right"/>
              <w:rPr/>
            </w:pPr>
            <w:r>
              <w:rPr/>
              <w:t> </w:t>
            </w:r>
            <w:bookmarkStart w:id="123" w:name="del_tdc762563d-3ad2-4364-b7e1-b61784e6af"/>
            <w:bookmarkEnd w:id="123"/>
          </w:p>
        </w:tc>
        <w:tc>
          <w:tcPr>
            <w:tcW w:w="23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(a)</w:t>
            </w:r>
            <w:bookmarkStart w:id="124" w:name="del_tdfdd1bbff-d0b9-4a53-97ea-fecba1daf4"/>
            <w:bookmarkEnd w:id="124"/>
          </w:p>
        </w:tc>
        <w:tc>
          <w:tcPr>
            <w:tcW w:w="9789"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bookmarkStart w:id="125" w:name="del_tda3473f8d-a4be-4845-b5b3-3c687ee6a1"/>
            <w:bookmarkEnd w:id="125"/>
          </w:p>
        </w:tc>
      </w:tr>
      <w:tr>
        <w:trPr/>
        <w:tc>
          <w:tcPr>
            <w:tcW w:w="183" w:type="dxa"/>
            <w:tcBorders/>
            <w:shd w:fill="auto" w:val="clear"/>
            <w:vAlign w:val="center"/>
          </w:tcPr>
          <w:p>
            <w:pPr>
              <w:pStyle w:val="TableContents"/>
              <w:spacing w:before="0" w:after="0"/>
              <w:ind w:left="0" w:right="0" w:hanging="0"/>
              <w:jc w:val="right"/>
              <w:rPr/>
            </w:pPr>
            <w:r>
              <w:rPr/>
              <w:t> </w:t>
            </w:r>
            <w:bookmarkStart w:id="126" w:name="del_td882cd137-6ea7-4dfe-ae62-cc0b44ef78"/>
            <w:bookmarkEnd w:id="126"/>
          </w:p>
        </w:tc>
        <w:tc>
          <w:tcPr>
            <w:tcW w:w="233" w:type="dxa"/>
            <w:tcBorders/>
            <w:shd w:fill="auto" w:val="clear"/>
            <w:vAlign w:val="center"/>
          </w:tcPr>
          <w:p>
            <w:pPr>
              <w:pStyle w:val="TableContents"/>
              <w:spacing w:before="0" w:after="0"/>
              <w:ind w:left="0" w:right="0" w:hanging="0"/>
              <w:rPr/>
            </w:pPr>
            <w:r>
              <w:rPr/>
              <w:t> </w:t>
            </w:r>
            <w:bookmarkStart w:id="127" w:name="del_tda3f8df46-41a4-4a1e-b7a2-f99188f1a3"/>
            <w:bookmarkEnd w:id="127"/>
          </w:p>
        </w:tc>
        <w:tc>
          <w:tcPr>
            <w:tcW w:w="9789" w:type="dxa"/>
            <w:tcBorders/>
            <w:shd w:fill="auto" w:val="clear"/>
            <w:vAlign w:val="center"/>
          </w:tcPr>
          <w:p>
            <w:pPr>
              <w:pStyle w:val="TableContents"/>
              <w:spacing w:before="0" w:after="0"/>
              <w:ind w:left="0" w:right="0" w:hanging="0"/>
              <w:jc w:val="both"/>
              <w:rPr/>
            </w:pPr>
            <w:r>
              <w:rPr/>
              <w:t> </w:t>
            </w:r>
            <w:bookmarkStart w:id="128" w:name="del_td61cecd83-067c-4842-922f-ca36a8c985"/>
            <w:bookmarkEnd w:id="128"/>
          </w:p>
        </w:tc>
      </w:tr>
      <w:tr>
        <w:trPr/>
        <w:tc>
          <w:tcPr>
            <w:tcW w:w="183" w:type="dxa"/>
            <w:tcBorders/>
            <w:shd w:fill="auto" w:val="clear"/>
            <w:vAlign w:val="center"/>
          </w:tcPr>
          <w:p>
            <w:pPr>
              <w:pStyle w:val="TableContents"/>
              <w:spacing w:before="0" w:after="0"/>
              <w:ind w:left="0" w:right="0" w:hanging="0"/>
              <w:jc w:val="right"/>
              <w:rPr/>
            </w:pPr>
            <w:r>
              <w:rPr/>
              <w:t> </w:t>
            </w:r>
            <w:bookmarkStart w:id="129" w:name="del_td2e8e9a28-b299-4a36-bd53-18acfc5471"/>
            <w:bookmarkEnd w:id="129"/>
          </w:p>
        </w:tc>
        <w:tc>
          <w:tcPr>
            <w:tcW w:w="23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(b)</w:t>
            </w:r>
            <w:bookmarkStart w:id="130" w:name="del_td3e38ed31-7ef5-4bf4-99b2-e0119b9a23"/>
            <w:bookmarkEnd w:id="130"/>
          </w:p>
        </w:tc>
        <w:tc>
          <w:tcPr>
            <w:tcW w:w="9789"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bookmarkStart w:id="131" w:name="del_tddb3ecf7e-f1d8-4813-80ca-771a51c08f"/>
            <w:bookmarkEnd w:id="131"/>
          </w:p>
        </w:tc>
      </w:tr>
      <w:tr>
        <w:trPr/>
        <w:tc>
          <w:tcPr>
            <w:tcW w:w="183" w:type="dxa"/>
            <w:tcBorders/>
            <w:shd w:fill="auto" w:val="clear"/>
            <w:vAlign w:val="center"/>
          </w:tcPr>
          <w:p>
            <w:pPr>
              <w:pStyle w:val="TableContents"/>
              <w:spacing w:before="0" w:after="0"/>
              <w:ind w:left="0" w:right="0" w:hanging="0"/>
              <w:jc w:val="right"/>
              <w:rPr/>
            </w:pPr>
            <w:r>
              <w:rPr/>
              <w:t> </w:t>
            </w:r>
            <w:bookmarkStart w:id="132" w:name="del_tdd9f18122-505f-413d-93e4-9b5a1da3d0"/>
            <w:bookmarkEnd w:id="132"/>
          </w:p>
        </w:tc>
        <w:tc>
          <w:tcPr>
            <w:tcW w:w="233" w:type="dxa"/>
            <w:tcBorders/>
            <w:shd w:fill="auto" w:val="clear"/>
            <w:vAlign w:val="center"/>
          </w:tcPr>
          <w:p>
            <w:pPr>
              <w:pStyle w:val="TableContents"/>
              <w:spacing w:before="0" w:after="0"/>
              <w:ind w:left="0" w:right="0" w:hanging="0"/>
              <w:rPr/>
            </w:pPr>
            <w:r>
              <w:rPr/>
              <w:t> </w:t>
            </w:r>
            <w:bookmarkStart w:id="133" w:name="del_tdf73486b2-cd3d-4185-8e46-acb467929a"/>
            <w:bookmarkEnd w:id="133"/>
          </w:p>
        </w:tc>
        <w:tc>
          <w:tcPr>
            <w:tcW w:w="9789" w:type="dxa"/>
            <w:tcBorders/>
            <w:shd w:fill="auto" w:val="clear"/>
            <w:vAlign w:val="center"/>
          </w:tcPr>
          <w:p>
            <w:pPr>
              <w:pStyle w:val="TableContents"/>
              <w:spacing w:before="0" w:after="0"/>
              <w:ind w:left="0" w:right="0" w:hanging="0"/>
              <w:jc w:val="both"/>
              <w:rPr/>
            </w:pPr>
            <w:r>
              <w:rPr/>
              <w:t> </w:t>
            </w:r>
            <w:bookmarkStart w:id="134" w:name="del_tdfe70e7c6-06d8-4946-a103-88719edaf7"/>
            <w:bookmarkEnd w:id="134"/>
          </w:p>
        </w:tc>
      </w:tr>
      <w:tr>
        <w:trPr/>
        <w:tc>
          <w:tcPr>
            <w:tcW w:w="183" w:type="dxa"/>
            <w:tcBorders/>
            <w:shd w:fill="auto" w:val="clear"/>
            <w:vAlign w:val="center"/>
          </w:tcPr>
          <w:p>
            <w:pPr>
              <w:pStyle w:val="TableContents"/>
              <w:spacing w:before="0" w:after="0"/>
              <w:ind w:left="0" w:right="0" w:hanging="0"/>
              <w:jc w:val="right"/>
              <w:rPr/>
            </w:pPr>
            <w:r>
              <w:rPr/>
              <w:t> </w:t>
            </w:r>
            <w:bookmarkStart w:id="135" w:name="del_td90436eb1-9fbb-43f3-be54-7d3db3181d"/>
            <w:bookmarkEnd w:id="135"/>
          </w:p>
        </w:tc>
        <w:tc>
          <w:tcPr>
            <w:tcW w:w="23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(c)</w:t>
            </w:r>
            <w:bookmarkStart w:id="136" w:name="del_tdc6a01f7d-7101-44ae-a456-6227f995b4"/>
            <w:bookmarkEnd w:id="136"/>
          </w:p>
        </w:tc>
        <w:tc>
          <w:tcPr>
            <w:tcW w:w="9789"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bookmarkStart w:id="137" w:name="del_tdc6896d9b-98c0-4b15-ba3d-fc0cb0453d"/>
            <w:bookmarkEnd w:id="137"/>
          </w:p>
        </w:tc>
      </w:tr>
      <w:tr>
        <w:trPr/>
        <w:tc>
          <w:tcPr>
            <w:tcW w:w="183" w:type="dxa"/>
            <w:tcBorders/>
            <w:shd w:fill="auto" w:val="clear"/>
            <w:vAlign w:val="center"/>
          </w:tcPr>
          <w:p>
            <w:pPr>
              <w:pStyle w:val="TableContents"/>
              <w:spacing w:before="0" w:after="0"/>
              <w:ind w:left="0" w:right="0" w:hanging="0"/>
              <w:jc w:val="right"/>
              <w:rPr/>
            </w:pPr>
            <w:r>
              <w:rPr/>
              <w:t> </w:t>
            </w:r>
            <w:bookmarkStart w:id="138" w:name="del_tda8775791-6eb2-4090-a2d3-205a4db439"/>
            <w:bookmarkEnd w:id="138"/>
          </w:p>
        </w:tc>
        <w:tc>
          <w:tcPr>
            <w:tcW w:w="233" w:type="dxa"/>
            <w:tcBorders/>
            <w:shd w:fill="auto" w:val="clear"/>
            <w:vAlign w:val="center"/>
          </w:tcPr>
          <w:p>
            <w:pPr>
              <w:pStyle w:val="TableContents"/>
              <w:spacing w:before="0" w:after="0"/>
              <w:ind w:left="0" w:right="0" w:hanging="0"/>
              <w:rPr/>
            </w:pPr>
            <w:r>
              <w:rPr/>
              <w:t> </w:t>
            </w:r>
            <w:bookmarkStart w:id="139" w:name="del_td49365777-a14f-42c8-b939-29be049b49"/>
            <w:bookmarkEnd w:id="139"/>
          </w:p>
        </w:tc>
        <w:tc>
          <w:tcPr>
            <w:tcW w:w="9789" w:type="dxa"/>
            <w:tcBorders/>
            <w:shd w:fill="auto" w:val="clear"/>
            <w:vAlign w:val="center"/>
          </w:tcPr>
          <w:p>
            <w:pPr>
              <w:pStyle w:val="TableContents"/>
              <w:spacing w:before="0" w:after="0"/>
              <w:ind w:left="0" w:right="0" w:hanging="0"/>
              <w:jc w:val="both"/>
              <w:rPr/>
            </w:pPr>
            <w:r>
              <w:rPr/>
              <w:t> </w:t>
            </w:r>
            <w:bookmarkStart w:id="140" w:name="del_td1607feb1-75d0-4219-8013-cba3aee220"/>
            <w:bookmarkEnd w:id="140"/>
          </w:p>
        </w:tc>
      </w:tr>
      <w:tr>
        <w:trPr/>
        <w:tc>
          <w:tcPr>
            <w:tcW w:w="183" w:type="dxa"/>
            <w:tcBorders/>
            <w:shd w:fill="auto" w:val="clear"/>
            <w:vAlign w:val="center"/>
          </w:tcPr>
          <w:p>
            <w:pPr>
              <w:pStyle w:val="TableContents"/>
              <w:spacing w:before="0" w:after="0"/>
              <w:ind w:left="0" w:right="0" w:hanging="0"/>
              <w:jc w:val="right"/>
              <w:rPr/>
            </w:pPr>
            <w:r>
              <w:rPr/>
              <w:t> </w:t>
            </w:r>
            <w:bookmarkStart w:id="141" w:name="del_td543a159c-2294-4b59-9e1c-bfa161a4fc"/>
            <w:bookmarkEnd w:id="141"/>
          </w:p>
        </w:tc>
        <w:tc>
          <w:tcPr>
            <w:tcW w:w="23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(d)</w:t>
            </w:r>
            <w:bookmarkStart w:id="142" w:name="del_td754d8ae7-7d4e-4621-94a8-8101483377"/>
            <w:bookmarkEnd w:id="142"/>
          </w:p>
        </w:tc>
        <w:tc>
          <w:tcPr>
            <w:tcW w:w="9789"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bookmarkStart w:id="143" w:name="del_td08f16547-6ac7-480c-a5b3-af813da564"/>
            <w:bookmarkEnd w:id="143"/>
          </w:p>
        </w:tc>
      </w:tr>
      <w:tr>
        <w:trPr/>
        <w:tc>
          <w:tcPr>
            <w:tcW w:w="183" w:type="dxa"/>
            <w:tcBorders/>
            <w:shd w:fill="auto" w:val="clear"/>
            <w:vAlign w:val="center"/>
          </w:tcPr>
          <w:p>
            <w:pPr>
              <w:pStyle w:val="TableContents"/>
              <w:spacing w:before="0" w:after="0"/>
              <w:ind w:left="0" w:right="0" w:hanging="0"/>
              <w:jc w:val="right"/>
              <w:rPr/>
            </w:pPr>
            <w:r>
              <w:rPr/>
              <w:t> </w:t>
            </w:r>
            <w:bookmarkStart w:id="144" w:name="del_tdc61c67b2-6216-4369-bbed-2a56458708"/>
            <w:bookmarkEnd w:id="144"/>
          </w:p>
        </w:tc>
        <w:tc>
          <w:tcPr>
            <w:tcW w:w="10022" w:type="dxa"/>
            <w:gridSpan w:val="2"/>
            <w:tcBorders/>
            <w:shd w:fill="auto" w:val="clear"/>
            <w:vAlign w:val="center"/>
          </w:tcPr>
          <w:p>
            <w:pPr>
              <w:pStyle w:val="TableContents"/>
              <w:spacing w:before="0" w:after="0"/>
              <w:ind w:left="0" w:right="0" w:hanging="0"/>
              <w:jc w:val="both"/>
              <w:rPr/>
            </w:pPr>
            <w:r>
              <w:rPr/>
              <w:t> </w:t>
            </w:r>
            <w:bookmarkStart w:id="145" w:name="del_td754215a2-aed2-4967-9423-e9ddb46ade"/>
            <w:bookmarkEnd w:id="145"/>
          </w:p>
        </w:tc>
      </w:tr>
      <w:tr>
        <w:trPr/>
        <w:tc>
          <w:tcPr>
            <w:tcW w:w="18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5.</w:t>
            </w:r>
            <w:bookmarkStart w:id="146" w:name="del_td0714e3d5-da6c-4612-9cd4-0082992fec"/>
            <w:bookmarkEnd w:id="146"/>
          </w:p>
        </w:tc>
        <w:tc>
          <w:tcPr>
            <w:tcW w:w="10022" w:type="dxa"/>
            <w:gridSpan w:val="2"/>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bookmarkStart w:id="147" w:name="del_td60ed83de-cc56-42b8-80b1-1c6c524e85"/>
            <w:bookmarkEnd w:id="147"/>
          </w:p>
        </w:tc>
      </w:tr>
      <w:tr>
        <w:trPr/>
        <w:tc>
          <w:tcPr>
            <w:tcW w:w="183" w:type="dxa"/>
            <w:tcBorders/>
            <w:shd w:fill="auto" w:val="clear"/>
            <w:vAlign w:val="center"/>
          </w:tcPr>
          <w:p>
            <w:pPr>
              <w:pStyle w:val="TableContents"/>
              <w:spacing w:before="0" w:after="0"/>
              <w:ind w:left="0" w:right="0" w:hanging="0"/>
              <w:jc w:val="right"/>
              <w:rPr/>
            </w:pPr>
            <w:r>
              <w:rPr/>
              <w:t> </w:t>
            </w:r>
            <w:bookmarkStart w:id="148" w:name="del_td420f5376-2349-4232-a374-8430857542"/>
            <w:bookmarkEnd w:id="148"/>
          </w:p>
        </w:tc>
        <w:tc>
          <w:tcPr>
            <w:tcW w:w="10022" w:type="dxa"/>
            <w:gridSpan w:val="2"/>
            <w:tcBorders/>
            <w:shd w:fill="auto" w:val="clear"/>
            <w:vAlign w:val="center"/>
          </w:tcPr>
          <w:p>
            <w:pPr>
              <w:pStyle w:val="TableContents"/>
              <w:spacing w:before="0" w:after="0"/>
              <w:ind w:left="0" w:right="0" w:hanging="0"/>
              <w:jc w:val="both"/>
              <w:rPr/>
            </w:pPr>
            <w:r>
              <w:rPr/>
              <w:t> </w:t>
            </w:r>
            <w:bookmarkStart w:id="149" w:name="del_tdee5d8a90-1d90-415b-b204-aa1f57edbb"/>
            <w:bookmarkEnd w:id="149"/>
          </w:p>
        </w:tc>
      </w:tr>
      <w:tr>
        <w:trPr/>
        <w:tc>
          <w:tcPr>
            <w:tcW w:w="183" w:type="dxa"/>
            <w:tcBorders/>
            <w:shd w:fill="auto" w:val="clear"/>
            <w:vAlign w:val="center"/>
          </w:tcPr>
          <w:p>
            <w:pPr>
              <w:pStyle w:val="TableContents"/>
              <w:spacing w:before="0" w:after="0"/>
              <w:ind w:left="0" w:right="0" w:hanging="0"/>
              <w:jc w:val="right"/>
              <w:rPr/>
            </w:pPr>
            <w:r>
              <w:rPr/>
              <w:t> </w:t>
            </w:r>
            <w:bookmarkStart w:id="150" w:name="del_td36805698-ec44-451a-b236-60e5792232"/>
            <w:bookmarkEnd w:id="150"/>
          </w:p>
        </w:tc>
        <w:tc>
          <w:tcPr>
            <w:tcW w:w="23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(a)</w:t>
            </w:r>
            <w:bookmarkStart w:id="151" w:name="del_td60780932-5e56-4369-bcb2-c3e4e72f9c"/>
            <w:bookmarkEnd w:id="151"/>
          </w:p>
        </w:tc>
        <w:tc>
          <w:tcPr>
            <w:tcW w:w="9789"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bookmarkStart w:id="152" w:name="del_td1e9daf1a-87dd-4fd9-a431-4f266c2e78"/>
            <w:bookmarkEnd w:id="152"/>
          </w:p>
        </w:tc>
      </w:tr>
      <w:tr>
        <w:trPr/>
        <w:tc>
          <w:tcPr>
            <w:tcW w:w="183" w:type="dxa"/>
            <w:tcBorders/>
            <w:shd w:fill="auto" w:val="clear"/>
            <w:vAlign w:val="center"/>
          </w:tcPr>
          <w:p>
            <w:pPr>
              <w:pStyle w:val="TableContents"/>
              <w:spacing w:before="0" w:after="0"/>
              <w:ind w:left="0" w:right="0" w:hanging="0"/>
              <w:jc w:val="right"/>
              <w:rPr/>
            </w:pPr>
            <w:r>
              <w:rPr/>
              <w:t> </w:t>
            </w:r>
            <w:bookmarkStart w:id="153" w:name="del_td2519aae2-3a67-4b2e-aa54-6db8221e5e"/>
            <w:bookmarkEnd w:id="153"/>
          </w:p>
        </w:tc>
        <w:tc>
          <w:tcPr>
            <w:tcW w:w="233" w:type="dxa"/>
            <w:tcBorders/>
            <w:shd w:fill="auto" w:val="clear"/>
            <w:vAlign w:val="center"/>
          </w:tcPr>
          <w:p>
            <w:pPr>
              <w:pStyle w:val="TableContents"/>
              <w:spacing w:before="0" w:after="0"/>
              <w:ind w:left="0" w:right="0" w:hanging="0"/>
              <w:rPr/>
            </w:pPr>
            <w:r>
              <w:rPr/>
              <w:t> </w:t>
            </w:r>
            <w:bookmarkStart w:id="154" w:name="del_td747cc694-2ba9-4929-a1fb-bec1903525"/>
            <w:bookmarkEnd w:id="154"/>
          </w:p>
        </w:tc>
        <w:tc>
          <w:tcPr>
            <w:tcW w:w="9789" w:type="dxa"/>
            <w:tcBorders/>
            <w:shd w:fill="auto" w:val="clear"/>
            <w:vAlign w:val="center"/>
          </w:tcPr>
          <w:p>
            <w:pPr>
              <w:pStyle w:val="TableContents"/>
              <w:spacing w:before="0" w:after="0"/>
              <w:ind w:left="0" w:right="0" w:hanging="0"/>
              <w:jc w:val="both"/>
              <w:rPr/>
            </w:pPr>
            <w:r>
              <w:rPr/>
              <w:t> </w:t>
            </w:r>
            <w:bookmarkStart w:id="155" w:name="del_td7280bc14-f655-480e-aefa-92d0439365"/>
            <w:bookmarkEnd w:id="155"/>
          </w:p>
        </w:tc>
      </w:tr>
      <w:tr>
        <w:trPr/>
        <w:tc>
          <w:tcPr>
            <w:tcW w:w="183" w:type="dxa"/>
            <w:tcBorders/>
            <w:shd w:fill="auto" w:val="clear"/>
            <w:vAlign w:val="center"/>
          </w:tcPr>
          <w:p>
            <w:pPr>
              <w:pStyle w:val="TableContents"/>
              <w:spacing w:before="0" w:after="0"/>
              <w:ind w:left="0" w:right="0" w:hanging="0"/>
              <w:jc w:val="right"/>
              <w:rPr/>
            </w:pPr>
            <w:r>
              <w:rPr/>
              <w:t> </w:t>
            </w:r>
            <w:bookmarkStart w:id="156" w:name="del_tdc5972923-cb8e-4988-964c-3827662d85"/>
            <w:bookmarkEnd w:id="156"/>
          </w:p>
        </w:tc>
        <w:tc>
          <w:tcPr>
            <w:tcW w:w="233"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(b)</w:t>
            </w:r>
            <w:bookmarkStart w:id="157" w:name="del_tdad2eb6c1-df83-4c82-b754-c23df05914"/>
            <w:bookmarkEnd w:id="157"/>
          </w:p>
        </w:tc>
        <w:tc>
          <w:tcPr>
            <w:tcW w:w="9789"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jc w:val="both"/>
        <w:rPr/>
      </w:pPr>
      <w:r>
        <w:rPr/>
        <w:t> </w:t>
      </w:r>
    </w:p>
    <w:tbl>
      <w:tblPr>
        <w:tblW w:w="3970" w:type="dxa"/>
        <w:jc w:val="left"/>
        <w:tblInd w:w="0" w:type="dxa"/>
        <w:tblCellMar>
          <w:top w:w="0" w:type="dxa"/>
          <w:left w:w="0" w:type="dxa"/>
          <w:bottom w:w="0" w:type="dxa"/>
          <w:right w:w="0" w:type="dxa"/>
        </w:tblCellMar>
      </w:tblPr>
      <w:tblGrid>
        <w:gridCol w:w="1835"/>
        <w:gridCol w:w="90"/>
        <w:gridCol w:w="1910"/>
        <w:gridCol w:w="135"/>
      </w:tblGrid>
      <w:tr>
        <w:trPr/>
        <w:tc>
          <w:tcPr>
            <w:tcW w:w="1835"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Date: March 31, 2023</w:t>
            </w:r>
          </w:p>
        </w:tc>
        <w:tc>
          <w:tcPr>
            <w:tcW w:w="90" w:type="dxa"/>
            <w:tcBorders/>
            <w:shd w:fill="auto" w:val="clear"/>
            <w:vAlign w:val="center"/>
          </w:tcPr>
          <w:p>
            <w:pPr>
              <w:pStyle w:val="TableContents"/>
              <w:spacing w:before="0" w:after="0"/>
              <w:ind w:left="0" w:right="0" w:hanging="0"/>
              <w:rPr/>
            </w:pPr>
            <w:r>
              <w:rPr/>
              <w:t> </w:t>
            </w:r>
          </w:p>
        </w:tc>
        <w:tc>
          <w:tcPr>
            <w:tcW w:w="1910" w:type="dxa"/>
            <w:tcBorders/>
            <w:shd w:fill="auto" w:val="clear"/>
            <w:vAlign w:val="center"/>
          </w:tcPr>
          <w:p>
            <w:pPr>
              <w:pStyle w:val="TableContents"/>
              <w:spacing w:before="0" w:after="0"/>
              <w:ind w:left="0" w:right="0" w:hanging="0"/>
              <w:jc w:val="both"/>
              <w:rPr/>
            </w:pPr>
            <w:r>
              <w:rPr/>
              <w:t> </w:t>
            </w:r>
          </w:p>
        </w:tc>
        <w:tc>
          <w:tcPr>
            <w:tcW w:w="135" w:type="dxa"/>
            <w:tcBorders/>
            <w:shd w:fill="auto" w:val="clear"/>
            <w:vAlign w:val="center"/>
          </w:tcPr>
          <w:p>
            <w:pPr>
              <w:pStyle w:val="TableContents"/>
              <w:spacing w:before="0" w:after="0"/>
              <w:ind w:left="0" w:right="0" w:hanging="0"/>
              <w:rPr/>
            </w:pPr>
            <w:r>
              <w:rPr/>
              <w:t> </w:t>
            </w:r>
          </w:p>
        </w:tc>
      </w:tr>
      <w:tr>
        <w:trPr/>
        <w:tc>
          <w:tcPr>
            <w:tcW w:w="1835" w:type="dxa"/>
            <w:tcBorders/>
            <w:shd w:fill="auto" w:val="clear"/>
            <w:vAlign w:val="center"/>
          </w:tcPr>
          <w:p>
            <w:pPr>
              <w:pStyle w:val="TableContents"/>
              <w:spacing w:before="0" w:after="0"/>
              <w:ind w:left="0" w:right="0" w:hanging="0"/>
              <w:jc w:val="both"/>
              <w:rPr/>
            </w:pPr>
            <w:r>
              <w:rPr/>
              <w:t> </w:t>
            </w:r>
          </w:p>
        </w:tc>
        <w:tc>
          <w:tcPr>
            <w:tcW w:w="90" w:type="dxa"/>
            <w:tcBorders/>
            <w:shd w:fill="auto" w:val="clear"/>
            <w:vAlign w:val="center"/>
          </w:tcPr>
          <w:p>
            <w:pPr>
              <w:pStyle w:val="TableContents"/>
              <w:spacing w:before="0" w:after="0"/>
              <w:ind w:left="0" w:right="0" w:hanging="0"/>
              <w:rPr/>
            </w:pPr>
            <w:r>
              <w:rPr/>
              <w:t> </w:t>
            </w:r>
          </w:p>
        </w:tc>
        <w:tc>
          <w:tcPr>
            <w:tcW w:w="1910" w:type="dxa"/>
            <w:tcBorders>
              <w:bottom w:val="single" w:sz="2" w:space="0" w:color="000000"/>
            </w:tcBorders>
            <w:shd w:fill="auto" w:val="clear"/>
            <w:tcMar>
              <w:bottom w:w="28" w:type="dxa"/>
            </w:tcM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/s/ Jennifer L. Gravelle</w:t>
            </w:r>
          </w:p>
        </w:tc>
        <w:tc>
          <w:tcPr>
            <w:tcW w:w="135" w:type="dxa"/>
            <w:tcBorders/>
            <w:shd w:fill="auto" w:val="clear"/>
            <w:vAlign w:val="center"/>
          </w:tcPr>
          <w:p>
            <w:pPr>
              <w:pStyle w:val="TableContents"/>
              <w:spacing w:before="0" w:after="0"/>
              <w:ind w:left="0" w:right="0" w:hanging="0"/>
              <w:rPr/>
            </w:pPr>
            <w:r>
              <w:rPr/>
              <w:t> </w:t>
            </w:r>
          </w:p>
        </w:tc>
      </w:tr>
      <w:tr>
        <w:trPr/>
        <w:tc>
          <w:tcPr>
            <w:tcW w:w="183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910" w:type="dxa"/>
            <w:tcBorders/>
            <w:shd w:fill="auto" w:val="clear"/>
            <w:vAlign w:val="center"/>
          </w:tcPr>
          <w:p>
            <w:pPr>
              <w:pStyle w:val="TableContents"/>
              <w:spacing w:before="0" w:after="0"/>
              <w:ind w:left="0" w:right="0" w:hanging="0"/>
              <w:rPr>
                <w:rFonts w:ascii="times new roman" w:hAnsi="times new roman"/>
                <w:sz w:val="20"/>
              </w:rPr>
            </w:pPr>
            <w:r>
              <w:rPr>
                <w:rFonts w:ascii="times new roman" w:hAnsi="times new roman"/>
                <w:sz w:val="20"/>
              </w:rPr>
              <w:t>Jennifer L. Gravelle</w:t>
            </w:r>
          </w:p>
        </w:tc>
        <w:tc>
          <w:tcPr>
            <w:tcW w:w="135" w:type="dxa"/>
            <w:tcBorders/>
            <w:shd w:fill="auto" w:val="clear"/>
            <w:vAlign w:val="center"/>
          </w:tcPr>
          <w:p>
            <w:pPr>
              <w:pStyle w:val="TableContents"/>
              <w:spacing w:before="0" w:after="0"/>
              <w:ind w:left="0" w:right="0" w:hanging="0"/>
              <w:rPr/>
            </w:pPr>
            <w:r>
              <w:rPr/>
              <w:t> </w:t>
            </w:r>
          </w:p>
        </w:tc>
      </w:tr>
      <w:tr>
        <w:trPr/>
        <w:tc>
          <w:tcPr>
            <w:tcW w:w="1835" w:type="dxa"/>
            <w:tcBorders/>
            <w:shd w:fill="auto" w:val="clear"/>
            <w:vAlign w:val="center"/>
          </w:tcPr>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rPr/>
            </w:pPr>
            <w:r>
              <w:rPr/>
              <w:t> </w:t>
            </w:r>
          </w:p>
        </w:tc>
        <w:tc>
          <w:tcPr>
            <w:tcW w:w="1910" w:type="dxa"/>
            <w:tcBorders/>
            <w:shd w:fill="auto" w:val="clear"/>
            <w:vAlign w:val="center"/>
          </w:tcPr>
          <w:p>
            <w:pPr>
              <w:pStyle w:val="TableContents"/>
              <w:spacing w:before="0" w:after="0"/>
              <w:ind w:left="0" w:right="0" w:hanging="0"/>
              <w:jc w:val="both"/>
              <w:rPr>
                <w:rFonts w:ascii="times new roman" w:hAnsi="times new roman"/>
                <w:sz w:val="20"/>
              </w:rPr>
            </w:pPr>
            <w:r>
              <w:rPr>
                <w:rFonts w:ascii="times new roman" w:hAnsi="times new roman"/>
                <w:sz w:val="20"/>
              </w:rPr>
              <w:t>Chief Financial Officer</w:t>
            </w:r>
          </w:p>
        </w:tc>
        <w:tc>
          <w:tcPr>
            <w:tcW w:w="135" w:type="dxa"/>
            <w:tcBorders/>
            <w:shd w:fill="auto" w:val="clear"/>
            <w:vAlign w:val="center"/>
          </w:tcPr>
          <w:p>
            <w:pPr>
              <w:pStyle w:val="TableContents"/>
              <w:spacing w:before="0" w:after="0"/>
              <w:ind w:left="0" w:right="0" w:hanging="0"/>
              <w:rPr/>
            </w:pPr>
            <w:r>
              <w:rPr/>
              <w:t> </w:t>
            </w:r>
          </w:p>
        </w:tc>
      </w:tr>
    </w:tbl>
    <w:p>
      <w:pPr>
        <w:pStyle w:val="TextBody"/>
        <w:spacing w:before="0" w:after="0"/>
        <w:ind w:left="0" w:right="0" w:hanging="0"/>
        <w:jc w:val="both"/>
        <w:rPr/>
      </w:pPr>
      <w:r>
        <w:rPr/>
        <w:t> </w:t>
      </w:r>
      <w:r>
        <w:br w:type="page"/>
      </w:r>
    </w:p>
    <w:p>
      <w:pPr>
        <w:pStyle w:val="TextBody"/>
        <w:spacing w:before="0" w:after="0"/>
        <w:ind w:left="0" w:right="0" w:hanging="0"/>
        <w:jc w:val="right"/>
        <w:rPr/>
      </w:pPr>
      <w:bookmarkStart w:id="158" w:name="king_ex32.htm"/>
      <w:bookmarkStart w:id="159" w:name="ksking_ex32"/>
      <w:bookmarkEnd w:id="158"/>
      <w:bookmarkEnd w:id="159"/>
      <w:r>
        <w:rPr>
          <w:rStyle w:val="StrongEmphasis"/>
          <w:rFonts w:ascii="times new roman" w:hAnsi="times new roman"/>
          <w:sz w:val="20"/>
        </w:rPr>
        <w:t>EXHIBIT 32</w:t>
      </w:r>
    </w:p>
    <w:p>
      <w:pPr>
        <w:pStyle w:val="TextBody"/>
        <w:spacing w:before="0" w:after="0"/>
        <w:ind w:left="0" w:right="0" w:hanging="0"/>
        <w:jc w:val="center"/>
        <w:rPr/>
      </w:pPr>
      <w:r>
        <w:rPr/>
        <w:t> </w:t>
      </w:r>
    </w:p>
    <w:p>
      <w:pPr>
        <w:pStyle w:val="TextBody"/>
        <w:spacing w:before="0" w:after="0"/>
        <w:ind w:left="0" w:right="0" w:hanging="0"/>
        <w:jc w:val="center"/>
        <w:rPr/>
      </w:pPr>
      <w:r>
        <w:rPr>
          <w:rStyle w:val="StrongEmphasis"/>
          <w:rFonts w:ascii="times new roman" w:hAnsi="times new roman"/>
          <w:sz w:val="20"/>
        </w:rPr>
        <w:t>CERTIFICATION OF CHIEF EXECUTIVE OFFICER</w:t>
      </w:r>
    </w:p>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AND CHIEF FINANCIAL OFFICER</w:t>
      </w:r>
    </w:p>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PURSUANT TO</w:t>
      </w:r>
    </w:p>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18 U.S.C. SECTION 1350,</w:t>
      </w:r>
    </w:p>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AS ADOPTED PURSUANT TO</w:t>
      </w:r>
    </w:p>
    <w:p>
      <w:pPr>
        <w:pStyle w:val="TextBody"/>
        <w:spacing w:before="0" w:after="0"/>
        <w:ind w:left="0" w:right="0" w:hanging="0"/>
        <w:jc w:val="both"/>
        <w:rPr/>
      </w:pPr>
      <w:r>
        <w:rPr/>
        <w:t> </w:t>
      </w:r>
    </w:p>
    <w:p>
      <w:pPr>
        <w:pStyle w:val="TextBody"/>
        <w:spacing w:before="0" w:after="0"/>
        <w:ind w:left="0" w:right="0" w:hanging="0"/>
        <w:jc w:val="center"/>
        <w:rPr/>
      </w:pPr>
      <w:r>
        <w:rPr>
          <w:rStyle w:val="StrongEmphasis"/>
          <w:rFonts w:ascii="times new roman" w:hAnsi="times new roman"/>
          <w:sz w:val="20"/>
        </w:rPr>
        <w:t>SECTION 906 OF THE SARBANES-OXLEY ACT OF 2002</w:t>
      </w:r>
    </w:p>
    <w:p>
      <w:pPr>
        <w:pStyle w:val="TextBody"/>
        <w:spacing w:before="0" w:after="0"/>
        <w:ind w:left="0" w:right="0" w:hanging="0"/>
        <w:jc w:val="center"/>
        <w:rPr/>
      </w:pPr>
      <w:r>
        <w:rPr/>
        <w:t> </w:t>
      </w:r>
    </w:p>
    <w:p>
      <w:pPr>
        <w:pStyle w:val="TextBody"/>
        <w:spacing w:before="0" w:after="0"/>
        <w:ind w:left="0" w:right="0" w:firstLine="1350"/>
        <w:jc w:val="both"/>
        <w:rPr>
          <w:rFonts w:ascii="times new roman" w:hAnsi="times new roman"/>
          <w:sz w:val="20"/>
        </w:rPr>
      </w:pPr>
      <w:r>
        <w:rPr>
          <w:rFonts w:ascii="times new roman" w:hAnsi="times new roman"/>
          <w:sz w:val="20"/>
        </w:rPr>
        <w:t xml:space="preserve">The undersigned hereby certify, pursuant to, and as required by, 18 U.S.C. Section 1350, as adopted pursuant to Section 906 of the Sarbanes-Oxley Act of 2002, that the Annual Report of Kingstone Companies, Inc. (the “Company”) on Form 10-K for the year ended December 31, 2022 fully complies with the requirements of Section 13(a) or 15(d) of the Securities Exchange Act of 1934, as amended, and that information contained in such Annual Report on Form 10-K fairly presents, in all material respects, the financial condition and results of operations of the Company. </w:t>
      </w:r>
    </w:p>
    <w:p>
      <w:pPr>
        <w:pStyle w:val="TextBody"/>
        <w:spacing w:before="0" w:after="0"/>
        <w:ind w:left="0" w:right="0" w:hanging="0"/>
        <w:jc w:val="both"/>
        <w:rPr/>
      </w:pPr>
      <w:r>
        <w:rPr/>
        <w:t> </w:t>
      </w:r>
    </w:p>
    <w:tbl>
      <w:tblPr>
        <w:tblW w:w="4930" w:type="dxa"/>
        <w:jc w:val="left"/>
        <w:tblInd w:w="0" w:type="dxa"/>
        <w:tblCellMar>
          <w:top w:w="0" w:type="dxa"/>
          <w:left w:w="0" w:type="dxa"/>
          <w:bottom w:w="0" w:type="dxa"/>
          <w:right w:w="0" w:type="dxa"/>
        </w:tblCellMar>
      </w:tblPr>
      <w:tblGrid>
        <w:gridCol w:w="2330"/>
        <w:gridCol w:w="90"/>
        <w:gridCol w:w="2375"/>
        <w:gridCol w:w="135"/>
      </w:tblGrid>
      <w:tr>
        <w:trPr/>
        <w:tc>
          <w:tcPr>
            <w:tcW w:w="2330" w:type="dxa"/>
            <w:tcBorders/>
            <w:shd w:fill="auto" w:val="clear"/>
            <w:vAlign w:val="center"/>
          </w:tcPr>
          <w:p>
            <w:pPr>
              <w:pStyle w:val="TableContents"/>
              <w:spacing w:before="0" w:after="0"/>
              <w:ind w:left="0" w:right="0" w:hanging="0"/>
              <w:jc w:val="both"/>
              <w:rPr/>
            </w:pPr>
            <w:r>
              <w:rPr/>
              <w:t>Dated:  March 31, 2023</w:t>
            </w:r>
          </w:p>
        </w:tc>
        <w:tc>
          <w:tcPr>
            <w:tcW w:w="90" w:type="dxa"/>
            <w:tcBorders/>
            <w:shd w:fill="auto" w:val="clear"/>
            <w:vAlign w:val="center"/>
          </w:tcPr>
          <w:p>
            <w:pPr>
              <w:pStyle w:val="TableContents"/>
              <w:spacing w:before="0" w:after="0"/>
              <w:ind w:left="0" w:right="0" w:hanging="0"/>
              <w:jc w:val="both"/>
              <w:rPr/>
            </w:pPr>
            <w:r>
              <w:rPr/>
              <w:t> </w:t>
            </w:r>
          </w:p>
        </w:tc>
        <w:tc>
          <w:tcPr>
            <w:tcW w:w="2375" w:type="dxa"/>
            <w:tcBorders>
              <w:bottom w:val="single" w:sz="2" w:space="0" w:color="000000"/>
            </w:tcBorders>
            <w:shd w:fill="auto" w:val="clear"/>
            <w:tcMar>
              <w:bottom w:w="28" w:type="dxa"/>
            </w:tcMar>
            <w:vAlign w:val="center"/>
          </w:tcPr>
          <w:p>
            <w:pPr>
              <w:pStyle w:val="TableContents"/>
              <w:spacing w:before="0" w:after="0"/>
              <w:ind w:left="0" w:right="0" w:hanging="0"/>
              <w:jc w:val="both"/>
              <w:rPr/>
            </w:pPr>
            <w:r>
              <w:rPr/>
              <w:t>/s/ Barry B. Goldstein</w:t>
            </w:r>
          </w:p>
        </w:tc>
        <w:tc>
          <w:tcPr>
            <w:tcW w:w="135" w:type="dxa"/>
            <w:tcBorders/>
            <w:shd w:fill="auto" w:val="clear"/>
            <w:vAlign w:val="center"/>
          </w:tcPr>
          <w:p>
            <w:pPr>
              <w:pStyle w:val="TableContents"/>
              <w:spacing w:before="0" w:after="0"/>
              <w:ind w:left="0" w:right="0" w:hanging="0"/>
              <w:jc w:val="both"/>
              <w:rPr/>
            </w:pPr>
            <w:r>
              <w:rPr/>
              <w:t> </w:t>
            </w:r>
          </w:p>
        </w:tc>
      </w:tr>
      <w:tr>
        <w:trPr/>
        <w:tc>
          <w:tcPr>
            <w:tcW w:w="2330" w:type="dxa"/>
            <w:tcBorders/>
            <w:shd w:fill="auto" w:val="clear"/>
            <w:vAlign w:val="center"/>
          </w:tcPr>
          <w:p>
            <w:pPr>
              <w:pStyle w:val="TableContents"/>
              <w:spacing w:before="0" w:after="0"/>
              <w:ind w:left="0" w:right="0" w:hanging="0"/>
              <w:jc w:val="both"/>
              <w:rPr/>
            </w:pPr>
            <w:r>
              <w:rPr/>
              <w:t> </w:t>
            </w:r>
          </w:p>
        </w:tc>
        <w:tc>
          <w:tcPr>
            <w:tcW w:w="90" w:type="dxa"/>
            <w:tcBorders/>
            <w:shd w:fill="auto" w:val="clear"/>
            <w:vAlign w:val="center"/>
          </w:tcPr>
          <w:p>
            <w:pPr>
              <w:pStyle w:val="TableContents"/>
              <w:spacing w:before="0" w:after="0"/>
              <w:ind w:left="0" w:right="0" w:hanging="0"/>
              <w:jc w:val="both"/>
              <w:rPr/>
            </w:pPr>
            <w:r>
              <w:rPr/>
              <w:t> </w:t>
            </w:r>
          </w:p>
        </w:tc>
        <w:tc>
          <w:tcPr>
            <w:tcW w:w="2375" w:type="dxa"/>
            <w:tcBorders/>
            <w:shd w:fill="auto" w:val="clear"/>
            <w:vAlign w:val="center"/>
          </w:tcPr>
          <w:p>
            <w:pPr>
              <w:pStyle w:val="TableContents"/>
              <w:spacing w:before="0" w:after="0"/>
              <w:ind w:left="0" w:right="0" w:hanging="0"/>
              <w:jc w:val="both"/>
              <w:rPr/>
            </w:pPr>
            <w:r>
              <w:rPr/>
              <w:t>Barry B. Goldstein</w:t>
            </w:r>
          </w:p>
        </w:tc>
        <w:tc>
          <w:tcPr>
            <w:tcW w:w="135" w:type="dxa"/>
            <w:tcBorders/>
            <w:shd w:fill="auto" w:val="clear"/>
            <w:vAlign w:val="center"/>
          </w:tcPr>
          <w:p>
            <w:pPr>
              <w:pStyle w:val="TableContents"/>
              <w:spacing w:before="0" w:after="0"/>
              <w:ind w:left="0" w:right="0" w:hanging="0"/>
              <w:jc w:val="both"/>
              <w:rPr/>
            </w:pPr>
            <w:r>
              <w:rPr/>
              <w:t> </w:t>
            </w:r>
          </w:p>
        </w:tc>
      </w:tr>
      <w:tr>
        <w:trPr/>
        <w:tc>
          <w:tcPr>
            <w:tcW w:w="2330" w:type="dxa"/>
            <w:tcBorders/>
            <w:shd w:fill="auto" w:val="clear"/>
            <w:vAlign w:val="center"/>
          </w:tcPr>
          <w:p>
            <w:pPr>
              <w:pStyle w:val="TableContents"/>
              <w:spacing w:before="0" w:after="0"/>
              <w:ind w:left="0" w:right="0" w:hanging="0"/>
              <w:jc w:val="both"/>
              <w:rPr/>
            </w:pPr>
            <w:r>
              <w:rPr/>
              <w:t> </w:t>
            </w:r>
          </w:p>
        </w:tc>
        <w:tc>
          <w:tcPr>
            <w:tcW w:w="90" w:type="dxa"/>
            <w:tcBorders/>
            <w:shd w:fill="auto" w:val="clear"/>
            <w:vAlign w:val="center"/>
          </w:tcPr>
          <w:p>
            <w:pPr>
              <w:pStyle w:val="TableContents"/>
              <w:spacing w:before="0" w:after="0"/>
              <w:ind w:left="0" w:right="0" w:hanging="0"/>
              <w:jc w:val="both"/>
              <w:rPr/>
            </w:pPr>
            <w:r>
              <w:rPr/>
              <w:t> </w:t>
            </w:r>
          </w:p>
        </w:tc>
        <w:tc>
          <w:tcPr>
            <w:tcW w:w="2375" w:type="dxa"/>
            <w:tcBorders/>
            <w:shd w:fill="auto" w:val="clear"/>
            <w:vAlign w:val="center"/>
          </w:tcPr>
          <w:p>
            <w:pPr>
              <w:pStyle w:val="TableContents"/>
              <w:spacing w:before="0" w:after="0"/>
              <w:ind w:left="0" w:right="0" w:hanging="0"/>
              <w:jc w:val="both"/>
              <w:rPr/>
            </w:pPr>
            <w:r>
              <w:rPr/>
              <w:t xml:space="preserve">Chief Executive Officer </w:t>
            </w:r>
          </w:p>
        </w:tc>
        <w:tc>
          <w:tcPr>
            <w:tcW w:w="135" w:type="dxa"/>
            <w:tcBorders/>
            <w:shd w:fill="auto" w:val="clear"/>
            <w:vAlign w:val="center"/>
          </w:tcPr>
          <w:p>
            <w:pPr>
              <w:pStyle w:val="TableContents"/>
              <w:spacing w:before="0" w:after="0"/>
              <w:ind w:left="0" w:right="0" w:hanging="0"/>
              <w:jc w:val="both"/>
              <w:rPr/>
            </w:pPr>
            <w:r>
              <w:rPr/>
              <w:t> </w:t>
            </w:r>
          </w:p>
        </w:tc>
      </w:tr>
      <w:tr>
        <w:trPr/>
        <w:tc>
          <w:tcPr>
            <w:tcW w:w="2330" w:type="dxa"/>
            <w:tcBorders/>
            <w:shd w:fill="auto" w:val="clear"/>
            <w:vAlign w:val="center"/>
          </w:tcPr>
          <w:p>
            <w:pPr>
              <w:pStyle w:val="TableContents"/>
              <w:spacing w:before="0" w:after="0"/>
              <w:ind w:left="0" w:right="0" w:hanging="0"/>
              <w:jc w:val="both"/>
              <w:rPr/>
            </w:pPr>
            <w:r>
              <w:rPr/>
              <w:t> </w:t>
            </w:r>
          </w:p>
          <w:p>
            <w:pPr>
              <w:pStyle w:val="TableContents"/>
              <w:spacing w:before="0" w:after="0"/>
              <w:ind w:left="0" w:right="0" w:hanging="0"/>
              <w:rPr/>
            </w:pPr>
            <w:r>
              <w:rPr/>
              <w:t> </w:t>
            </w:r>
          </w:p>
        </w:tc>
        <w:tc>
          <w:tcPr>
            <w:tcW w:w="90" w:type="dxa"/>
            <w:tcBorders/>
            <w:shd w:fill="auto" w:val="clear"/>
            <w:vAlign w:val="center"/>
          </w:tcPr>
          <w:p>
            <w:pPr>
              <w:pStyle w:val="TableContents"/>
              <w:spacing w:before="0" w:after="0"/>
              <w:ind w:left="0" w:right="0" w:hanging="0"/>
              <w:jc w:val="both"/>
              <w:rPr/>
            </w:pPr>
            <w:r>
              <w:rPr/>
              <w:t> </w:t>
            </w:r>
          </w:p>
          <w:p>
            <w:pPr>
              <w:pStyle w:val="TableContents"/>
              <w:spacing w:before="0" w:after="0"/>
              <w:ind w:left="0" w:right="0" w:hanging="0"/>
              <w:rPr/>
            </w:pPr>
            <w:r>
              <w:rPr/>
              <w:t> </w:t>
            </w:r>
          </w:p>
        </w:tc>
        <w:tc>
          <w:tcPr>
            <w:tcW w:w="2375" w:type="dxa"/>
            <w:tcBorders/>
            <w:shd w:fill="auto" w:val="clear"/>
            <w:vAlign w:val="center"/>
          </w:tcPr>
          <w:p>
            <w:pPr>
              <w:pStyle w:val="TableContents"/>
              <w:spacing w:before="0" w:after="0"/>
              <w:ind w:left="0" w:right="0" w:hanging="0"/>
              <w:jc w:val="both"/>
              <w:rPr/>
            </w:pPr>
            <w:r>
              <w:rPr/>
              <w:t> </w:t>
            </w:r>
          </w:p>
          <w:p>
            <w:pPr>
              <w:pStyle w:val="TableContents"/>
              <w:spacing w:before="0" w:after="0"/>
              <w:ind w:left="0" w:right="0" w:hanging="0"/>
              <w:rPr/>
            </w:pPr>
            <w:r>
              <w:rPr/>
              <w:t> </w:t>
            </w:r>
          </w:p>
        </w:tc>
        <w:tc>
          <w:tcPr>
            <w:tcW w:w="135" w:type="dxa"/>
            <w:tcBorders/>
            <w:shd w:fill="auto" w:val="clear"/>
            <w:vAlign w:val="center"/>
          </w:tcPr>
          <w:p>
            <w:pPr>
              <w:pStyle w:val="TableContents"/>
              <w:spacing w:before="0" w:after="0"/>
              <w:ind w:left="0" w:right="0" w:hanging="0"/>
              <w:jc w:val="both"/>
              <w:rPr/>
            </w:pPr>
            <w:r>
              <w:rPr/>
              <w:t> </w:t>
            </w:r>
          </w:p>
          <w:p>
            <w:pPr>
              <w:pStyle w:val="TableContents"/>
              <w:spacing w:before="0" w:after="0"/>
              <w:ind w:left="0" w:right="0" w:hanging="0"/>
              <w:rPr/>
            </w:pPr>
            <w:r>
              <w:rPr/>
              <w:t> </w:t>
            </w:r>
          </w:p>
        </w:tc>
      </w:tr>
      <w:tr>
        <w:trPr/>
        <w:tc>
          <w:tcPr>
            <w:tcW w:w="2330" w:type="dxa"/>
            <w:tcBorders/>
            <w:shd w:fill="auto" w:val="clear"/>
            <w:vAlign w:val="center"/>
          </w:tcPr>
          <w:p>
            <w:pPr>
              <w:pStyle w:val="TableContents"/>
              <w:spacing w:before="0" w:after="0"/>
              <w:ind w:left="0" w:right="0" w:hanging="0"/>
              <w:jc w:val="both"/>
              <w:rPr/>
            </w:pPr>
            <w:r>
              <w:rPr/>
              <w:t> </w:t>
            </w:r>
          </w:p>
        </w:tc>
        <w:tc>
          <w:tcPr>
            <w:tcW w:w="90" w:type="dxa"/>
            <w:tcBorders/>
            <w:shd w:fill="auto" w:val="clear"/>
            <w:vAlign w:val="center"/>
          </w:tcPr>
          <w:p>
            <w:pPr>
              <w:pStyle w:val="TableContents"/>
              <w:spacing w:before="0" w:after="0"/>
              <w:ind w:left="0" w:right="0" w:hanging="0"/>
              <w:jc w:val="both"/>
              <w:rPr/>
            </w:pPr>
            <w:r>
              <w:rPr/>
              <w:t> </w:t>
            </w:r>
          </w:p>
        </w:tc>
        <w:tc>
          <w:tcPr>
            <w:tcW w:w="2375" w:type="dxa"/>
            <w:tcBorders>
              <w:bottom w:val="single" w:sz="2" w:space="0" w:color="000000"/>
            </w:tcBorders>
            <w:shd w:fill="auto" w:val="clear"/>
            <w:tcMar>
              <w:bottom w:w="28" w:type="dxa"/>
            </w:tcMar>
            <w:vAlign w:val="center"/>
          </w:tcPr>
          <w:p>
            <w:pPr>
              <w:pStyle w:val="TableContents"/>
              <w:spacing w:before="0" w:after="0"/>
              <w:ind w:left="0" w:right="0" w:hanging="0"/>
              <w:jc w:val="both"/>
              <w:rPr/>
            </w:pPr>
            <w:r>
              <w:rPr/>
              <w:t>/s/ Jennifer L. Gravelle</w:t>
            </w:r>
          </w:p>
        </w:tc>
        <w:tc>
          <w:tcPr>
            <w:tcW w:w="135" w:type="dxa"/>
            <w:tcBorders/>
            <w:shd w:fill="auto" w:val="clear"/>
            <w:vAlign w:val="center"/>
          </w:tcPr>
          <w:p>
            <w:pPr>
              <w:pStyle w:val="TableContents"/>
              <w:spacing w:before="0" w:after="0"/>
              <w:ind w:left="0" w:right="0" w:hanging="0"/>
              <w:jc w:val="both"/>
              <w:rPr/>
            </w:pPr>
            <w:r>
              <w:rPr/>
              <w:t> </w:t>
            </w:r>
          </w:p>
        </w:tc>
      </w:tr>
      <w:tr>
        <w:trPr/>
        <w:tc>
          <w:tcPr>
            <w:tcW w:w="2330" w:type="dxa"/>
            <w:tcBorders/>
            <w:shd w:fill="auto" w:val="clear"/>
            <w:vAlign w:val="center"/>
          </w:tcPr>
          <w:p>
            <w:pPr>
              <w:pStyle w:val="TableContents"/>
              <w:spacing w:before="0" w:after="0"/>
              <w:ind w:left="0" w:right="0" w:hanging="0"/>
              <w:jc w:val="both"/>
              <w:rPr/>
            </w:pPr>
            <w:r>
              <w:rPr/>
              <w:t> </w:t>
            </w:r>
          </w:p>
        </w:tc>
        <w:tc>
          <w:tcPr>
            <w:tcW w:w="90" w:type="dxa"/>
            <w:tcBorders/>
            <w:shd w:fill="auto" w:val="clear"/>
            <w:vAlign w:val="center"/>
          </w:tcPr>
          <w:p>
            <w:pPr>
              <w:pStyle w:val="TableContents"/>
              <w:spacing w:before="0" w:after="0"/>
              <w:ind w:left="0" w:right="0" w:hanging="0"/>
              <w:jc w:val="both"/>
              <w:rPr/>
            </w:pPr>
            <w:r>
              <w:rPr/>
              <w:t> </w:t>
            </w:r>
          </w:p>
        </w:tc>
        <w:tc>
          <w:tcPr>
            <w:tcW w:w="2375" w:type="dxa"/>
            <w:tcBorders/>
            <w:shd w:fill="auto" w:val="clear"/>
            <w:vAlign w:val="center"/>
          </w:tcPr>
          <w:p>
            <w:pPr>
              <w:pStyle w:val="TableContents"/>
              <w:spacing w:before="0" w:after="0"/>
              <w:ind w:left="0" w:right="0" w:hanging="0"/>
              <w:jc w:val="both"/>
              <w:rPr/>
            </w:pPr>
            <w:r>
              <w:rPr/>
              <w:t>Jennifer L. Gravelle</w:t>
            </w:r>
          </w:p>
        </w:tc>
        <w:tc>
          <w:tcPr>
            <w:tcW w:w="135" w:type="dxa"/>
            <w:tcBorders/>
            <w:shd w:fill="auto" w:val="clear"/>
            <w:vAlign w:val="center"/>
          </w:tcPr>
          <w:p>
            <w:pPr>
              <w:pStyle w:val="TableContents"/>
              <w:spacing w:before="0" w:after="0"/>
              <w:ind w:left="0" w:right="0" w:hanging="0"/>
              <w:jc w:val="both"/>
              <w:rPr/>
            </w:pPr>
            <w:r>
              <w:rPr/>
              <w:t> </w:t>
            </w:r>
          </w:p>
        </w:tc>
      </w:tr>
      <w:tr>
        <w:trPr/>
        <w:tc>
          <w:tcPr>
            <w:tcW w:w="2330" w:type="dxa"/>
            <w:tcBorders/>
            <w:shd w:fill="auto" w:val="clear"/>
            <w:vAlign w:val="center"/>
          </w:tcPr>
          <w:p>
            <w:pPr>
              <w:pStyle w:val="TableContents"/>
              <w:spacing w:before="0" w:after="0"/>
              <w:ind w:left="0" w:right="0" w:hanging="0"/>
              <w:jc w:val="both"/>
              <w:rPr/>
            </w:pPr>
            <w:r>
              <w:rPr/>
              <w:t> </w:t>
            </w:r>
          </w:p>
        </w:tc>
        <w:tc>
          <w:tcPr>
            <w:tcW w:w="90" w:type="dxa"/>
            <w:tcBorders/>
            <w:shd w:fill="auto" w:val="clear"/>
            <w:vAlign w:val="center"/>
          </w:tcPr>
          <w:p>
            <w:pPr>
              <w:pStyle w:val="TableContents"/>
              <w:spacing w:before="0" w:after="0"/>
              <w:ind w:left="0" w:right="0" w:hanging="0"/>
              <w:jc w:val="both"/>
              <w:rPr/>
            </w:pPr>
            <w:r>
              <w:rPr/>
              <w:t> </w:t>
            </w:r>
          </w:p>
        </w:tc>
        <w:tc>
          <w:tcPr>
            <w:tcW w:w="2375" w:type="dxa"/>
            <w:tcBorders/>
            <w:shd w:fill="auto" w:val="clear"/>
            <w:vAlign w:val="center"/>
          </w:tcPr>
          <w:p>
            <w:pPr>
              <w:pStyle w:val="TableContents"/>
              <w:spacing w:before="0" w:after="0"/>
              <w:ind w:left="0" w:right="0" w:hanging="0"/>
              <w:jc w:val="both"/>
              <w:rPr/>
            </w:pPr>
            <w:r>
              <w:rPr/>
              <w:t>Chief Financial Officer</w:t>
            </w:r>
          </w:p>
        </w:tc>
        <w:tc>
          <w:tcPr>
            <w:tcW w:w="135" w:type="dxa"/>
            <w:tcBorders/>
            <w:shd w:fill="auto" w:val="clear"/>
            <w:vAlign w:val="center"/>
          </w:tcPr>
          <w:p>
            <w:pPr>
              <w:pStyle w:val="TableContents"/>
              <w:spacing w:before="0" w:after="0"/>
              <w:ind w:left="0" w:right="0" w:hanging="0"/>
              <w:jc w:val="both"/>
              <w:rPr/>
            </w:pPr>
            <w:r>
              <w:rPr/>
              <w:t> </w:t>
            </w:r>
          </w:p>
        </w:tc>
      </w:tr>
    </w:tbl>
    <w:p>
      <w:pPr>
        <w:pStyle w:val="TextBody"/>
        <w:spacing w:before="0" w:after="0"/>
        <w:ind w:left="0" w:right="0" w:hanging="0"/>
        <w:jc w:val="right"/>
        <w:rPr/>
      </w:pPr>
      <w:r>
        <w:br w:type="page"/>
      </w:r>
      <w:bookmarkStart w:id="160" w:name="king_ex23.htm"/>
      <w:bookmarkStart w:id="161" w:name="ksking_ex23"/>
      <w:bookmarkEnd w:id="160"/>
      <w:bookmarkEnd w:id="161"/>
      <w:r>
        <w:rPr>
          <w:rStyle w:val="StrongEmphasis"/>
          <w:rFonts w:ascii="times new roman" w:hAnsi="times new roman"/>
          <w:sz w:val="20"/>
        </w:rPr>
        <w:t>EXHIBIT 23</w:t>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rStyle w:val="StrongEmphasis"/>
          <w:rFonts w:ascii="times new roman" w:hAnsi="times new roman"/>
          <w:sz w:val="20"/>
          <w:u w:val="single"/>
        </w:rPr>
        <w:t>INDEPENDENT REGISTERED PUBLIC ACCOUNTING FIRM’S CONSENT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consent to the incorporation by reference in the Registration Statements of Kingstone Companies, Inc. on Form S-3 (No. 333-215426 and 333-221615) and Form S-8 (No. 333-207986, No. 333-245013 and No. 333-258877) of our report dated March 31, 2023, with respect to our audits of the consolidated financial statements of Kingstone Companies, Inc. and Subsidiaries as of December 31, 2022 and 2021 and for the years then ended, which report is included in this Annual Report on Form 10-K of Kingstone Companies, Inc. for the year ended December 31, 2022.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 Marcum LLP</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Marcum LLP</w:t>
      </w:r>
    </w:p>
    <w:p>
      <w:pPr>
        <w:pStyle w:val="TextBody"/>
        <w:spacing w:before="0" w:after="0"/>
        <w:ind w:left="0" w:right="0" w:hanging="0"/>
        <w:jc w:val="both"/>
        <w:rPr>
          <w:rFonts w:ascii="times new roman" w:hAnsi="times new roman"/>
          <w:sz w:val="20"/>
        </w:rPr>
      </w:pPr>
      <w:r>
        <w:rPr>
          <w:rFonts w:ascii="times new roman" w:hAnsi="times new roman"/>
          <w:sz w:val="20"/>
        </w:rPr>
        <w:t>Hartford, CT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March 31, 2023</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33992/000135448814002619/kins_ex3a.htm" TargetMode="External"/><Relationship Id="rId4" Type="http://schemas.openxmlformats.org/officeDocument/2006/relationships/hyperlink" Target="http://www.sec.gov/Archives/edgar/data/33992/000135448814002619/kins_ex3a.htm" TargetMode="External"/><Relationship Id="rId5" Type="http://schemas.openxmlformats.org/officeDocument/2006/relationships/hyperlink" Target="http://www.sec.gov/Archives/edgar/data/33992/000102177109000069/ex3_1.htm" TargetMode="External"/><Relationship Id="rId6" Type="http://schemas.openxmlformats.org/officeDocument/2006/relationships/hyperlink" Target="http://www.sec.gov/Archives/edgar/data/33992/000102177109000069/ex3_1.htm" TargetMode="External"/><Relationship Id="rId7" Type="http://schemas.openxmlformats.org/officeDocument/2006/relationships/hyperlink" Target="http://www.sec.gov/Archives/edgar/data/33992/000102177122000068/ex10_1.htm" TargetMode="External"/><Relationship Id="rId8" Type="http://schemas.openxmlformats.org/officeDocument/2006/relationships/hyperlink" Target="http://www.sec.gov/Archives/edgar/data/33992/000102177122000068/ex10_1.htm" TargetMode="External"/><Relationship Id="rId9" Type="http://schemas.openxmlformats.org/officeDocument/2006/relationships/hyperlink" Target="http://www.sec.gov/Archives/edgar/data/33992/000102177122000068/ex10_1.htm" TargetMode="External"/><Relationship Id="rId10" Type="http://schemas.openxmlformats.org/officeDocument/2006/relationships/hyperlink" Target="http://www.sec.gov/Archives/edgar/data/33992/000102177122000068/ex10_1.htm" TargetMode="External"/><Relationship Id="rId11" Type="http://schemas.openxmlformats.org/officeDocument/2006/relationships/hyperlink" Target="http://www.sec.gov/Archives/edgar/data/33992/000102177122000068/ex10_1.htm" TargetMode="External"/><Relationship Id="rId12" Type="http://schemas.openxmlformats.org/officeDocument/2006/relationships/hyperlink" Target="http://www.sec.gov/Archives/edgar/data/33992/000102177122000068/ex10_1.htm" TargetMode="External"/><Relationship Id="rId13" Type="http://schemas.openxmlformats.org/officeDocument/2006/relationships/hyperlink" Target="http://www.sec.gov/Archives/edgar/data/33992/000102177120000052/ex10_1.htm" TargetMode="External"/><Relationship Id="rId14" Type="http://schemas.openxmlformats.org/officeDocument/2006/relationships/hyperlink" Target="http://www.sec.gov/Archives/edgar/data/33992/000102177120000052/ex10_1.htm" TargetMode="External"/><Relationship Id="rId15" Type="http://schemas.openxmlformats.org/officeDocument/2006/relationships/hyperlink" Target="http://www.sec.gov/Archives/edgar/data/33992/000102177122000033/ex10_1.htm" TargetMode="External"/><Relationship Id="rId16" Type="http://schemas.openxmlformats.org/officeDocument/2006/relationships/hyperlink" Target="http://www.sec.gov/Archives/edgar/data/33992/000102177122000033/ex10_1.htm" TargetMode="External"/><Relationship Id="rId17" Type="http://schemas.openxmlformats.org/officeDocument/2006/relationships/hyperlink" Target="http://www.sec.gov/Archives/edgar/data/33992/000165495420002719/kins_ex10c.htm" TargetMode="External"/><Relationship Id="rId18" Type="http://schemas.openxmlformats.org/officeDocument/2006/relationships/hyperlink" Target="http://www.sec.gov/Archives/edgar/data/33992/000165495420002719/kins_ex10c.htm" TargetMode="External"/><Relationship Id="rId19" Type="http://schemas.openxmlformats.org/officeDocument/2006/relationships/hyperlink" Target="http://www.sec.gov/Archives/edgar/data/33992/000165495420002719/kins_ex10d.htm" TargetMode="External"/><Relationship Id="rId20" Type="http://schemas.openxmlformats.org/officeDocument/2006/relationships/hyperlink" Target="http://www.sec.gov/Archives/edgar/data/33992/000165495420002719/kins_ex10d.htm" TargetMode="External"/><Relationship Id="rId21" Type="http://schemas.openxmlformats.org/officeDocument/2006/relationships/hyperlink" Target="http://www.sec.gov/Archives/edgar/data/33992/000165495422004509/king_ex10e.htm" TargetMode="External"/><Relationship Id="rId22" Type="http://schemas.openxmlformats.org/officeDocument/2006/relationships/hyperlink" Target="http://www.sec.gov/Archives/edgar/data/33992/000165495422004509/king_ex10e.htm" TargetMode="External"/><Relationship Id="rId23" Type="http://schemas.openxmlformats.org/officeDocument/2006/relationships/hyperlink" Target="http://www.sec.gov/Archives/edgar/data/33992/000165495422004509/king_ex10f.htm" TargetMode="External"/><Relationship Id="rId24" Type="http://schemas.openxmlformats.org/officeDocument/2006/relationships/hyperlink" Target="http://www.sec.gov/Archives/edgar/data/33992/000165495422004509/king_ex10f.htm" TargetMode="External"/><Relationship Id="rId25" Type="http://schemas.openxmlformats.org/officeDocument/2006/relationships/hyperlink" Target="http://www.sec.gov/Archives/edgar/data/33992/000165495422004509/king_ex10g.htm" TargetMode="External"/><Relationship Id="rId26" Type="http://schemas.openxmlformats.org/officeDocument/2006/relationships/hyperlink" Target="http://www.sec.gov/Archives/edgar/data/33992/000165495422004509/king_ex10g.htm" TargetMode="External"/><Relationship Id="rId27" Type="http://schemas.openxmlformats.org/officeDocument/2006/relationships/hyperlink" Target="http://www.sec.gov/Archives/edgar/data/33992/000102177122000033/ex10_2.htm" TargetMode="External"/><Relationship Id="rId28" Type="http://schemas.openxmlformats.org/officeDocument/2006/relationships/hyperlink" Target="http://www.sec.gov/Archives/edgar/data/33992/000102177122000033/ex10_2.htm" TargetMode="External"/><Relationship Id="rId29" Type="http://schemas.openxmlformats.org/officeDocument/2006/relationships/hyperlink" Target="http://www.sec.gov/Archives/edgar/data/33992/000165495422004509/king_ex10i.htm" TargetMode="External"/><Relationship Id="rId30" Type="http://schemas.openxmlformats.org/officeDocument/2006/relationships/hyperlink" Target="http://www.sec.gov/Archives/edgar/data/33992/000165495422004509/king_ex10i.htm" TargetMode="External"/><Relationship Id="rId31" Type="http://schemas.openxmlformats.org/officeDocument/2006/relationships/hyperlink" Target="http://www.sec.gov/Archives/edgar/data/33992/000165495422004509/king_ex10j.htm" TargetMode="External"/><Relationship Id="rId32" Type="http://schemas.openxmlformats.org/officeDocument/2006/relationships/hyperlink" Target="http://www.sec.gov/Archives/edgar/data/33992/000165495422004509/king_ex10j.htm" TargetMode="External"/><Relationship Id="rId33" Type="http://schemas.openxmlformats.org/officeDocument/2006/relationships/hyperlink" Target="http://www.sec.gov/Archives/edgar/data/33992/000102177118000025/ex10_1.htm" TargetMode="External"/><Relationship Id="rId34" Type="http://schemas.openxmlformats.org/officeDocument/2006/relationships/hyperlink" Target="http://www.sec.gov/Archives/edgar/data/33992/000102177118000025/ex10_1.htm" TargetMode="External"/><Relationship Id="rId35" Type="http://schemas.openxmlformats.org/officeDocument/2006/relationships/hyperlink" Target="http://www.sec.gov/Archives/edgar/data/33992/000165495417002100/kins_ex21.htm" TargetMode="External"/><Relationship Id="rId36" Type="http://schemas.openxmlformats.org/officeDocument/2006/relationships/hyperlink" Target="http://www.sec.gov/Archives/edgar/data/33992/000165495417002100/kins_ex21.htm" TargetMode="External"/><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153</Pages>
  <Words>65116</Words>
  <CharactersWithSpaces>431473</CharactersWithSpaces>
  <Paragraphs>26360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