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Calibri" w:hAnsi="Calibri"/>
          <w:sz w:val="22"/>
        </w:rPr>
      </w:pPr>
      <w:bookmarkStart w:id="0" w:name="kins-20261016.htm"/>
      <w:bookmarkStart w:id="1" w:name="kskins20261016"/>
      <w:bookmarkEnd w:id="0"/>
      <w:bookmarkEnd w:id="1"/>
      <w:r>
        <w:rPr>
          <w:rFonts w:ascii="Times New Roman" w:hAnsi="Times New Roman"/>
          <w:b/>
          <w:sz w:val="22"/>
        </w:rPr>
        <w:t>UNITED STATES</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b/>
          <w:sz w:val="22"/>
        </w:rPr>
        <w:t>SECURITIES AND EXCHANGE COMMISSION</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b/>
          <w:sz w:val="22"/>
        </w:rPr>
        <w:t>WASHINGTON, DC 20549</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_______</w:t>
      </w:r>
      <w:r>
        <w:rPr>
          <w:rFonts w:ascii="Calibri" w:hAnsi="Calibri"/>
          <w:sz w:val="22"/>
        </w:rPr>
        <w:t xml:space="preserve"> </w:t>
      </w:r>
    </w:p>
    <w:p>
      <w:pPr>
        <w:pStyle w:val="TextBody"/>
        <w:bidi w:val="0"/>
        <w:spacing w:before="0" w:after="0"/>
        <w:jc w:val="center"/>
        <w:rPr/>
      </w:pPr>
      <w:r>
        <w:rPr/>
        <w:t xml:space="preserve">  </w:t>
      </w:r>
    </w:p>
    <w:p>
      <w:pPr>
        <w:pStyle w:val="TextBody"/>
        <w:bidi w:val="0"/>
        <w:spacing w:before="0" w:after="0"/>
        <w:jc w:val="center"/>
        <w:rPr>
          <w:rFonts w:ascii="Calibri" w:hAnsi="Calibri"/>
          <w:sz w:val="22"/>
        </w:rPr>
      </w:pPr>
      <w:r>
        <w:rPr>
          <w:rFonts w:ascii="Times New Roman" w:hAnsi="Times New Roman"/>
          <w:b/>
          <w:sz w:val="22"/>
        </w:rPr>
        <w:t>FORM 8-K</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b/>
          <w:sz w:val="22"/>
        </w:rPr>
        <w:t>CURRENT REPORT</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Pursuant to Section 13 or 15(d) of the</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Securities Exchange Act of 1934</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sz w:val="22"/>
        </w:rPr>
        <w:t>Date of Report October 16, 2026</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(Date of earliest event reported)</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sz w:val="22"/>
          <w:u w:val="single"/>
        </w:rPr>
        <w:t>KINGSTONE COMPANIES, INC.</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(Exact Name of Registrant as Specified in Charter)</w:t>
      </w:r>
      <w:r>
        <w:rPr>
          <w:rFonts w:ascii="Calibri" w:hAnsi="Calibri"/>
          <w:sz w:val="22"/>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28" w:type="dxa"/>
          <w:right w:w="0" w:type="dxa"/>
        </w:tblCellMar>
      </w:tblPr>
      <w:tblGrid>
        <w:gridCol w:w="3976"/>
        <w:gridCol w:w="198"/>
        <w:gridCol w:w="2223"/>
        <w:gridCol w:w="198"/>
        <w:gridCol w:w="3610"/>
      </w:tblGrid>
      <w:tr>
        <w:trPr/>
        <w:tc>
          <w:tcPr>
            <w:tcW w:w="3976" w:type="dxa"/>
            <w:tcBorders>
              <w:bottom w:val="single" w:sz="8" w:space="0" w:color="000000"/>
            </w:tcBorders>
            <w:vAlign w:val="center"/>
          </w:tcPr>
          <w:p>
            <w:pPr>
              <w:pStyle w:val="TableContents"/>
              <w:bidi w:val="0"/>
              <w:spacing w:before="0" w:after="0"/>
              <w:ind w:left="0" w:right="0" w:hanging="0"/>
              <w:jc w:val="center"/>
              <w:rPr>
                <w:rFonts w:ascii="Calibri" w:hAnsi="Calibri"/>
              </w:rPr>
            </w:pPr>
            <w:r>
              <w:rPr>
                <w:rFonts w:ascii="Times New Roman" w:hAnsi="Times New Roman"/>
              </w:rPr>
              <w:t>Delaware</w:t>
            </w:r>
            <w:r>
              <w:rPr>
                <w:rFonts w:ascii="Calibri" w:hAnsi="Calibri"/>
              </w:rPr>
              <w:t xml:space="preserve"> </w:t>
            </w:r>
          </w:p>
        </w:tc>
        <w:tc>
          <w:tcPr>
            <w:tcW w:w="198" w:type="dxa"/>
            <w:tcBorders>
              <w:bottom w:val="single" w:sz="8" w:space="0" w:color="000000"/>
            </w:tcBorders>
            <w:vAlign w:val="center"/>
          </w:tcPr>
          <w:p>
            <w:pPr>
              <w:pStyle w:val="TableContents"/>
              <w:bidi w:val="0"/>
              <w:spacing w:before="0" w:after="0"/>
              <w:jc w:val="left"/>
              <w:rPr/>
            </w:pPr>
            <w:r>
              <w:rPr/>
              <w:t xml:space="preserve">  </w:t>
            </w:r>
          </w:p>
        </w:tc>
        <w:tc>
          <w:tcPr>
            <w:tcW w:w="2223" w:type="dxa"/>
            <w:tcBorders>
              <w:bottom w:val="single" w:sz="8" w:space="0" w:color="000000"/>
            </w:tcBorders>
            <w:vAlign w:val="center"/>
          </w:tcPr>
          <w:p>
            <w:pPr>
              <w:pStyle w:val="TableContents"/>
              <w:bidi w:val="0"/>
              <w:spacing w:before="0" w:after="0"/>
              <w:jc w:val="center"/>
              <w:rPr>
                <w:rFonts w:ascii="Calibri" w:hAnsi="Calibri"/>
              </w:rPr>
            </w:pPr>
            <w:r>
              <w:rPr>
                <w:rFonts w:ascii="Times New Roman" w:hAnsi="Times New Roman"/>
              </w:rPr>
              <w:t>0-1665</w:t>
            </w:r>
            <w:r>
              <w:rPr>
                <w:rFonts w:ascii="Calibri" w:hAnsi="Calibri"/>
              </w:rPr>
              <w:t xml:space="preserve"> </w:t>
            </w:r>
          </w:p>
        </w:tc>
        <w:tc>
          <w:tcPr>
            <w:tcW w:w="198" w:type="dxa"/>
            <w:tcBorders>
              <w:bottom w:val="single" w:sz="8" w:space="0" w:color="000000"/>
            </w:tcBorders>
            <w:vAlign w:val="center"/>
          </w:tcPr>
          <w:p>
            <w:pPr>
              <w:pStyle w:val="TableContents"/>
              <w:bidi w:val="0"/>
              <w:spacing w:before="0" w:after="0"/>
              <w:jc w:val="left"/>
              <w:rPr/>
            </w:pPr>
            <w:r>
              <w:rPr/>
              <w:t xml:space="preserve">  </w:t>
            </w:r>
          </w:p>
        </w:tc>
        <w:tc>
          <w:tcPr>
            <w:tcW w:w="3610" w:type="dxa"/>
            <w:tcBorders>
              <w:bottom w:val="single" w:sz="8" w:space="0" w:color="000000"/>
            </w:tcBorders>
            <w:vAlign w:val="center"/>
          </w:tcPr>
          <w:p>
            <w:pPr>
              <w:pStyle w:val="TableContents"/>
              <w:bidi w:val="0"/>
              <w:spacing w:before="0" w:after="0"/>
              <w:jc w:val="center"/>
              <w:rPr>
                <w:rFonts w:ascii="Calibri" w:hAnsi="Calibri"/>
              </w:rPr>
            </w:pPr>
            <w:r>
              <w:rPr>
                <w:rFonts w:ascii="Times New Roman" w:hAnsi="Times New Roman"/>
              </w:rPr>
              <w:t>36-2476480</w:t>
            </w:r>
            <w:r>
              <w:rPr>
                <w:rFonts w:ascii="Calibri" w:hAnsi="Calibri"/>
              </w:rPr>
              <w:t xml:space="preserve"> </w:t>
            </w:r>
          </w:p>
        </w:tc>
      </w:tr>
      <w:tr>
        <w:trPr/>
        <w:tc>
          <w:tcPr>
            <w:tcW w:w="3976" w:type="dxa"/>
            <w:tcBorders>
              <w:top w:val="single" w:sz="8" w:space="0" w:color="000000"/>
            </w:tcBorders>
            <w:tcMar>
              <w:top w:w="28" w:type="dxa"/>
              <w:bottom w:w="0" w:type="dxa"/>
            </w:tcMar>
            <w:vAlign w:val="center"/>
          </w:tcPr>
          <w:p>
            <w:pPr>
              <w:pStyle w:val="TableContents"/>
              <w:bidi w:val="0"/>
              <w:spacing w:before="0" w:after="0"/>
              <w:jc w:val="center"/>
              <w:rPr>
                <w:rFonts w:ascii="Calibri" w:hAnsi="Calibri"/>
              </w:rPr>
            </w:pPr>
            <w:r>
              <w:rPr>
                <w:rFonts w:ascii="Times New Roman" w:hAnsi="Times New Roman"/>
              </w:rPr>
              <w:t>(State or Other Jurisdiction </w:t>
            </w:r>
            <w:r>
              <w:rPr>
                <w:rFonts w:ascii="Times New Roman" w:hAnsi="Times New Roman"/>
                <w:sz w:val="22"/>
              </w:rPr>
              <w:t>of Incorporation)</w:t>
            </w:r>
          </w:p>
        </w:tc>
        <w:tc>
          <w:tcPr>
            <w:tcW w:w="198" w:type="dxa"/>
            <w:tcBorders>
              <w:top w:val="single" w:sz="8" w:space="0" w:color="000000"/>
            </w:tcBorders>
            <w:tcMar>
              <w:top w:w="28" w:type="dxa"/>
              <w:bottom w:w="0" w:type="dxa"/>
            </w:tcMar>
            <w:vAlign w:val="center"/>
          </w:tcPr>
          <w:p>
            <w:pPr>
              <w:pStyle w:val="TableContents"/>
              <w:bidi w:val="0"/>
              <w:spacing w:before="0" w:after="0"/>
              <w:jc w:val="left"/>
              <w:rPr/>
            </w:pPr>
            <w:r>
              <w:rPr/>
              <w:t xml:space="preserve">  </w:t>
            </w:r>
          </w:p>
        </w:tc>
        <w:tc>
          <w:tcPr>
            <w:tcW w:w="2223" w:type="dxa"/>
            <w:tcBorders>
              <w:top w:val="single" w:sz="8" w:space="0" w:color="000000"/>
            </w:tcBorders>
            <w:tcMar>
              <w:top w:w="28" w:type="dxa"/>
              <w:bottom w:w="0" w:type="dxa"/>
            </w:tcMar>
            <w:vAlign w:val="center"/>
          </w:tcPr>
          <w:p>
            <w:pPr>
              <w:pStyle w:val="TableContents"/>
              <w:bidi w:val="0"/>
              <w:spacing w:before="0" w:after="0"/>
              <w:jc w:val="center"/>
              <w:rPr>
                <w:rFonts w:ascii="Calibri" w:hAnsi="Calibri"/>
              </w:rPr>
            </w:pPr>
            <w:r>
              <w:rPr>
                <w:rFonts w:ascii="Times New Roman" w:hAnsi="Times New Roman"/>
              </w:rPr>
              <w:t>(Commission File No.)</w:t>
            </w:r>
            <w:r>
              <w:rPr>
                <w:rFonts w:ascii="Calibri" w:hAnsi="Calibri"/>
              </w:rPr>
              <w:t xml:space="preserve"> </w:t>
            </w:r>
          </w:p>
        </w:tc>
        <w:tc>
          <w:tcPr>
            <w:tcW w:w="198" w:type="dxa"/>
            <w:tcBorders>
              <w:top w:val="single" w:sz="8" w:space="0" w:color="000000"/>
            </w:tcBorders>
            <w:tcMar>
              <w:top w:w="28" w:type="dxa"/>
              <w:bottom w:w="0" w:type="dxa"/>
            </w:tcMar>
            <w:vAlign w:val="center"/>
          </w:tcPr>
          <w:p>
            <w:pPr>
              <w:pStyle w:val="TableContents"/>
              <w:bidi w:val="0"/>
              <w:spacing w:before="0" w:after="0"/>
              <w:jc w:val="left"/>
              <w:rPr/>
            </w:pPr>
            <w:r>
              <w:rPr/>
              <w:t xml:space="preserve">  </w:t>
            </w:r>
          </w:p>
        </w:tc>
        <w:tc>
          <w:tcPr>
            <w:tcW w:w="3610" w:type="dxa"/>
            <w:tcBorders>
              <w:top w:val="single" w:sz="8" w:space="0" w:color="000000"/>
            </w:tcBorders>
            <w:tcMar>
              <w:top w:w="28" w:type="dxa"/>
              <w:bottom w:w="0" w:type="dxa"/>
            </w:tcMar>
            <w:vAlign w:val="center"/>
          </w:tcPr>
          <w:p>
            <w:pPr>
              <w:pStyle w:val="TableContents"/>
              <w:bidi w:val="0"/>
              <w:spacing w:before="0" w:after="0"/>
              <w:jc w:val="center"/>
              <w:rPr>
                <w:rFonts w:ascii="Calibri" w:hAnsi="Calibri"/>
              </w:rPr>
            </w:pPr>
            <w:r>
              <w:rPr>
                <w:rFonts w:ascii="Times New Roman" w:hAnsi="Times New Roman"/>
              </w:rPr>
              <w:t>(IRS Employer Identification </w:t>
            </w:r>
            <w:r>
              <w:rPr>
                <w:rFonts w:ascii="Times New Roman" w:hAnsi="Times New Roman"/>
                <w:sz w:val="22"/>
              </w:rPr>
              <w:t>Number)</w:t>
            </w:r>
          </w:p>
        </w:tc>
      </w:tr>
    </w:tbl>
    <w:p>
      <w:pPr>
        <w:pStyle w:val="TextBody"/>
        <w:bidi w:val="0"/>
        <w:spacing w:before="0" w:after="0"/>
        <w:jc w:val="center"/>
        <w:rPr/>
      </w:pPr>
      <w:r>
        <w:rPr/>
        <w:t xml:space="preserve">  </w:t>
      </w:r>
    </w:p>
    <w:tbl>
      <w:tblPr>
        <w:tblW w:w="5282" w:type="dxa"/>
        <w:jc w:val="left"/>
        <w:tblInd w:w="0" w:type="dxa"/>
        <w:tblLayout w:type="fixed"/>
        <w:tblCellMar>
          <w:top w:w="0" w:type="dxa"/>
          <w:left w:w="0" w:type="dxa"/>
          <w:bottom w:w="28" w:type="dxa"/>
          <w:right w:w="0" w:type="dxa"/>
        </w:tblCellMar>
      </w:tblPr>
      <w:tblGrid>
        <w:gridCol w:w="4021"/>
        <w:gridCol w:w="1261"/>
      </w:tblGrid>
      <w:tr>
        <w:trPr/>
        <w:tc>
          <w:tcPr>
            <w:tcW w:w="4021" w:type="dxa"/>
            <w:tcBorders>
              <w:bottom w:val="single" w:sz="8" w:space="0" w:color="000000"/>
            </w:tcBorders>
            <w:vAlign w:val="center"/>
          </w:tcPr>
          <w:p>
            <w:pPr>
              <w:pStyle w:val="TableContents"/>
              <w:bidi w:val="0"/>
              <w:spacing w:before="0" w:after="0"/>
              <w:jc w:val="left"/>
              <w:rPr>
                <w:rFonts w:ascii="Calibri" w:hAnsi="Calibri"/>
              </w:rPr>
            </w:pPr>
            <w:r>
              <w:rPr>
                <w:rFonts w:ascii="Times New Roman" w:hAnsi="Times New Roman"/>
              </w:rPr>
              <w:t>120 Wood Road, Kingston, NY</w:t>
            </w:r>
            <w:r>
              <w:rPr>
                <w:rFonts w:ascii="Calibri" w:hAnsi="Calibri"/>
              </w:rPr>
              <w:t xml:space="preserve"> </w:t>
            </w:r>
          </w:p>
        </w:tc>
        <w:tc>
          <w:tcPr>
            <w:tcW w:w="1261" w:type="dxa"/>
            <w:tcBorders>
              <w:bottom w:val="single" w:sz="8" w:space="0" w:color="000000"/>
            </w:tcBorders>
            <w:vAlign w:val="center"/>
          </w:tcPr>
          <w:p>
            <w:pPr>
              <w:pStyle w:val="TableContents"/>
              <w:bidi w:val="0"/>
              <w:spacing w:before="0" w:after="0"/>
              <w:jc w:val="left"/>
              <w:rPr>
                <w:rFonts w:ascii="Calibri" w:hAnsi="Calibri"/>
              </w:rPr>
            </w:pPr>
            <w:r>
              <w:rPr>
                <w:rFonts w:ascii="Times New Roman" w:hAnsi="Times New Roman"/>
              </w:rPr>
              <w:t>12401</w:t>
            </w:r>
            <w:r>
              <w:rPr>
                <w:rFonts w:ascii="Calibri" w:hAnsi="Calibri"/>
              </w:rPr>
              <w:t xml:space="preserve"> </w:t>
            </w:r>
          </w:p>
        </w:tc>
      </w:tr>
      <w:tr>
        <w:trPr/>
        <w:tc>
          <w:tcPr>
            <w:tcW w:w="4021" w:type="dxa"/>
            <w:tcBorders>
              <w:top w:val="single" w:sz="8" w:space="0" w:color="000000"/>
            </w:tcBorders>
            <w:tcMar>
              <w:top w:w="28" w:type="dxa"/>
              <w:bottom w:w="0" w:type="dxa"/>
            </w:tcMar>
            <w:vAlign w:val="center"/>
          </w:tcPr>
          <w:p>
            <w:pPr>
              <w:pStyle w:val="TableContents"/>
              <w:bidi w:val="0"/>
              <w:spacing w:before="0" w:after="0"/>
              <w:jc w:val="left"/>
              <w:rPr>
                <w:rFonts w:ascii="Calibri" w:hAnsi="Calibri"/>
              </w:rPr>
            </w:pPr>
            <w:r>
              <w:rPr>
                <w:rFonts w:ascii="Times New Roman" w:hAnsi="Times New Roman"/>
              </w:rPr>
              <w:t>(Address of Principal Executive Offices)</w:t>
            </w:r>
            <w:r>
              <w:rPr>
                <w:rFonts w:ascii="Calibri" w:hAnsi="Calibri"/>
              </w:rPr>
              <w:t xml:space="preserve"> </w:t>
            </w:r>
          </w:p>
        </w:tc>
        <w:tc>
          <w:tcPr>
            <w:tcW w:w="1261" w:type="dxa"/>
            <w:tcBorders>
              <w:top w:val="single" w:sz="8" w:space="0" w:color="000000"/>
            </w:tcBorders>
            <w:tcMar>
              <w:top w:w="28" w:type="dxa"/>
              <w:bottom w:w="0" w:type="dxa"/>
            </w:tcMar>
            <w:vAlign w:val="center"/>
          </w:tcPr>
          <w:p>
            <w:pPr>
              <w:pStyle w:val="TableContents"/>
              <w:bidi w:val="0"/>
              <w:spacing w:before="0" w:after="0"/>
              <w:jc w:val="left"/>
              <w:rPr>
                <w:rFonts w:ascii="Calibri" w:hAnsi="Calibri"/>
              </w:rPr>
            </w:pPr>
            <w:r>
              <w:rPr>
                <w:rFonts w:ascii="Times New Roman" w:hAnsi="Times New Roman"/>
              </w:rPr>
              <w:t>(Zip Code)</w:t>
            </w:r>
            <w:r>
              <w:rPr>
                <w:rFonts w:ascii="Calibri" w:hAnsi="Calibri"/>
              </w:rPr>
              <w:t xml:space="preserve"> </w:t>
            </w:r>
          </w:p>
        </w:tc>
      </w:tr>
    </w:tbl>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sz w:val="22"/>
        </w:rPr>
        <w:t xml:space="preserve">Registrant's telephone number, including area code: </w:t>
      </w:r>
      <w:r>
        <w:rPr>
          <w:rFonts w:ascii="Times New Roman" w:hAnsi="Times New Roman"/>
          <w:sz w:val="22"/>
          <w:u w:val="single"/>
        </w:rPr>
        <w:t>(845) 802-7900</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both"/>
        <w:rPr>
          <w:rFonts w:ascii="Calibri" w:hAnsi="Calibri"/>
          <w:sz w:val="22"/>
        </w:rPr>
      </w:pPr>
      <w:r>
        <w:rPr>
          <w:rFonts w:ascii="Times New Roman" w:hAnsi="Times New Roman"/>
          <w:sz w:val="22"/>
        </w:rPr>
        <w:t>Check the appropriate box below if the Form 8-K filing is intended to simultaneously satisfy the filing obligation of the registrant under any of the following provisions:</w:t>
      </w:r>
      <w:r>
        <w:rPr>
          <w:rFonts w:ascii="Calibri" w:hAnsi="Calibri"/>
          <w:sz w:val="22"/>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602"/>
        <w:gridCol w:w="9603"/>
      </w:tblGrid>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Written communications pursuant to Rule 425 under the Securities Act (17 CFR 230.425)</w:t>
            </w:r>
            <w:r>
              <w:rPr>
                <w:rFonts w:ascii="Calibri" w:hAnsi="Calibri"/>
              </w:rPr>
              <w:t xml:space="preserve"> </w:t>
            </w:r>
          </w:p>
        </w:tc>
      </w:tr>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Soliciting material pursuant to Rule 14a-12 under the Exchange Act (17 CFR 240.14a-12)</w:t>
            </w:r>
            <w:r>
              <w:rPr>
                <w:rFonts w:ascii="Calibri" w:hAnsi="Calibri"/>
              </w:rPr>
              <w:t xml:space="preserve"> </w:t>
            </w:r>
          </w:p>
        </w:tc>
      </w:tr>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Pre-commencement communications pursuant to Rule 14d-2(b) under the Exchange Act (17 CFR 240.14d-2(b))</w:t>
            </w:r>
            <w:r>
              <w:rPr>
                <w:rFonts w:ascii="Calibri" w:hAnsi="Calibri"/>
              </w:rPr>
              <w:t xml:space="preserve"> </w:t>
            </w:r>
          </w:p>
        </w:tc>
      </w:tr>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Pre-commencement communications pursuant to Rule 13e-4(c) under the Exchange Act (17 CFR 240.13e-4(c))</w:t>
            </w:r>
            <w:r>
              <w:rPr>
                <w:rFonts w:ascii="Calibri" w:hAnsi="Calibri"/>
              </w:rPr>
              <w:t xml:space="preserve"> </w:t>
            </w:r>
          </w:p>
        </w:tc>
      </w:tr>
    </w:tbl>
    <w:p>
      <w:pPr>
        <w:pStyle w:val="TextBody"/>
        <w:bidi w:val="0"/>
        <w:spacing w:before="0" w:after="0"/>
        <w:jc w:val="left"/>
        <w:rPr/>
      </w:pPr>
      <w:r>
        <w:rPr/>
        <w:t xml:space="preserve">  </w:t>
      </w:r>
    </w:p>
    <w:p>
      <w:pPr>
        <w:pStyle w:val="TextBody"/>
        <w:bidi w:val="0"/>
        <w:spacing w:before="0" w:after="0"/>
        <w:jc w:val="left"/>
        <w:rPr>
          <w:rFonts w:ascii="Calibri" w:hAnsi="Calibri"/>
          <w:sz w:val="22"/>
        </w:rPr>
      </w:pPr>
      <w:r>
        <w:rPr>
          <w:rFonts w:ascii="Times New Roman" w:hAnsi="Times New Roman"/>
          <w:sz w:val="22"/>
        </w:rPr>
        <w:t>Securities registered pursuant to Section 12(b) of the Act:</w:t>
      </w:r>
      <w:r>
        <w:rPr>
          <w:rFonts w:ascii="Calibri" w:hAnsi="Calibri"/>
          <w:sz w:val="22"/>
        </w:rPr>
        <w:t xml:space="preserve"> </w:t>
      </w:r>
    </w:p>
    <w:p>
      <w:pPr>
        <w:pStyle w:val="TextBody"/>
        <w:bidi w:val="0"/>
        <w:spacing w:before="0" w:after="0"/>
        <w:jc w:val="left"/>
        <w:rPr/>
      </w:pPr>
      <w:r>
        <w:rPr/>
        <w:t xml:space="preserve">  </w:t>
      </w:r>
    </w:p>
    <w:tbl>
      <w:tblPr>
        <w:tblW w:w="10205" w:type="dxa"/>
        <w:jc w:val="left"/>
        <w:tblInd w:w="-10" w:type="dxa"/>
        <w:tblLayout w:type="fixed"/>
        <w:tblCellMar>
          <w:top w:w="28" w:type="dxa"/>
          <w:left w:w="54" w:type="dxa"/>
          <w:bottom w:w="28" w:type="dxa"/>
          <w:right w:w="54" w:type="dxa"/>
        </w:tblCellMar>
      </w:tblPr>
      <w:tblGrid>
        <w:gridCol w:w="4033"/>
        <w:gridCol w:w="1906"/>
        <w:gridCol w:w="4266"/>
      </w:tblGrid>
      <w:tr>
        <w:trPr/>
        <w:tc>
          <w:tcPr>
            <w:tcW w:w="40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Title of each class</w:t>
            </w:r>
            <w:r>
              <w:rPr>
                <w:rFonts w:ascii="Calibri" w:hAnsi="Calibri"/>
              </w:rPr>
              <w:t xml:space="preserve"> </w:t>
            </w:r>
          </w:p>
        </w:tc>
        <w:tc>
          <w:tcPr>
            <w:tcW w:w="19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Trading Symbol(s)</w:t>
            </w:r>
            <w:r>
              <w:rPr>
                <w:rFonts w:ascii="Calibri" w:hAnsi="Calibri"/>
              </w:rPr>
              <w:t xml:space="preserve"> </w:t>
            </w:r>
          </w:p>
        </w:tc>
        <w:tc>
          <w:tcPr>
            <w:tcW w:w="4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Name of each exchange on which registered</w:t>
            </w:r>
            <w:r>
              <w:rPr>
                <w:rFonts w:ascii="Calibri" w:hAnsi="Calibri"/>
              </w:rPr>
              <w:t xml:space="preserve"> </w:t>
            </w:r>
          </w:p>
        </w:tc>
      </w:tr>
      <w:tr>
        <w:trPr/>
        <w:tc>
          <w:tcPr>
            <w:tcW w:w="40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rFonts w:ascii="Calibri" w:hAnsi="Calibri"/>
              </w:rPr>
            </w:pPr>
            <w:r>
              <w:rPr>
                <w:rFonts w:ascii="Times New Roman" w:hAnsi="Times New Roman"/>
              </w:rPr>
              <w:t>Common Stock, $0.01 par value per share</w:t>
            </w:r>
            <w:r>
              <w:rPr>
                <w:rFonts w:ascii="Calibri" w:hAnsi="Calibri"/>
              </w:rPr>
              <w:t xml:space="preserve"> </w:t>
            </w:r>
          </w:p>
        </w:tc>
        <w:tc>
          <w:tcPr>
            <w:tcW w:w="19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KINS</w:t>
            </w:r>
            <w:r>
              <w:rPr>
                <w:rFonts w:ascii="Calibri" w:hAnsi="Calibri"/>
              </w:rPr>
              <w:t xml:space="preserve"> </w:t>
            </w:r>
          </w:p>
        </w:tc>
        <w:tc>
          <w:tcPr>
            <w:tcW w:w="4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Nasdaq Capital Market</w:t>
            </w:r>
            <w:r>
              <w:rPr>
                <w:rFonts w:ascii="Calibri" w:hAnsi="Calibri"/>
              </w:rPr>
              <w:t xml:space="preserve"> </w:t>
            </w:r>
          </w:p>
        </w:tc>
      </w:tr>
    </w:tbl>
    <w:p>
      <w:pPr>
        <w:pStyle w:val="TextBody"/>
        <w:bidi w:val="0"/>
        <w:spacing w:before="0" w:after="0"/>
        <w:jc w:val="left"/>
        <w:rPr/>
      </w:pPr>
      <w:r>
        <w:rPr/>
        <w:t xml:space="preserve">  </w:t>
      </w:r>
    </w:p>
    <w:p>
      <w:pPr>
        <w:pStyle w:val="TextBody"/>
        <w:bidi w:val="0"/>
        <w:spacing w:before="0" w:after="0"/>
        <w:jc w:val="left"/>
        <w:rPr>
          <w:rFonts w:ascii="Calibri" w:hAnsi="Calibri"/>
          <w:sz w:val="22"/>
        </w:rPr>
      </w:pPr>
      <w:r>
        <w:rPr>
          <w:rFonts w:ascii="Times New Roman" w:hAnsi="Times New Roman"/>
          <w:sz w:val="22"/>
        </w:rPr>
        <w:t>Indicate by check mark whether the registrant is an emerging growth company as defined in Rule 405 of the Securities Act of 1933 (§230.405 of this chapter) or Rule 12b-2 of the Securities Exchange Act of 1934 (§240.12b-2 of this chapter).</w:t>
      </w:r>
      <w:r>
        <w:rPr>
          <w:rFonts w:ascii="Calibri" w:hAnsi="Calibri"/>
          <w:sz w:val="22"/>
        </w:rPr>
        <w:t xml:space="preserve"> </w:t>
      </w:r>
    </w:p>
    <w:p>
      <w:pPr>
        <w:pStyle w:val="TextBody"/>
        <w:bidi w:val="0"/>
        <w:spacing w:before="0" w:after="0"/>
        <w:jc w:val="right"/>
        <w:rPr>
          <w:rFonts w:ascii="Calibri" w:hAnsi="Calibri"/>
          <w:sz w:val="22"/>
        </w:rPr>
      </w:pPr>
      <w:r>
        <w:rPr>
          <w:rFonts w:ascii="Times New Roman" w:hAnsi="Times New Roman"/>
          <w:sz w:val="22"/>
        </w:rPr>
        <w:t>Emerging growth company □</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both"/>
        <w:rPr>
          <w:rFonts w:ascii="Calibri" w:hAnsi="Calibri"/>
          <w:sz w:val="22"/>
        </w:rPr>
      </w:pPr>
      <w:r>
        <w:rPr>
          <w:rFonts w:ascii="Times New Roman" w:hAnsi="Times New Roman"/>
          <w:sz w:val="22"/>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Calibri" w:hAnsi="Calibri"/>
          <w:sz w:val="22"/>
        </w:rPr>
        <w:t xml:space="preserve"> </w:t>
      </w:r>
    </w:p>
    <w:p>
      <w:pPr>
        <w:pStyle w:val="TextBody"/>
        <w:bidi w:val="0"/>
        <w:spacing w:before="0" w:after="0"/>
        <w:jc w:val="both"/>
        <w:rPr/>
      </w:pPr>
      <w:r>
        <w:rPr/>
        <w:t xml:space="preserve">  </w:t>
      </w:r>
    </w:p>
    <w:p>
      <w:pPr>
        <w:pStyle w:val="TextBody"/>
        <w:bidi w:val="0"/>
        <w:spacing w:lineRule="atLeast" w:line="240" w:before="0" w:after="240"/>
        <w:jc w:val="both"/>
        <w:rPr/>
      </w:pPr>
      <w:r>
        <w:rPr/>
        <w:t xml:space="preserve">  </w:t>
      </w:r>
    </w:p>
    <w:p>
      <w:pPr>
        <w:pStyle w:val="HorizontalLine"/>
        <w:pBdr>
          <w:bottom w:val="double" w:sz="2" w:space="0" w:color="808080"/>
        </w:pBdr>
        <w:bidi w:val="0"/>
        <w:spacing w:before="0" w:after="283"/>
        <w:jc w:val="left"/>
        <w:rPr/>
      </w:pPr>
      <w:r>
        <w:rPr/>
      </w:r>
    </w:p>
    <w:tbl>
      <w:tblPr>
        <w:tblW w:w="6107" w:type="dxa"/>
        <w:jc w:val="left"/>
        <w:tblInd w:w="0" w:type="dxa"/>
        <w:tblLayout w:type="fixed"/>
        <w:tblCellMar>
          <w:top w:w="28" w:type="dxa"/>
          <w:left w:w="28" w:type="dxa"/>
          <w:bottom w:w="28" w:type="dxa"/>
          <w:right w:w="28" w:type="dxa"/>
        </w:tblCellMar>
      </w:tblPr>
      <w:tblGrid>
        <w:gridCol w:w="1126"/>
        <w:gridCol w:w="4981"/>
      </w:tblGrid>
      <w:tr>
        <w:trPr/>
        <w:tc>
          <w:tcPr>
            <w:tcW w:w="1126" w:type="dxa"/>
            <w:tcBorders/>
            <w:vAlign w:val="center"/>
          </w:tcPr>
          <w:p>
            <w:pPr>
              <w:pStyle w:val="TableContents"/>
              <w:bidi w:val="0"/>
              <w:spacing w:before="0" w:after="0"/>
              <w:jc w:val="both"/>
              <w:rPr>
                <w:rFonts w:ascii="Calibri" w:hAnsi="Calibri"/>
              </w:rPr>
            </w:pPr>
            <w:r>
              <w:rPr>
                <w:rFonts w:ascii="Times New Roman" w:hAnsi="Times New Roman"/>
                <w:b/>
                <w:sz w:val="24"/>
              </w:rPr>
              <w:t>Item 2.02</w:t>
            </w:r>
            <w:r>
              <w:rPr>
                <w:rFonts w:ascii="Calibri" w:hAnsi="Calibri"/>
              </w:rPr>
              <w:t xml:space="preserve"> </w:t>
            </w:r>
          </w:p>
        </w:tc>
        <w:tc>
          <w:tcPr>
            <w:tcW w:w="4981" w:type="dxa"/>
            <w:tcBorders/>
            <w:vAlign w:val="center"/>
          </w:tcPr>
          <w:p>
            <w:pPr>
              <w:pStyle w:val="TableContents"/>
              <w:bidi w:val="0"/>
              <w:spacing w:before="0" w:after="0"/>
              <w:jc w:val="left"/>
              <w:rPr>
                <w:rFonts w:ascii="Calibri" w:hAnsi="Calibri"/>
              </w:rPr>
            </w:pPr>
            <w:r>
              <w:rPr>
                <w:rFonts w:ascii="Times New Roman" w:hAnsi="Times New Roman"/>
                <w:b/>
                <w:sz w:val="24"/>
              </w:rPr>
              <w:t>Results of Operations and Financial Condition</w:t>
            </w:r>
            <w:r>
              <w:rPr>
                <w:rFonts w:ascii="Times New Roman" w:hAnsi="Times New Roman"/>
                <w:sz w:val="24"/>
              </w:rPr>
              <w:t>.</w:t>
            </w:r>
            <w:r>
              <w:rPr>
                <w:rFonts w:ascii="Calibri" w:hAnsi="Calibri"/>
              </w:rPr>
              <w:t xml:space="preserve"> </w:t>
            </w:r>
          </w:p>
        </w:tc>
      </w:tr>
    </w:tbl>
    <w:p>
      <w:pPr>
        <w:pStyle w:val="TextBody"/>
        <w:bidi w:val="0"/>
        <w:spacing w:before="0" w:after="0"/>
        <w:jc w:val="both"/>
        <w:rPr/>
      </w:pPr>
      <w:r>
        <w:rPr/>
        <w:t xml:space="preserve">  </w:t>
      </w:r>
    </w:p>
    <w:p>
      <w:pPr>
        <w:pStyle w:val="TextBody"/>
        <w:bidi w:val="0"/>
        <w:spacing w:before="0" w:after="0"/>
        <w:ind w:left="0" w:right="0" w:firstLine="720"/>
        <w:jc w:val="both"/>
        <w:rPr>
          <w:rFonts w:ascii="Calibri" w:hAnsi="Calibri"/>
          <w:sz w:val="22"/>
        </w:rPr>
      </w:pPr>
      <w:r>
        <w:rPr>
          <w:rFonts w:ascii="Times New Roman" w:hAnsi="Times New Roman"/>
          <w:sz w:val="24"/>
        </w:rPr>
        <w:t>On October 16, 2026, Kingstone Companies, Inc. (the “Company”) issued a press release announcing that the Company will hold a conference call for analysts and investors on November 6, 2026 at 8:30 A.M. ET. to discuss its business operations and third quarter results, and that the Company’s financial results news release is scheduled to be issued shortly after the stock markets close on the previous day, November 5, 2026 (the “Press Release”).  A copy of the Press Release is furnished as Exhibit 99.1 hereto.</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Calibri" w:hAnsi="Calibri"/>
          <w:sz w:val="22"/>
        </w:rPr>
      </w:pPr>
      <w:r>
        <w:rPr>
          <w:rFonts w:ascii="Times New Roman" w:hAnsi="Times New Roman"/>
          <w:sz w:val="24"/>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(the “Securities Act”), or the Exchange Act, except as expressly set forth by specific reference in such a filing.</w:t>
      </w:r>
      <w:r>
        <w:rPr>
          <w:rFonts w:ascii="Calibri" w:hAnsi="Calibri"/>
          <w:sz w:val="22"/>
        </w:rPr>
        <w:t xml:space="preserve"> </w:t>
      </w:r>
    </w:p>
    <w:p>
      <w:pPr>
        <w:pStyle w:val="TextBody"/>
        <w:bidi w:val="0"/>
        <w:spacing w:before="0" w:after="0"/>
        <w:jc w:val="both"/>
        <w:rPr/>
      </w:pPr>
      <w:r>
        <w:rPr/>
        <w:t xml:space="preserve">  </w:t>
      </w:r>
    </w:p>
    <w:tbl>
      <w:tblPr>
        <w:tblW w:w="4007" w:type="dxa"/>
        <w:jc w:val="left"/>
        <w:tblInd w:w="0" w:type="dxa"/>
        <w:tblLayout w:type="fixed"/>
        <w:tblCellMar>
          <w:top w:w="28" w:type="dxa"/>
          <w:left w:w="28" w:type="dxa"/>
          <w:bottom w:w="28" w:type="dxa"/>
          <w:right w:w="28" w:type="dxa"/>
        </w:tblCellMar>
      </w:tblPr>
      <w:tblGrid>
        <w:gridCol w:w="1126"/>
        <w:gridCol w:w="2881"/>
      </w:tblGrid>
      <w:tr>
        <w:trPr/>
        <w:tc>
          <w:tcPr>
            <w:tcW w:w="1126" w:type="dxa"/>
            <w:tcBorders/>
            <w:vAlign w:val="center"/>
          </w:tcPr>
          <w:p>
            <w:pPr>
              <w:pStyle w:val="TableContents"/>
              <w:bidi w:val="0"/>
              <w:spacing w:before="0" w:after="0"/>
              <w:jc w:val="both"/>
              <w:rPr>
                <w:rFonts w:ascii="Calibri" w:hAnsi="Calibri"/>
              </w:rPr>
            </w:pPr>
            <w:r>
              <w:rPr>
                <w:rFonts w:ascii="Times New Roman" w:hAnsi="Times New Roman"/>
                <w:b/>
                <w:sz w:val="24"/>
              </w:rPr>
              <w:t>Item 7.01</w:t>
            </w:r>
            <w:r>
              <w:rPr>
                <w:rFonts w:ascii="Calibri" w:hAnsi="Calibri"/>
              </w:rPr>
              <w:t xml:space="preserve"> </w:t>
            </w:r>
          </w:p>
        </w:tc>
        <w:tc>
          <w:tcPr>
            <w:tcW w:w="2881" w:type="dxa"/>
            <w:tcBorders/>
            <w:vAlign w:val="center"/>
          </w:tcPr>
          <w:p>
            <w:pPr>
              <w:pStyle w:val="TableContents"/>
              <w:bidi w:val="0"/>
              <w:spacing w:before="0" w:after="0"/>
              <w:jc w:val="left"/>
              <w:rPr>
                <w:rFonts w:ascii="Calibri" w:hAnsi="Calibri"/>
              </w:rPr>
            </w:pPr>
            <w:r>
              <w:rPr>
                <w:rFonts w:ascii="Times New Roman" w:hAnsi="Times New Roman"/>
                <w:b/>
                <w:sz w:val="24"/>
              </w:rPr>
              <w:t>Regulation FD Disclosure</w:t>
            </w:r>
            <w:r>
              <w:rPr>
                <w:rFonts w:ascii="Times New Roman" w:hAnsi="Times New Roman"/>
                <w:sz w:val="24"/>
              </w:rPr>
              <w:t>.</w:t>
            </w:r>
            <w:r>
              <w:rPr>
                <w:rFonts w:ascii="Calibri" w:hAnsi="Calibri"/>
              </w:rPr>
              <w:t xml:space="preserve"> </w:t>
            </w:r>
          </w:p>
        </w:tc>
      </w:tr>
    </w:tbl>
    <w:p>
      <w:pPr>
        <w:pStyle w:val="TextBody"/>
        <w:bidi w:val="0"/>
        <w:spacing w:before="0" w:after="0"/>
        <w:jc w:val="both"/>
        <w:rPr/>
      </w:pPr>
      <w:r>
        <w:rPr/>
        <w:t xml:space="preserve">  </w:t>
      </w:r>
    </w:p>
    <w:p>
      <w:pPr>
        <w:pStyle w:val="TextBody"/>
        <w:bidi w:val="0"/>
        <w:spacing w:before="0" w:after="0"/>
        <w:ind w:left="0" w:right="0" w:firstLine="720"/>
        <w:jc w:val="both"/>
        <w:rPr>
          <w:rFonts w:ascii="Calibri" w:hAnsi="Calibri"/>
          <w:sz w:val="22"/>
        </w:rPr>
      </w:pPr>
      <w:r>
        <w:rPr>
          <w:rFonts w:ascii="Times New Roman" w:hAnsi="Times New Roman"/>
          <w:sz w:val="24"/>
        </w:rPr>
        <w:t>See Item 2.02 above.</w:t>
      </w:r>
      <w:r>
        <w:rPr>
          <w:rFonts w:ascii="Calibri" w:hAnsi="Calibri"/>
          <w:sz w:val="22"/>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Calibri" w:hAnsi="Calibri"/>
          <w:sz w:val="22"/>
        </w:rPr>
      </w:pPr>
      <w:r>
        <w:rPr>
          <w:rFonts w:ascii="Times New Roman" w:hAnsi="Times New Roman"/>
          <w:sz w:val="24"/>
        </w:rPr>
        <w:t>The information in the Press Release is being furnished, not filed, pursuant to this Item 7.01. Accordingly, the information in the Press Release will not be incorporated by reference into any registration statement filed by the Company under the Securities Act unless specifically identified therein as being incorporated therein by reference. The furnishing of the information in this Current Report on Form 8-K with respect to the Press Release is not intended to, and does not, constitute a determination or admission by the Company that the information in this Report with respect to the Press Release is material or complete, or that investors should consider this information before making an investment decision with respect to any security of the Company.</w:t>
      </w:r>
      <w:r>
        <w:rPr>
          <w:rFonts w:ascii="Calibri" w:hAnsi="Calibri"/>
          <w:sz w:val="22"/>
        </w:rPr>
        <w:t xml:space="preserve"> </w:t>
      </w:r>
    </w:p>
    <w:p>
      <w:pPr>
        <w:pStyle w:val="TextBody"/>
        <w:bidi w:val="0"/>
        <w:spacing w:before="0" w:after="0"/>
        <w:jc w:val="both"/>
        <w:rPr/>
      </w:pPr>
      <w:r>
        <w:rPr/>
        <w:t xml:space="preserve">  </w:t>
      </w:r>
    </w:p>
    <w:tbl>
      <w:tblPr>
        <w:tblW w:w="4862" w:type="dxa"/>
        <w:jc w:val="left"/>
        <w:tblInd w:w="0" w:type="dxa"/>
        <w:tblLayout w:type="fixed"/>
        <w:tblCellMar>
          <w:top w:w="28" w:type="dxa"/>
          <w:left w:w="28" w:type="dxa"/>
          <w:bottom w:w="28" w:type="dxa"/>
          <w:right w:w="28" w:type="dxa"/>
        </w:tblCellMar>
      </w:tblPr>
      <w:tblGrid>
        <w:gridCol w:w="1126"/>
        <w:gridCol w:w="3736"/>
      </w:tblGrid>
      <w:tr>
        <w:trPr/>
        <w:tc>
          <w:tcPr>
            <w:tcW w:w="1126" w:type="dxa"/>
            <w:tcBorders/>
            <w:vAlign w:val="center"/>
          </w:tcPr>
          <w:p>
            <w:pPr>
              <w:pStyle w:val="TableContents"/>
              <w:bidi w:val="0"/>
              <w:spacing w:before="0" w:after="0"/>
              <w:jc w:val="both"/>
              <w:rPr>
                <w:rFonts w:ascii="Calibri" w:hAnsi="Calibri"/>
              </w:rPr>
            </w:pPr>
            <w:r>
              <w:rPr>
                <w:rFonts w:ascii="Times New Roman" w:hAnsi="Times New Roman"/>
                <w:b/>
                <w:sz w:val="24"/>
              </w:rPr>
              <w:t>Item 9.01</w:t>
            </w:r>
            <w:r>
              <w:rPr>
                <w:rFonts w:ascii="Calibri" w:hAnsi="Calibri"/>
              </w:rPr>
              <w:t xml:space="preserve"> </w:t>
            </w:r>
          </w:p>
        </w:tc>
        <w:tc>
          <w:tcPr>
            <w:tcW w:w="3736" w:type="dxa"/>
            <w:tcBorders/>
            <w:vAlign w:val="center"/>
          </w:tcPr>
          <w:p>
            <w:pPr>
              <w:pStyle w:val="TableContents"/>
              <w:bidi w:val="0"/>
              <w:spacing w:before="0" w:after="0"/>
              <w:jc w:val="left"/>
              <w:rPr>
                <w:rFonts w:ascii="Calibri" w:hAnsi="Calibri"/>
              </w:rPr>
            </w:pPr>
            <w:r>
              <w:rPr>
                <w:rFonts w:ascii="Times New Roman" w:hAnsi="Times New Roman"/>
                <w:b/>
                <w:sz w:val="24"/>
              </w:rPr>
              <w:t>Financial Statements and Exhibits</w:t>
            </w:r>
            <w:r>
              <w:rPr>
                <w:rFonts w:ascii="Times New Roman" w:hAnsi="Times New Roman"/>
                <w:sz w:val="24"/>
              </w:rPr>
              <w:t>.</w:t>
            </w:r>
            <w:r>
              <w:rPr>
                <w:rFonts w:ascii="Calibri" w:hAnsi="Calibri"/>
              </w:rPr>
              <w:t xml:space="preserve"> </w:t>
            </w:r>
          </w:p>
        </w:tc>
      </w:tr>
    </w:tbl>
    <w:p>
      <w:pPr>
        <w:pStyle w:val="TextBody"/>
        <w:bidi w:val="0"/>
        <w:spacing w:before="0" w:after="0"/>
        <w:jc w:val="both"/>
        <w:rPr/>
      </w:pPr>
      <w:r>
        <w:rPr/>
        <w:t xml:space="preserve">  </w:t>
      </w:r>
    </w:p>
    <w:tbl>
      <w:tblPr>
        <w:tblW w:w="8883" w:type="dxa"/>
        <w:jc w:val="left"/>
        <w:tblInd w:w="0" w:type="dxa"/>
        <w:tblLayout w:type="fixed"/>
        <w:tblCellMar>
          <w:top w:w="28" w:type="dxa"/>
          <w:left w:w="28" w:type="dxa"/>
          <w:bottom w:w="28" w:type="dxa"/>
          <w:right w:w="28" w:type="dxa"/>
        </w:tblCellMar>
      </w:tblPr>
      <w:tblGrid>
        <w:gridCol w:w="451"/>
        <w:gridCol w:w="586"/>
        <w:gridCol w:w="7846"/>
      </w:tblGrid>
      <w:tr>
        <w:trPr/>
        <w:tc>
          <w:tcPr>
            <w:tcW w:w="45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7846" w:type="dxa"/>
            <w:tcBorders/>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0"/>
              <w:jc w:val="left"/>
              <w:rPr>
                <w:rFonts w:ascii="Calibri" w:hAnsi="Calibri"/>
              </w:rPr>
            </w:pPr>
            <w:r>
              <w:rPr>
                <w:rFonts w:ascii="Times New Roman" w:hAnsi="Times New Roman"/>
                <w:sz w:val="24"/>
              </w:rPr>
              <w:t>(d)</w:t>
            </w:r>
            <w:r>
              <w:rPr>
                <w:rFonts w:ascii="Calibri" w:hAnsi="Calibri"/>
              </w:rPr>
              <w:t xml:space="preserve"> </w:t>
            </w:r>
          </w:p>
        </w:tc>
        <w:tc>
          <w:tcPr>
            <w:tcW w:w="8432" w:type="dxa"/>
            <w:gridSpan w:val="2"/>
            <w:tcBorders/>
            <w:tcMar>
              <w:top w:w="0" w:type="dxa"/>
              <w:left w:w="0" w:type="dxa"/>
              <w:bottom w:w="0" w:type="dxa"/>
              <w:right w:w="0" w:type="dxa"/>
            </w:tcMar>
            <w:vAlign w:val="center"/>
          </w:tcPr>
          <w:p>
            <w:pPr>
              <w:pStyle w:val="TableContents"/>
              <w:bidi w:val="0"/>
              <w:spacing w:before="0" w:after="0"/>
              <w:jc w:val="left"/>
              <w:rPr>
                <w:rFonts w:ascii="Calibri" w:hAnsi="Calibri"/>
              </w:rPr>
            </w:pPr>
            <w:r>
              <w:rPr>
                <w:rFonts w:ascii="Times New Roman" w:hAnsi="Times New Roman"/>
                <w:sz w:val="24"/>
              </w:rPr>
              <w:t>Exhibits:</w:t>
            </w:r>
            <w:r>
              <w:rPr>
                <w:rFonts w:ascii="Calibri" w:hAnsi="Calibri"/>
              </w:rPr>
              <w:t xml:space="preserve"> </w:t>
            </w:r>
          </w:p>
        </w:tc>
      </w:tr>
      <w:tr>
        <w:trPr/>
        <w:tc>
          <w:tcPr>
            <w:tcW w:w="45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8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84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451" w:type="dxa"/>
            <w:tcBorders/>
            <w:tcMar>
              <w:top w:w="0" w:type="dxa"/>
              <w:left w:w="0" w:type="dxa"/>
              <w:bottom w:w="0" w:type="dxa"/>
              <w:right w:w="0" w:type="dxa"/>
            </w:tcMar>
            <w:vAlign w:val="center"/>
          </w:tcPr>
          <w:p>
            <w:pPr>
              <w:pStyle w:val="TableContents"/>
              <w:bidi w:val="0"/>
              <w:spacing w:before="0" w:after="200"/>
              <w:jc w:val="left"/>
              <w:rPr/>
            </w:pPr>
            <w:r>
              <w:rPr/>
              <w:t xml:space="preserve">  </w:t>
            </w:r>
          </w:p>
        </w:tc>
        <w:tc>
          <w:tcPr>
            <w:tcW w:w="586" w:type="dxa"/>
            <w:tcBorders/>
            <w:tcMar>
              <w:top w:w="0" w:type="dxa"/>
              <w:left w:w="0" w:type="dxa"/>
              <w:bottom w:w="0" w:type="dxa"/>
              <w:right w:w="0" w:type="dxa"/>
            </w:tcMar>
            <w:vAlign w:val="center"/>
          </w:tcPr>
          <w:p>
            <w:pPr>
              <w:pStyle w:val="TableContents"/>
              <w:bidi w:val="0"/>
              <w:spacing w:before="0" w:after="200"/>
              <w:jc w:val="left"/>
              <w:rPr>
                <w:rFonts w:ascii="Calibri" w:hAnsi="Calibri"/>
              </w:rPr>
            </w:pPr>
            <w:r>
              <w:rPr>
                <w:rFonts w:ascii="Times New Roman" w:hAnsi="Times New Roman"/>
                <w:sz w:val="24"/>
              </w:rPr>
              <w:t>99.1</w:t>
            </w:r>
            <w:r>
              <w:rPr>
                <w:rFonts w:ascii="Calibri" w:hAnsi="Calibri"/>
              </w:rPr>
              <w:t xml:space="preserve"> </w:t>
            </w:r>
          </w:p>
        </w:tc>
        <w:tc>
          <w:tcPr>
            <w:tcW w:w="784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4"/>
              </w:rPr>
            </w:pPr>
            <w:r>
              <w:rPr>
                <w:rFonts w:ascii="Times New Roman" w:hAnsi="Times New Roman"/>
                <w:sz w:val="24"/>
              </w:rPr>
              <w:t xml:space="preserve">Press release, dated October 16, 2026, issued by Kingstone Companies, Inc. </w:t>
            </w:r>
          </w:p>
        </w:tc>
      </w:tr>
      <w:tr>
        <w:trPr/>
        <w:tc>
          <w:tcPr>
            <w:tcW w:w="451" w:type="dxa"/>
            <w:tcBorders/>
            <w:tcMar>
              <w:top w:w="0" w:type="dxa"/>
              <w:left w:w="0" w:type="dxa"/>
              <w:bottom w:w="0" w:type="dxa"/>
              <w:right w:w="0" w:type="dxa"/>
            </w:tcMar>
            <w:vAlign w:val="center"/>
          </w:tcPr>
          <w:p>
            <w:pPr>
              <w:pStyle w:val="TableContents"/>
              <w:bidi w:val="0"/>
              <w:spacing w:before="0" w:after="200"/>
              <w:jc w:val="left"/>
              <w:rPr/>
            </w:pPr>
            <w:r>
              <w:rPr/>
              <w:t xml:space="preserve">  </w:t>
            </w:r>
          </w:p>
        </w:tc>
        <w:tc>
          <w:tcPr>
            <w:tcW w:w="586" w:type="dxa"/>
            <w:tcBorders/>
            <w:tcMar>
              <w:top w:w="0" w:type="dxa"/>
              <w:left w:w="0" w:type="dxa"/>
              <w:bottom w:w="0" w:type="dxa"/>
              <w:right w:w="0" w:type="dxa"/>
            </w:tcMar>
            <w:vAlign w:val="center"/>
          </w:tcPr>
          <w:p>
            <w:pPr>
              <w:pStyle w:val="TableContents"/>
              <w:bidi w:val="0"/>
              <w:spacing w:before="0" w:after="200"/>
              <w:jc w:val="left"/>
              <w:rPr>
                <w:rFonts w:ascii="Calibri" w:hAnsi="Calibri"/>
              </w:rPr>
            </w:pPr>
            <w:r>
              <w:rPr>
                <w:rFonts w:ascii="Times New Roman" w:hAnsi="Times New Roman"/>
                <w:sz w:val="24"/>
              </w:rPr>
              <w:t>104</w:t>
            </w:r>
            <w:r>
              <w:rPr>
                <w:rFonts w:ascii="Calibri" w:hAnsi="Calibri"/>
              </w:rPr>
              <w:t xml:space="preserve"> </w:t>
            </w:r>
          </w:p>
        </w:tc>
        <w:tc>
          <w:tcPr>
            <w:tcW w:w="7846" w:type="dxa"/>
            <w:tcBorders/>
            <w:tcMar>
              <w:top w:w="0" w:type="dxa"/>
              <w:left w:w="0" w:type="dxa"/>
              <w:bottom w:w="0" w:type="dxa"/>
              <w:right w:w="0" w:type="dxa"/>
            </w:tcMar>
            <w:vAlign w:val="center"/>
          </w:tcPr>
          <w:p>
            <w:pPr>
              <w:pStyle w:val="TableContents"/>
              <w:bidi w:val="0"/>
              <w:spacing w:before="0" w:after="200"/>
              <w:jc w:val="left"/>
              <w:rPr>
                <w:rFonts w:ascii="Calibri" w:hAnsi="Calibri"/>
              </w:rPr>
            </w:pPr>
            <w:r>
              <w:rPr>
                <w:rFonts w:ascii="Times New Roman" w:hAnsi="Times New Roman"/>
                <w:sz w:val="24"/>
              </w:rPr>
              <w:t>Cover Page Interactive Data File (embedded within the inline XBRL document).</w:t>
            </w:r>
            <w:r>
              <w:rPr>
                <w:rFonts w:ascii="Calibri" w:hAnsi="Calibri"/>
              </w:rPr>
              <w:t xml:space="preserve"> </w:t>
            </w:r>
          </w:p>
        </w:tc>
      </w:tr>
    </w:tbl>
    <w:p>
      <w:pPr>
        <w:pStyle w:val="TextBody"/>
        <w:bidi w:val="0"/>
        <w:spacing w:before="0" w:after="20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lineRule="atLeast" w:line="276" w:before="0" w:after="0"/>
        <w:jc w:val="center"/>
        <w:rPr>
          <w:rFonts w:ascii="Calibri" w:hAnsi="Calibri"/>
          <w:sz w:val="22"/>
        </w:rPr>
      </w:pPr>
      <w:r>
        <w:rPr>
          <w:rFonts w:ascii="Times New Roman" w:hAnsi="Times New Roman"/>
          <w:b/>
          <w:sz w:val="24"/>
        </w:rPr>
        <w:t>SIGNATURES</w:t>
      </w:r>
      <w:r>
        <w:rPr>
          <w:rFonts w:ascii="Calibri" w:hAnsi="Calibri"/>
          <w:sz w:val="22"/>
        </w:rPr>
        <w:t xml:space="preserve"> </w:t>
      </w:r>
    </w:p>
    <w:p>
      <w:pPr>
        <w:pStyle w:val="TextBody"/>
        <w:bidi w:val="0"/>
        <w:spacing w:lineRule="atLeast" w:line="276" w:before="0" w:after="0"/>
        <w:jc w:val="both"/>
        <w:rPr/>
      </w:pPr>
      <w:r>
        <w:rPr/>
        <w:t xml:space="preserve">  </w:t>
      </w:r>
    </w:p>
    <w:p>
      <w:pPr>
        <w:pStyle w:val="TextBody"/>
        <w:bidi w:val="0"/>
        <w:spacing w:lineRule="atLeast" w:line="276" w:before="0" w:after="0"/>
        <w:ind w:left="0" w:right="0" w:firstLine="4680"/>
        <w:jc w:val="left"/>
        <w:rPr>
          <w:rFonts w:ascii="Calibri" w:hAnsi="Calibri"/>
          <w:sz w:val="22"/>
        </w:rPr>
      </w:pPr>
      <w:r>
        <w:rPr>
          <w:rFonts w:ascii="Times New Roman" w:hAnsi="Times New Roman"/>
          <w:sz w:val="24"/>
        </w:rPr>
        <w:t>Pursuant to the requirements of the Securities Exchange Act of 1934, the registrant has duly caused this report to be signed on its behalf by the undersigned hereunto duly authorized.</w:t>
      </w:r>
      <w:r>
        <w:rPr>
          <w:rFonts w:ascii="Calibri" w:hAnsi="Calibri"/>
          <w:sz w:val="22"/>
        </w:rPr>
        <w:t xml:space="preserve"> </w:t>
      </w:r>
    </w:p>
    <w:p>
      <w:pPr>
        <w:pStyle w:val="TextBody"/>
        <w:bidi w:val="0"/>
        <w:spacing w:lineRule="atLeast" w:line="276" w:before="0" w:after="0"/>
        <w:jc w:val="both"/>
        <w:rPr/>
      </w:pPr>
      <w:r>
        <w:rPr/>
        <w:t xml:space="preserve">  </w:t>
      </w:r>
    </w:p>
    <w:tbl>
      <w:tblPr>
        <w:tblW w:w="6436" w:type="dxa"/>
        <w:jc w:val="left"/>
        <w:tblInd w:w="0" w:type="dxa"/>
        <w:tblLayout w:type="fixed"/>
        <w:tblCellMar>
          <w:top w:w="28" w:type="dxa"/>
          <w:left w:w="28" w:type="dxa"/>
          <w:bottom w:w="28" w:type="dxa"/>
          <w:right w:w="28" w:type="dxa"/>
        </w:tblCellMar>
      </w:tblPr>
      <w:tblGrid>
        <w:gridCol w:w="2596"/>
        <w:gridCol w:w="674"/>
        <w:gridCol w:w="3166"/>
      </w:tblGrid>
      <w:tr>
        <w:trPr/>
        <w:tc>
          <w:tcPr>
            <w:tcW w:w="259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3166" w:type="dxa"/>
            <w:tcBorders/>
            <w:vAlign w:val="center"/>
          </w:tcPr>
          <w:p>
            <w:pPr>
              <w:pStyle w:val="TableContents"/>
              <w:bidi w:val="0"/>
              <w:spacing w:before="0" w:after="283"/>
              <w:jc w:val="left"/>
              <w:rPr/>
            </w:pPr>
            <w:r>
              <w:rPr/>
              <w:t> </w:t>
            </w:r>
          </w:p>
        </w:tc>
      </w:tr>
      <w:tr>
        <w:trPr/>
        <w:tc>
          <w:tcPr>
            <w:tcW w:w="259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840" w:type="dxa"/>
            <w:gridSpan w:val="2"/>
            <w:tcBorders/>
            <w:tcMar>
              <w:top w:w="0" w:type="dxa"/>
              <w:left w:w="0" w:type="dxa"/>
              <w:bottom w:w="0" w:type="dxa"/>
              <w:right w:w="0" w:type="dxa"/>
            </w:tcMar>
            <w:vAlign w:val="center"/>
          </w:tcPr>
          <w:p>
            <w:pPr>
              <w:pStyle w:val="TableContents"/>
              <w:bidi w:val="0"/>
              <w:spacing w:before="0" w:after="0"/>
              <w:jc w:val="left"/>
              <w:rPr/>
            </w:pPr>
            <w:r>
              <w:rPr>
                <w:b/>
                <w:sz w:val="24"/>
              </w:rPr>
              <w:t>KINGSTONE COMPANIES, INC.</w:t>
            </w:r>
            <w:r>
              <w:rPr/>
              <w:t xml:space="preserve"> </w:t>
            </w:r>
          </w:p>
        </w:tc>
      </w:tr>
      <w:tr>
        <w:trPr/>
        <w:tc>
          <w:tcPr>
            <w:tcW w:w="259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596" w:type="dxa"/>
            <w:tcBorders/>
            <w:tcMar>
              <w:top w:w="0" w:type="dxa"/>
              <w:left w:w="0" w:type="dxa"/>
              <w:bottom w:w="0" w:type="dxa"/>
              <w:right w:w="0" w:type="dxa"/>
            </w:tcMar>
            <w:vAlign w:val="center"/>
          </w:tcPr>
          <w:p>
            <w:pPr>
              <w:pStyle w:val="TableContents"/>
              <w:bidi w:val="0"/>
              <w:spacing w:before="0" w:after="0"/>
              <w:jc w:val="left"/>
              <w:rPr/>
            </w:pPr>
            <w:r>
              <w:rPr>
                <w:sz w:val="24"/>
              </w:rPr>
              <w:t>Dated:  October 16, 2026</w:t>
            </w: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sz w:val="24"/>
              </w:rPr>
              <w:t>By:</w:t>
            </w:r>
            <w:r>
              <w:rPr/>
              <w:t xml:space="preserve"> </w:t>
            </w:r>
          </w:p>
        </w:tc>
        <w:tc>
          <w:tcPr>
            <w:tcW w:w="3166" w:type="dxa"/>
            <w:tcBorders>
              <w:bottom w:val="single" w:sz="8" w:space="0" w:color="000000"/>
            </w:tcBorders>
            <w:tcMar>
              <w:top w:w="0" w:type="dxa"/>
              <w:left w:w="0" w:type="dxa"/>
              <w:right w:w="0" w:type="dxa"/>
            </w:tcMar>
            <w:vAlign w:val="center"/>
          </w:tcPr>
          <w:p>
            <w:pPr>
              <w:pStyle w:val="TableContents"/>
              <w:bidi w:val="0"/>
              <w:spacing w:before="0" w:after="0"/>
              <w:jc w:val="left"/>
              <w:rPr/>
            </w:pPr>
            <w:r>
              <w:rPr>
                <w:sz w:val="24"/>
              </w:rPr>
              <w:t>/s/ Randy Patten</w:t>
            </w:r>
            <w:r>
              <w:rPr/>
              <w:t xml:space="preserve"> </w:t>
            </w:r>
          </w:p>
        </w:tc>
      </w:tr>
      <w:tr>
        <w:trPr/>
        <w:tc>
          <w:tcPr>
            <w:tcW w:w="259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op w:val="single" w:sz="8" w:space="0" w:color="000000"/>
            </w:tcBorders>
            <w:tcMar>
              <w:left w:w="0" w:type="dxa"/>
              <w:bottom w:w="0" w:type="dxa"/>
              <w:right w:w="0" w:type="dxa"/>
            </w:tcMar>
            <w:vAlign w:val="center"/>
          </w:tcPr>
          <w:p>
            <w:pPr>
              <w:pStyle w:val="TableContents"/>
              <w:bidi w:val="0"/>
              <w:spacing w:before="0" w:after="0"/>
              <w:ind w:left="0" w:right="0" w:hanging="0"/>
              <w:jc w:val="left"/>
              <w:rPr/>
            </w:pPr>
            <w:r>
              <w:rPr>
                <w:sz w:val="24"/>
              </w:rPr>
              <w:t>Randy Patten</w:t>
            </w:r>
            <w:r>
              <w:rPr/>
              <w:t xml:space="preserve"> </w:t>
            </w:r>
          </w:p>
        </w:tc>
      </w:tr>
      <w:tr>
        <w:trPr/>
        <w:tc>
          <w:tcPr>
            <w:tcW w:w="259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cMar>
              <w:top w:w="0" w:type="dxa"/>
              <w:left w:w="0" w:type="dxa"/>
              <w:bottom w:w="0" w:type="dxa"/>
              <w:right w:w="0" w:type="dxa"/>
            </w:tcMar>
            <w:vAlign w:val="center"/>
          </w:tcPr>
          <w:p>
            <w:pPr>
              <w:pStyle w:val="TableContents"/>
              <w:bidi w:val="0"/>
              <w:spacing w:before="0" w:after="0"/>
              <w:ind w:left="0" w:right="0" w:hanging="0"/>
              <w:jc w:val="left"/>
              <w:rPr/>
            </w:pPr>
            <w:r>
              <w:rPr>
                <w:sz w:val="24"/>
              </w:rPr>
              <w:t>Chief Financial Officer</w:t>
            </w:r>
            <w:r>
              <w:rPr/>
              <w:t xml:space="preserve"> </w:t>
            </w:r>
          </w:p>
        </w:tc>
      </w:tr>
    </w:tbl>
    <w:p>
      <w:pPr>
        <w:pStyle w:val="TextBody"/>
        <w:bidi w:val="0"/>
        <w:spacing w:before="0" w:after="200"/>
        <w:jc w:val="left"/>
        <w:rPr/>
      </w:pPr>
      <w:r>
        <w:rPr/>
        <w:t xml:space="preserve">  </w:t>
      </w:r>
    </w:p>
    <w:p>
      <w:pPr>
        <w:pStyle w:val="TextBody"/>
        <w:bidi w:val="0"/>
        <w:spacing w:before="0" w:after="200"/>
        <w:jc w:val="both"/>
        <w:rPr/>
      </w:pPr>
      <w:r>
        <w:rPr/>
        <w:t xml:space="preserve">  </w:t>
      </w:r>
    </w:p>
    <w:p>
      <w:pPr>
        <w:pStyle w:val="TextBody"/>
        <w:bidi w:val="0"/>
        <w:spacing w:before="4" w:after="246"/>
        <w:ind w:left="0" w:right="9278" w:hanging="0"/>
        <w:jc w:val="left"/>
        <w:rPr/>
      </w:pPr>
      <w:bookmarkStart w:id="2" w:name="ex99_1.htm"/>
      <w:bookmarkStart w:id="3" w:name="ksex99_1"/>
      <w:bookmarkEnd w:id="2"/>
      <w:bookmarkEnd w:id="3"/>
      <w:r>
        <w:rPr/>
        <w:drawing>
          <wp:inline distT="0" distB="0" distL="0" distR="0">
            <wp:extent cx="1195070" cy="3416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5070" cy="341630"/>
                    </a:xfrm>
                    <a:prstGeom prst="rect">
                      <a:avLst/>
                    </a:prstGeom>
                  </pic:spPr>
                </pic:pic>
              </a:graphicData>
            </a:graphic>
          </wp:inline>
        </w:drawing>
      </w:r>
      <w:r>
        <w:rPr/>
        <w:t xml:space="preserve"> </w:t>
      </w:r>
      <w:r>
        <w:br w:type="page"/>
      </w:r>
    </w:p>
    <w:p>
      <w:pPr>
        <w:pStyle w:val="TextBody"/>
        <w:bidi w:val="0"/>
        <w:spacing w:lineRule="atLeast" w:line="333" w:before="7" w:after="283"/>
        <w:jc w:val="left"/>
        <w:rPr/>
      </w:pPr>
      <w:r>
        <w:rPr>
          <w:rFonts w:ascii="Arial" w:hAnsi="Arial"/>
          <w:color w:val="000000"/>
          <w:sz w:val="30"/>
        </w:rPr>
        <w:t>Kingstone Schedules Third Quarter 2026 Earnings Release and Conference Call</w:t>
      </w:r>
      <w:r>
        <w:rPr/>
        <w:t xml:space="preserve"> </w:t>
      </w:r>
    </w:p>
    <w:p>
      <w:pPr>
        <w:pStyle w:val="TextBody"/>
        <w:bidi w:val="0"/>
        <w:spacing w:lineRule="atLeast" w:line="210" w:before="243" w:after="283"/>
        <w:ind w:left="0" w:right="288" w:hanging="0"/>
        <w:jc w:val="left"/>
        <w:rPr/>
      </w:pPr>
      <w:r>
        <w:rPr>
          <w:rFonts w:ascii="Arial" w:hAnsi="Arial"/>
          <w:color w:val="000000"/>
          <w:sz w:val="19"/>
        </w:rPr>
        <w:t>KINGSTON, N.Y., Oct. 16, 2026 (GLOBE NEWSWIRE) -- Kingstone Companies, Inc. (Nasdaq: KINS) ("Kingstone" or the "Company"), a regional property and casualty insurance holding company, today announced that it will issue financial results for the third quarter ended September 30, 2026, after the market closes on Thursday, November 5, 2026.</w:t>
      </w:r>
      <w:r>
        <w:rPr/>
        <w:t xml:space="preserve"> </w:t>
      </w:r>
    </w:p>
    <w:p>
      <w:pPr>
        <w:pStyle w:val="TextBody"/>
        <w:bidi w:val="0"/>
        <w:spacing w:lineRule="atLeast" w:line="210" w:before="234" w:after="283"/>
        <w:jc w:val="left"/>
        <w:rPr/>
      </w:pPr>
      <w:r>
        <w:rPr>
          <w:rFonts w:ascii="Arial" w:hAnsi="Arial"/>
          <w:color w:val="000000"/>
          <w:sz w:val="19"/>
        </w:rPr>
        <w:t>Management will host a conference call to discuss the Company’s business operations and financial results at 8:30 a.m. ET on Friday, November 6, 2026. Participants are asked to dial in approximately 10 minutes before the conference call is scheduled to begin using the following numbers:</w:t>
      </w:r>
      <w:r>
        <w:rPr/>
        <w:t xml:space="preserve"> </w:t>
      </w:r>
    </w:p>
    <w:p>
      <w:pPr>
        <w:pStyle w:val="TextBody"/>
        <w:numPr>
          <w:ilvl w:val="0"/>
          <w:numId w:val="2"/>
        </w:numPr>
        <w:tabs>
          <w:tab w:val="clear" w:pos="1134"/>
          <w:tab w:val="left" w:pos="997" w:leader="none"/>
        </w:tabs>
        <w:bidi w:val="0"/>
        <w:spacing w:lineRule="atLeast" w:line="210" w:before="236" w:after="283"/>
        <w:ind w:left="997" w:right="0" w:hanging="283"/>
        <w:jc w:val="left"/>
        <w:rPr>
          <w:sz w:val="19"/>
        </w:rPr>
      </w:pPr>
      <w:r>
        <w:rPr>
          <w:rFonts w:ascii="Arial" w:hAnsi="Arial"/>
          <w:color w:val="000000"/>
          <w:sz w:val="19"/>
        </w:rPr>
        <w:t>U.S. toll-free: 1-877-407-2991</w:t>
      </w:r>
      <w:r>
        <w:rPr>
          <w:sz w:val="19"/>
        </w:rPr>
        <w:t xml:space="preserve"> </w:t>
      </w:r>
    </w:p>
    <w:p>
      <w:pPr>
        <w:pStyle w:val="TextBody"/>
        <w:numPr>
          <w:ilvl w:val="0"/>
          <w:numId w:val="2"/>
        </w:numPr>
        <w:tabs>
          <w:tab w:val="clear" w:pos="1134"/>
          <w:tab w:val="left" w:pos="997" w:leader="none"/>
        </w:tabs>
        <w:bidi w:val="0"/>
        <w:spacing w:lineRule="atLeast" w:line="206"/>
        <w:ind w:left="997" w:right="0" w:hanging="283"/>
        <w:jc w:val="left"/>
        <w:rPr>
          <w:sz w:val="19"/>
        </w:rPr>
      </w:pPr>
      <w:r>
        <w:rPr>
          <w:rFonts w:ascii="Arial" w:hAnsi="Arial"/>
          <w:color w:val="000000"/>
          <w:sz w:val="19"/>
        </w:rPr>
        <w:t>International: 1-201-389-0925</w:t>
      </w:r>
      <w:r>
        <w:rPr>
          <w:sz w:val="19"/>
        </w:rPr>
        <w:t xml:space="preserve"> </w:t>
      </w:r>
    </w:p>
    <w:p>
      <w:pPr>
        <w:pStyle w:val="TextBody"/>
        <w:bidi w:val="0"/>
        <w:spacing w:lineRule="atLeast" w:line="210" w:before="234" w:after="283"/>
        <w:jc w:val="left"/>
        <w:rPr/>
      </w:pPr>
      <w:r>
        <w:rPr>
          <w:rFonts w:ascii="Arial" w:hAnsi="Arial"/>
          <w:color w:val="000000"/>
          <w:sz w:val="19"/>
        </w:rPr>
        <w:t>A live webcast of the call will be available in the Investor Relations section of the Company’s website at</w:t>
      </w:r>
      <w:r>
        <w:rPr>
          <w:color w:val="0066CC"/>
          <w:u w:val="single"/>
        </w:rPr>
        <w:t> </w:t>
      </w:r>
      <w:r>
        <w:rPr>
          <w:rFonts w:ascii="Arial" w:hAnsi="Arial"/>
          <w:sz w:val="19"/>
          <w:u w:val="single"/>
        </w:rPr>
        <w:t>www.kingstonecompanies.com</w:t>
      </w:r>
      <w:r>
        <w:rPr>
          <w:color w:val="000000"/>
        </w:rPr>
        <w:t xml:space="preserve"> </w:t>
      </w:r>
      <w:r>
        <w:rPr>
          <w:rFonts w:ascii="Arial" w:hAnsi="Arial"/>
          <w:color w:val="000000"/>
          <w:sz w:val="19"/>
        </w:rPr>
        <w:t>or by clicking</w:t>
      </w:r>
      <w:r>
        <w:rPr>
          <w:color w:val="0066CC"/>
          <w:u w:val="single"/>
        </w:rPr>
        <w:t> </w:t>
      </w:r>
      <w:r>
        <w:rPr>
          <w:rFonts w:ascii="Arial" w:hAnsi="Arial"/>
          <w:sz w:val="19"/>
          <w:u w:val="single"/>
        </w:rPr>
        <w:t>here</w:t>
      </w:r>
      <w:r>
        <w:rPr>
          <w:rFonts w:ascii="Arial" w:hAnsi="Arial"/>
          <w:color w:val="0066CC"/>
          <w:sz w:val="19"/>
        </w:rPr>
        <w:t>.</w:t>
      </w:r>
      <w:r>
        <w:rPr>
          <w:color w:val="000000"/>
        </w:rPr>
        <w:t xml:space="preserve"> </w:t>
      </w:r>
      <w:r>
        <w:rPr>
          <w:rFonts w:ascii="Arial" w:hAnsi="Arial"/>
          <w:color w:val="000000"/>
          <w:sz w:val="19"/>
        </w:rPr>
        <w:t>A replay of the webcast will be available shortly after the conclusion of the call and will remain accessible for approximately 30 days.</w:t>
      </w:r>
      <w:r>
        <w:rPr/>
        <w:t xml:space="preserve"> </w:t>
      </w:r>
    </w:p>
    <w:p>
      <w:pPr>
        <w:pStyle w:val="TextBody"/>
        <w:bidi w:val="0"/>
        <w:spacing w:lineRule="atLeast" w:line="209" w:before="236" w:after="283"/>
        <w:jc w:val="left"/>
        <w:rPr/>
      </w:pPr>
      <w:r>
        <w:rPr>
          <w:rFonts w:ascii="Arial" w:hAnsi="Arial"/>
          <w:b/>
          <w:color w:val="000000"/>
          <w:sz w:val="19"/>
        </w:rPr>
        <w:t>About Kingstone Companies, Inc.</w:t>
      </w:r>
      <w:r>
        <w:rPr/>
        <w:t xml:space="preserve"> </w:t>
      </w:r>
    </w:p>
    <w:p>
      <w:pPr>
        <w:pStyle w:val="TextBody"/>
        <w:bidi w:val="0"/>
        <w:spacing w:lineRule="atLeast" w:line="210" w:before="13" w:after="283"/>
        <w:ind w:left="0" w:right="144" w:hanging="0"/>
        <w:jc w:val="left"/>
        <w:rPr/>
      </w:pPr>
      <w:r>
        <w:rPr>
          <w:rFonts w:ascii="Arial" w:hAnsi="Arial"/>
          <w:color w:val="000000"/>
          <w:sz w:val="19"/>
        </w:rPr>
        <w:t>Kingstone is a regional property and casualty insurance holding company whose principal operating subsidiaries write business through retail and wholesale agents and brokers. Kingstone delivers tailored homeowners insurance solutions through its sophisticated product suite, Select, supported by a scalable and efficient operating platform that enables the Company to pursue significant market opportunities and strategic expansion. Kingstone was the 11th largest writer of homeowners insurance in New York in 2025 and is diversifying its geographic footprint by writing in Connecticut on an admitted basis and California on a non-admitted basis.</w:t>
      </w:r>
      <w:r>
        <w:rPr/>
        <w:t xml:space="preserve"> </w:t>
      </w:r>
    </w:p>
    <w:p>
      <w:pPr>
        <w:pStyle w:val="TextBody"/>
        <w:bidi w:val="0"/>
        <w:spacing w:lineRule="atLeast" w:line="224" w:before="215" w:after="283"/>
        <w:jc w:val="left"/>
        <w:rPr/>
      </w:pPr>
      <w:r>
        <w:rPr>
          <w:rFonts w:ascii="Arial" w:hAnsi="Arial"/>
          <w:b/>
          <w:color w:val="000000"/>
          <w:sz w:val="19"/>
        </w:rPr>
        <w:t xml:space="preserve">Investor Relations Contact </w:t>
        <w:br/>
      </w:r>
      <w:r>
        <w:rPr>
          <w:rFonts w:ascii="Arial" w:hAnsi="Arial"/>
          <w:color w:val="000000"/>
          <w:sz w:val="19"/>
        </w:rPr>
        <w:t>Elevate IR</w:t>
      </w:r>
      <w:r>
        <w:rPr/>
        <w:t xml:space="preserve"> </w:t>
      </w:r>
    </w:p>
    <w:p>
      <w:pPr>
        <w:pStyle w:val="TextBody"/>
        <w:bidi w:val="0"/>
        <w:spacing w:lineRule="atLeast" w:line="210" w:before="0" w:after="0"/>
        <w:jc w:val="left"/>
        <w:rPr/>
      </w:pPr>
      <w:r>
        <w:rPr>
          <w:rFonts w:ascii="Arial" w:hAnsi="Arial"/>
          <w:sz w:val="19"/>
          <w:u w:val="single"/>
        </w:rPr>
        <w:t>KINS@elevate-ir.com</w:t>
      </w:r>
      <w:r>
        <w:rPr>
          <w:color w:val="000000"/>
        </w:rPr>
        <w:t> </w:t>
      </w:r>
      <w:r>
        <w:rPr/>
        <w:t xml:space="preserve"> </w:t>
      </w:r>
    </w:p>
    <w:p>
      <w:pPr>
        <w:pStyle w:val="TextBody"/>
        <w:bidi w:val="0"/>
        <w:spacing w:lineRule="atLeast" w:line="210" w:before="0" w:after="283"/>
        <w:jc w:val="left"/>
        <w:rPr/>
      </w:pPr>
      <w:r>
        <w:rPr>
          <w:rFonts w:ascii="Arial" w:hAnsi="Arial"/>
          <w:color w:val="000000"/>
          <w:sz w:val="19"/>
        </w:rPr>
        <w:t>720-330-2829</w:t>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 w:name="Arial">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927</Words>
  <Characters>5182</Characters>
  <CharactersWithSpaces>6205</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