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7"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18"/>
          <w:szCs w:val="18"/>
          <w:color w:val="auto"/>
        </w:rPr>
        <w:t>(Amendment No. )</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9"/>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1960" w:type="dxa"/>
            <w:vAlign w:val="bottom"/>
          </w:tcPr>
          <w:p>
            <w:pPr>
              <w:spacing w:after="0"/>
              <w:rPr>
                <w:sz w:val="24"/>
                <w:szCs w:val="24"/>
                <w:color w:val="auto"/>
              </w:rPr>
            </w:pPr>
          </w:p>
        </w:tc>
      </w:tr>
      <w:tr>
        <w:trPr>
          <w:trHeight w:val="378"/>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Preliminary Proxy Statement</w:t>
            </w:r>
          </w:p>
        </w:tc>
        <w:tc>
          <w:tcPr>
            <w:tcW w:w="1960" w:type="dxa"/>
            <w:vAlign w:val="bottom"/>
          </w:tcPr>
          <w:p>
            <w:pPr>
              <w:spacing w:after="0"/>
              <w:rPr>
                <w:sz w:val="24"/>
                <w:szCs w:val="24"/>
                <w:color w:val="auto"/>
              </w:rPr>
            </w:pPr>
          </w:p>
        </w:tc>
      </w:tr>
      <w:tr>
        <w:trPr>
          <w:trHeight w:val="216"/>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 For Use of the Commission Only (as permitted by Rule 14a-6(e)(2))</w:t>
            </w:r>
          </w:p>
        </w:tc>
        <w:tc>
          <w:tcPr>
            <w:tcW w:w="1960" w:type="dxa"/>
            <w:vAlign w:val="bottom"/>
          </w:tcPr>
          <w:p>
            <w:pPr>
              <w:spacing w:after="0"/>
              <w:rPr>
                <w:sz w:val="18"/>
                <w:szCs w:val="18"/>
                <w:color w:val="auto"/>
              </w:rPr>
            </w:pPr>
          </w:p>
        </w:tc>
      </w:tr>
      <w:tr>
        <w:trPr>
          <w:trHeight w:val="216"/>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Definitive Proxy Statement</w:t>
            </w:r>
          </w:p>
        </w:tc>
        <w:tc>
          <w:tcPr>
            <w:tcW w:w="1960" w:type="dxa"/>
            <w:vAlign w:val="bottom"/>
          </w:tcPr>
          <w:p>
            <w:pPr>
              <w:spacing w:after="0"/>
              <w:rPr>
                <w:sz w:val="18"/>
                <w:szCs w:val="18"/>
                <w:color w:val="auto"/>
              </w:rPr>
            </w:pPr>
          </w:p>
        </w:tc>
      </w:tr>
      <w:tr>
        <w:trPr>
          <w:trHeight w:val="216"/>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Definitive Additional Materials</w:t>
            </w:r>
          </w:p>
        </w:tc>
        <w:tc>
          <w:tcPr>
            <w:tcW w:w="1960" w:type="dxa"/>
            <w:vAlign w:val="bottom"/>
          </w:tcPr>
          <w:p>
            <w:pPr>
              <w:spacing w:after="0"/>
              <w:rPr>
                <w:sz w:val="18"/>
                <w:szCs w:val="18"/>
                <w:color w:val="auto"/>
              </w:rPr>
            </w:pPr>
          </w:p>
        </w:tc>
      </w:tr>
      <w:tr>
        <w:trPr>
          <w:trHeight w:val="303"/>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Section 240.14a-12</w:t>
            </w:r>
          </w:p>
        </w:tc>
        <w:tc>
          <w:tcPr>
            <w:tcW w:w="1960" w:type="dxa"/>
            <w:vAlign w:val="bottom"/>
          </w:tcPr>
          <w:p>
            <w:pPr>
              <w:spacing w:after="0"/>
              <w:rPr>
                <w:sz w:val="24"/>
                <w:szCs w:val="24"/>
                <w:color w:val="auto"/>
              </w:rPr>
            </w:pPr>
          </w:p>
        </w:tc>
      </w:tr>
    </w:tbl>
    <w:p>
      <w:pPr>
        <w:spacing w:after="0" w:line="377"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KINGSTONE COMPANIES, INC.</w:t>
      </w:r>
    </w:p>
    <w:p>
      <w:pPr>
        <w:spacing w:after="0" w:line="3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880" w:hanging="872"/>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880" w:hanging="872"/>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225" w:right="1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 Joys Lane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 New York 12401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TO BE HELD ON AUGUST 7,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Kingstone Companies, Inc.:</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Meeting of Stockholders of Kingstone Companies, Inc., a Delaware corporation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“we”), will be held on August 7, 2024, at 15 Joys Lane, Kingston, New York 12401, at 9:00 a.m., for the following purposes:</w:t>
      </w:r>
    </w:p>
    <w:p>
      <w:pPr>
        <w:spacing w:after="0" w:line="159"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for the coming year.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2024 Equity Participation Plan.</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Marcum LLP as the Company’s independent registered public accounting firm for the fiscal year ending December 31, 2024.</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non-binding advisory vote to approve the Company’s executive compensation.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June 14, 2024, are entitled to notice of and to vote at the meeting or at any adjournment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w:t>
      </w:r>
      <w:r>
        <w:rPr>
          <w:rFonts w:ascii="Times New Roman" w:cs="Times New Roman" w:eastAsia="Times New Roman" w:hAnsi="Times New Roman"/>
          <w:sz w:val="18"/>
          <w:szCs w:val="18"/>
          <w:color w:val="auto"/>
        </w:rPr>
        <w:t>We are sending a Notice of Internet Availability of Proxy Materials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 to our stockholders of record and beneficial owners, unless they have directed us to provide the materials in a different manner. The Notice provides instructions on how to access and review all of the important information contained in this proxy statement, as well as how to submit a proxy by telephone or over the Internet. If you receive the Notice and would still like to receive a printed copy of our proxy materials, instructions for requesting these materials are included in the Notice. The Company plans to mail the Notice to stockholders by June 27, 2024. The proxy statement and the Company’s Annual Report on Form 10-K for the year ended December 31, 2023 are available electronically to the Company’s stockholders of record as of the close of business on June 14, 2024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Floyd R. Tupper</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Kingston,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227965</wp:posOffset>
            </wp:positionV>
            <wp:extent cx="7127875" cy="1127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7875" cy="1127125"/>
                    </a:xfrm>
                    <a:prstGeom prst="rect">
                      <a:avLst/>
                    </a:prstGeom>
                    <a:noFill/>
                  </pic:spPr>
                </pic:pic>
              </a:graphicData>
            </a:graphic>
          </wp:anchor>
        </w:drawing>
        <w:t>WHETHER OR NOT YOU PLAN TO ATTEND THE MEETING, PLEASE SUBMIT YOUR PROXY OR VOTING INSTRUCTIONS AS SOON AS POSSIBLE. FOR SPECIFIC INSTRUCTIONS ON HOW TO VOTE YOUR SHARES, PLEASE REFER TO THE INSTRUCTIONS IN THE NOTICE REGARDING THE AVAILABILITY OF PROXY MATERIALS YOU RECEIVED IN THE MAIL OR, IF YOU REQUESTED TO RECEIVE PRINTED PROXY MATERIALS, YOUR ENCLOSED PROXY CARD. ANY STOCKHOLDER MAY REVOKE A SUBMITTED PROXY AT ANY TIME BEFORE THE MEETING BY WRITTEN NOTICE TO SUCH EFFECT, BY SUBMITTING A SUBSEQUENTLY DATED PROXY OR BY ATTENDING THE MEETING AND VOTING IN PERSON. THOSE VOTING BY INTERNET OR BY TELEPHONE MAY ALSO REVOKE THEIR PROXY BY VOTING IN PERSON AT THE MEETING OR BY VOTING AND SUBMITTING THEIR PROXY AT A LATER TIME BY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122555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60"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 Joys Lane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 New York 12401</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SOLICITING, VOTING AND REVOCABILITY OF PROXY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is being made available to all stockholders of record at the close of business on June 14, 2024 in connection with the solicitation by the Board of Directors of proxies to be voted at the Annual Meeting of Stockholders to be held on August 7, 2024, at 9:00 a.m., local time, or any adjournment thereof. Proxy materials for the Annual Meeting of Stockholders were made available to stockholders on or about June 27, 2024.</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shares represented by proxies duly executed and received will be voted on the matters presented at the meeting in accordance with the instructions specified in such proxies. Proxies so received without specified instructions will be voted as follows:</w:t>
      </w:r>
    </w:p>
    <w:p>
      <w:pPr>
        <w:spacing w:after="0" w:line="158" w:lineRule="exact"/>
        <w:rPr>
          <w:sz w:val="20"/>
          <w:szCs w:val="20"/>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nominees named in the proxy to our Board of Directors;</w:t>
      </w:r>
    </w:p>
    <w:p>
      <w:pPr>
        <w:spacing w:after="0" w:line="225"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our 2024 Equity Participation Plan (the “2024 Plan”);</w:t>
      </w:r>
    </w:p>
    <w:p>
      <w:pPr>
        <w:spacing w:after="0" w:line="225" w:lineRule="exact"/>
        <w:rPr>
          <w:rFonts w:ascii="Times New Roman" w:cs="Times New Roman" w:eastAsia="Times New Roman" w:hAnsi="Times New Roman"/>
          <w:sz w:val="18"/>
          <w:szCs w:val="18"/>
          <w:color w:val="auto"/>
        </w:rPr>
      </w:pPr>
    </w:p>
    <w:p>
      <w:pPr>
        <w:ind w:left="1460" w:hanging="480"/>
        <w:spacing w:after="0" w:line="286" w:lineRule="auto"/>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Marcum LLP as our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w:t>
      </w:r>
    </w:p>
    <w:p>
      <w:pPr>
        <w:spacing w:after="0" w:line="154"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compensation of our named executive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provide specific voting instructions to the organization that holds your shares, the organization will be prohibited under the current rules of the New York Stock Exchange from voting your shares on “non-routine” matters. This is commonly referred to as a “broker non-vote.” The election of directors, the approval of the 2024 Plan and the advisory vote on the approval of executive compensation are considered “non-routine” matters and therefore may not be voted on by your bank or broker absent specific instructions from you. The ratification of the selection of our independent registered public accounting firm is a routine matter. Please instruct your bank or broker so your vote can be counted.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that may be brought before the meeting nor does it foresee or have reason to believe that the proxy holder will have to vote for substitute or alternate nominees to the Board of Directors. In the event that any other matter should come before the meeting or any nominee is not available for election, the person named in the enclosed proxy will have discretionary authority to vote all proxies not marked to the contrary with respect to such matters in accordance with his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outstanding and entitled to vote as of the close of business on June 14, 2024 was 11,049,710. Our common stock is the only class of securities entitled to vote on matters presented to our stockholders, each share being entitled to one vote. A majority of the shares of common stock outstanding and entitled to vote as of the close of business on June 14, 2024, or 5,524,856 shares of common stock, must be present at the meeting in person or by proxy in order to constitute a quorum for the transaction of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(eight) multiplied by the number of shares he is entitled to vote. A stockholder may therefore cast his votes for one nominee or distribute them among two or more of the nominees; however, in order to cumulate votes, a stockholder must request a proxy card (as Internet and telephone voting will not be available for such purposes). Only stockholders of record as of the close of business on June 14, 2024, will be entitled to vote. With regard to the election of directors, votes may be cast in favor or withheld. The directors shall be elected by a plurality of the votes cast in favor. Accordingly, based upon there being eight nominees, each person who receives one or more votes will be elected as a director. Votes withheld in connection with the election of one or more of the nominees for director will not be counted as votes cast for such individuals and may be voted for the other nominees.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may expressly abstain from voting on Proposals 2, 3 and 4 by so indicating on the proxy. Abstentions are counted as present in the tabulation of votes on Proposals 2, 3 and 4. Since each of Proposals 2, 3 and 4 requires the affirmative approval of a majority of the shares of common stock present in person or represented by proxy at the meeting and entitled to vote (assuming a quorum is present at the meeting), abstentions will have the effect of a negative vote while broker non-votes will have no effect.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person giving a proxy in the form accompanying this proxy statement has the power to revoke it at any time before its exercise. The proxy may be revoked by filing with us written notice of revocation or a fully executed proxy bearing a later date. The proxy may also be revoked by affirmatively electing to vote in person while in attendance at the meeting. However, a stockholder who attends the meeting need not revoke a proxy given and vote in person unless the stockholder wishes to do so. Written revocations or amended proxies should be sent to us at 15 Joys Lane, Kingston, New York 12401, Attention: Corporate Secretary. Those voting by Internet or by telephone may also revoke their proxy by voting in person at the meeting or by voting and submitting their proxy at a later time by Internet or by telephone.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proxy is being solicited by our Board of Directors. We will bear the cost of the solicitation of proxies, including the charges and expenses of brokerage firms and other custodians, nominees and fiduciaries for forwarding proxy materials to beneficial owners of our shares. Solicitations will be made primarily by Internet availability of proxy materials and by mail, but certain of our directors, officers or employees may solicit proxies in person or by telephone, telecopier or email without special compensation.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list of stockholders entitled to vote at the meeting will be available for examination by any stockholder for any purpose germane to the meeting, during ordinary business hours, for ten days prior to the meeting, at our offices located at 15 Joys Lane, Kingston, New York 12401, and also during the whole time of the meeting for inspection by any stockholder who is present. To contact us, stockholders should call (845) 802-7900.</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compensation for the fiscal years ended December 31, 2023 and 2022 for certain executive officers, including our Chief Executive Officer (collectively, the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Non-Equity</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26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6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80" w:type="dxa"/>
            <w:vAlign w:val="bottom"/>
          </w:tcPr>
          <w:p>
            <w:pPr>
              <w:spacing w:after="0"/>
              <w:rPr>
                <w:sz w:val="20"/>
                <w:szCs w:val="20"/>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6"/>
              </w:rPr>
              <w:t>Awards(1)</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Awards(1)</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Meryl S. Golden</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136,500(2)</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661,700</w:t>
            </w:r>
          </w:p>
        </w:tc>
      </w:tr>
      <w:tr>
        <w:trPr>
          <w:trHeight w:val="198"/>
        </w:trPr>
        <w:tc>
          <w:tcPr>
            <w:tcW w:w="19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Chief Executive Officer</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President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150,000(3)</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24,200(6)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674,200</w:t>
            </w:r>
          </w:p>
        </w:tc>
      </w:tr>
      <w:tr>
        <w:trPr>
          <w:trHeight w:val="216"/>
        </w:trPr>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B. Goldstein</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472,200</w:t>
            </w:r>
          </w:p>
        </w:tc>
      </w:tr>
      <w:tr>
        <w:trPr>
          <w:trHeight w:val="198"/>
        </w:trPr>
        <w:tc>
          <w:tcPr>
            <w:tcW w:w="19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Executive Chairman of</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Board; formerly</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4"/>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136,500(4)</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24,200(8)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660,700</w:t>
            </w:r>
          </w:p>
        </w:tc>
      </w:tr>
      <w:tr>
        <w:trPr>
          <w:trHeight w:val="216"/>
        </w:trPr>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(Minlei) Chen</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347,750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355,338</w:t>
            </w:r>
          </w:p>
        </w:tc>
      </w:tr>
      <w:tr>
        <w:trPr>
          <w:trHeight w:val="198"/>
        </w:trPr>
        <w:tc>
          <w:tcPr>
            <w:tcW w:w="19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Chief Actuary; Senior</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Vice President,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Kingstone Insurance</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4"/>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313,614</w:t>
            </w: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79" w:lineRule="exact"/>
        <w:rPr>
          <w:sz w:val="20"/>
          <w:szCs w:val="20"/>
          <w:color w:val="auto"/>
        </w:rPr>
      </w:pPr>
    </w:p>
    <w:p>
      <w:pPr>
        <w:jc w:val="both"/>
        <w:ind w:left="880" w:hanging="545"/>
        <w:spacing w:after="0" w:line="261"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our Annual Report on Form 10-K for the fiscal year ended December 31, 2023, available electronically to our stockholders.</w:t>
      </w:r>
    </w:p>
    <w:p>
      <w:pPr>
        <w:spacing w:after="0" w:line="179" w:lineRule="exact"/>
        <w:rPr>
          <w:rFonts w:ascii="Times New Roman" w:cs="Times New Roman" w:eastAsia="Times New Roman" w:hAnsi="Times New Roman"/>
          <w:sz w:val="18"/>
          <w:szCs w:val="18"/>
          <w:color w:val="auto"/>
        </w:rPr>
      </w:pPr>
    </w:p>
    <w:p>
      <w:pPr>
        <w:jc w:val="both"/>
        <w:ind w:left="880" w:hanging="545"/>
        <w:spacing w:after="0" w:line="261"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Ms. Golden was granted 101,111 shares of restricted common stock under our Amended and Restated 2014 Equity Participation Plan (the “2014 Plan”). Such grant vested to the extent of 50,556 shares on the first anniversary of the date of grant and vests to the extent of 50,555 shares on the second anniversary of the date of grant. See “Termination of Employment and Change-in-Control Arrangements – Meryl Golden” below for a discussion of certain provisions relating to the restricted stock granted to Ms. Golden.</w:t>
      </w:r>
    </w:p>
    <w:p>
      <w:pPr>
        <w:spacing w:after="0" w:line="179" w:lineRule="exact"/>
        <w:rPr>
          <w:rFonts w:ascii="Times New Roman" w:cs="Times New Roman" w:eastAsia="Times New Roman" w:hAnsi="Times New Roman"/>
          <w:sz w:val="18"/>
          <w:szCs w:val="18"/>
          <w:color w:val="auto"/>
        </w:rPr>
      </w:pPr>
    </w:p>
    <w:p>
      <w:pPr>
        <w:jc w:val="both"/>
        <w:ind w:left="880" w:hanging="545"/>
        <w:spacing w:after="0" w:line="261"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Ms. Golden was granted 30,000 shares of restricted common stock under the 2014 Plan. Such grant vested to the extent of 10,000 shares on each of the first and second anniversaries of the date of grant and vests to the extent of 10,000 shares on the third anniversary of the date of grant. See “Termination of Employment and Change-in-Control Arrangements – Meryl Golden” below for a discussion of certain provisions relating to the restricted stock granted to Ms. Golden.</w:t>
      </w:r>
    </w:p>
    <w:p>
      <w:pPr>
        <w:spacing w:after="0" w:line="179" w:lineRule="exact"/>
        <w:rPr>
          <w:rFonts w:ascii="Times New Roman" w:cs="Times New Roman" w:eastAsia="Times New Roman" w:hAnsi="Times New Roman"/>
          <w:sz w:val="18"/>
          <w:szCs w:val="18"/>
          <w:color w:val="auto"/>
        </w:rPr>
      </w:pPr>
    </w:p>
    <w:p>
      <w:pPr>
        <w:jc w:val="both"/>
        <w:ind w:left="880" w:hanging="545"/>
        <w:spacing w:after="0" w:line="266"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Mr. Goldstein was granted 27,300 shares of restricted common stock under the 2014 Plan. Such grant vests on December 30, 2024. See “Termination of Employment and Change-in-Control Arrangements – Barry B. Goldstein” below for a discussion of certain provisions relating to the restricted stock granted to Mr. Goldstein.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880" w:hanging="545"/>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 of $13,200 and a car allowance of $12,000.</w:t>
      </w:r>
    </w:p>
    <w:p>
      <w:pPr>
        <w:spacing w:after="0" w:line="225" w:lineRule="exact"/>
        <w:rPr>
          <w:rFonts w:ascii="Times New Roman" w:cs="Times New Roman" w:eastAsia="Times New Roman" w:hAnsi="Times New Roman"/>
          <w:sz w:val="18"/>
          <w:szCs w:val="18"/>
          <w:color w:val="auto"/>
        </w:rPr>
      </w:pPr>
    </w:p>
    <w:p>
      <w:pPr>
        <w:ind w:left="880" w:hanging="545"/>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 of $12,200 and a car allowance of $12,000.</w:t>
      </w:r>
    </w:p>
    <w:p>
      <w:pPr>
        <w:spacing w:after="0" w:line="225" w:lineRule="exact"/>
        <w:rPr>
          <w:rFonts w:ascii="Times New Roman" w:cs="Times New Roman" w:eastAsia="Times New Roman" w:hAnsi="Times New Roman"/>
          <w:sz w:val="18"/>
          <w:szCs w:val="18"/>
          <w:color w:val="auto"/>
        </w:rPr>
      </w:pPr>
    </w:p>
    <w:p>
      <w:pPr>
        <w:ind w:left="880" w:hanging="545"/>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 of $13,200 and a car allowance of $9,000.</w:t>
      </w:r>
    </w:p>
    <w:p>
      <w:pPr>
        <w:spacing w:after="0" w:line="225" w:lineRule="exact"/>
        <w:rPr>
          <w:rFonts w:ascii="Times New Roman" w:cs="Times New Roman" w:eastAsia="Times New Roman" w:hAnsi="Times New Roman"/>
          <w:sz w:val="18"/>
          <w:szCs w:val="18"/>
          <w:color w:val="auto"/>
        </w:rPr>
      </w:pPr>
    </w:p>
    <w:p>
      <w:pPr>
        <w:ind w:left="880" w:hanging="545"/>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 of $12,200 and a car allowance of $12,000.</w:t>
      </w:r>
    </w:p>
    <w:p>
      <w:pPr>
        <w:spacing w:after="0" w:line="225" w:lineRule="exact"/>
        <w:rPr>
          <w:rFonts w:ascii="Times New Roman" w:cs="Times New Roman" w:eastAsia="Times New Roman" w:hAnsi="Times New Roman"/>
          <w:sz w:val="18"/>
          <w:szCs w:val="18"/>
          <w:color w:val="auto"/>
        </w:rPr>
      </w:pPr>
    </w:p>
    <w:p>
      <w:pPr>
        <w:ind w:left="880" w:hanging="545"/>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(PvP) Table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is provided in accordance with Item 402(v) of Regulation S-K. We are providing the following information about the relationship between executive compensation actually paid to our CEO and our other Named Executive Officers and certain financial performance of the Company for each of the fiscal years ended December 31, 2023, 2022 and 2021:</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Fixed $100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8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8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Based On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CEO – 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CEO – B.</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CEO – 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CEO – B.</w:t>
            </w: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Table for</w:t>
            </w: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w:t>
            </w: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Golden (b1)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Goldstein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Golden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Goldstein</w:t>
            </w: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Non-CEO</w:t>
            </w: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Non-CEO</w:t>
            </w: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Stockholder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(b2) (2)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(c1) (3)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(c2) (3)</w:t>
            </w:r>
          </w:p>
        </w:tc>
        <w:tc>
          <w:tcPr>
            <w:tcW w:w="12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NEOs(4)</w:t>
            </w:r>
          </w:p>
        </w:tc>
        <w:tc>
          <w:tcPr>
            <w:tcW w:w="14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NEOs(5)</w:t>
            </w: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Return(6)</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Net Loss(7)</w:t>
            </w:r>
          </w:p>
        </w:tc>
      </w:tr>
      <w:tr>
        <w:trPr>
          <w:trHeight w:val="216"/>
        </w:trPr>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615,791</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355,338</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359,090</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(6,168,346)</w:t>
            </w:r>
          </w:p>
        </w:tc>
        <w:tc>
          <w:tcPr>
            <w:tcW w:w="10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(64,300)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493,907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387,280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(22,524,794)</w:t>
            </w:r>
          </w:p>
        </w:tc>
      </w:tr>
      <w:tr>
        <w:trPr>
          <w:trHeight w:val="216"/>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1,921,435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1,601,697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542,622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511,682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(7,378,301)</w:t>
            </w:r>
          </w:p>
        </w:tc>
      </w:tr>
    </w:tbl>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7" w:lineRule="exact"/>
        <w:rPr>
          <w:sz w:val="20"/>
          <w:szCs w:val="20"/>
          <w:color w:val="auto"/>
        </w:rPr>
      </w:pPr>
    </w:p>
    <w:p>
      <w:pPr>
        <w:ind w:left="880" w:hanging="545"/>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reported is the amount of total compensation reported in the “Total” column of our Summary Compensation Table for Meryl S. Golden for 2023. Ms. Golden was not CEO in 2021 or 2022. She became CEO on October 1, 2023.</w:t>
      </w:r>
    </w:p>
    <w:p>
      <w:pPr>
        <w:spacing w:after="0" w:line="161" w:lineRule="exact"/>
        <w:rPr>
          <w:rFonts w:ascii="Times New Roman" w:cs="Times New Roman" w:eastAsia="Times New Roman" w:hAnsi="Times New Roman"/>
          <w:sz w:val="18"/>
          <w:szCs w:val="18"/>
          <w:color w:val="auto"/>
        </w:rPr>
      </w:pPr>
    </w:p>
    <w:p>
      <w:pPr>
        <w:ind w:left="880" w:hanging="545"/>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amounts of total compensation reported in the “Total” column of our Summary Compensation Table for Barry B. Goldstein for 2021, 2022 and 2023. Mr. Goldstien served as CEO through September 30, 2023.</w:t>
      </w:r>
    </w:p>
    <w:p>
      <w:pPr>
        <w:spacing w:after="0" w:line="161" w:lineRule="exact"/>
        <w:rPr>
          <w:rFonts w:ascii="Times New Roman" w:cs="Times New Roman" w:eastAsia="Times New Roman" w:hAnsi="Times New Roman"/>
          <w:sz w:val="18"/>
          <w:szCs w:val="18"/>
          <w:color w:val="auto"/>
        </w:rPr>
      </w:pPr>
    </w:p>
    <w:p>
      <w:pPr>
        <w:jc w:val="both"/>
        <w:ind w:left="880" w:hanging="545"/>
        <w:spacing w:after="0" w:line="261"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disclosed in Columns (c1) and (c2) represent the amount of “compensation actually paid,” as computed in accordance with SEC rules for Ms. Golden and Mr. Goldstein.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1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Golden</w:t>
            </w:r>
          </w:p>
        </w:tc>
        <w:tc>
          <w:tcPr>
            <w:tcW w:w="2700" w:type="dxa"/>
            <w:vAlign w:val="bottom"/>
          </w:tcPr>
          <w:p>
            <w:pPr>
              <w:spacing w:after="0"/>
              <w:rPr>
                <w:sz w:val="20"/>
                <w:szCs w:val="20"/>
                <w:color w:val="auto"/>
              </w:rPr>
            </w:pPr>
          </w:p>
        </w:tc>
        <w:tc>
          <w:tcPr>
            <w:tcW w:w="216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200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Plus:</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1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Equals: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w:t>
            </w:r>
          </w:p>
        </w:tc>
        <w:tc>
          <w:tcPr>
            <w:tcW w:w="216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Value of Equity</w:t>
            </w:r>
          </w:p>
        </w:tc>
        <w:tc>
          <w:tcPr>
            <w:tcW w:w="20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2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Compensation Actually Paid to</w:t>
            </w:r>
          </w:p>
        </w:tc>
        <w:tc>
          <w:tcPr>
            <w:tcW w:w="0" w:type="dxa"/>
            <w:vAlign w:val="bottom"/>
          </w:tcPr>
          <w:p>
            <w:pPr>
              <w:spacing w:after="0"/>
              <w:rPr>
                <w:sz w:val="1"/>
                <w:szCs w:val="1"/>
                <w:color w:val="auto"/>
              </w:rPr>
            </w:pPr>
          </w:p>
        </w:tc>
      </w:tr>
      <w:tr>
        <w:trPr>
          <w:trHeight w:val="245"/>
        </w:trPr>
        <w:tc>
          <w:tcPr>
            <w:tcW w:w="340" w:type="dxa"/>
            <w:vAlign w:val="bottom"/>
          </w:tcPr>
          <w:p>
            <w:pPr>
              <w:spacing w:after="0"/>
              <w:rPr>
                <w:sz w:val="21"/>
                <w:szCs w:val="21"/>
                <w:color w:val="auto"/>
              </w:rPr>
            </w:pPr>
          </w:p>
        </w:tc>
        <w:tc>
          <w:tcPr>
            <w:tcW w:w="14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Table Total for CEO</w:t>
            </w:r>
          </w:p>
        </w:tc>
        <w:tc>
          <w:tcPr>
            <w:tcW w:w="21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Awards(a)</w:t>
            </w:r>
          </w:p>
        </w:tc>
        <w:tc>
          <w:tcPr>
            <w:tcW w:w="20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Adjustments(b)</w:t>
            </w:r>
          </w:p>
        </w:tc>
        <w:tc>
          <w:tcPr>
            <w:tcW w:w="26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CEO</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shd w:val="clear" w:color="auto" w:fill="CCEC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$661,710</w:t>
            </w:r>
          </w:p>
        </w:tc>
        <w:tc>
          <w:tcPr>
            <w:tcW w:w="216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8"/>
                <w:szCs w:val="18"/>
                <w:color w:val="auto"/>
              </w:rPr>
              <w:t>$136,500</w:t>
            </w:r>
          </w:p>
        </w:tc>
        <w:tc>
          <w:tcPr>
            <w:tcW w:w="2000" w:type="dxa"/>
            <w:vAlign w:val="bottom"/>
            <w:shd w:val="clear" w:color="auto" w:fill="CCECFF"/>
          </w:tcPr>
          <w:p>
            <w:pPr>
              <w:jc w:val="center"/>
              <w:ind w:left="230"/>
              <w:spacing w:after="0"/>
              <w:rPr>
                <w:sz w:val="20"/>
                <w:szCs w:val="20"/>
                <w:color w:val="auto"/>
              </w:rPr>
            </w:pPr>
            <w:r>
              <w:rPr>
                <w:rFonts w:ascii="Times New Roman" w:cs="Times New Roman" w:eastAsia="Times New Roman" w:hAnsi="Times New Roman"/>
                <w:sz w:val="18"/>
                <w:szCs w:val="18"/>
                <w:color w:val="auto"/>
              </w:rPr>
              <w:t>$240,978</w:t>
            </w:r>
          </w:p>
        </w:tc>
        <w:tc>
          <w:tcPr>
            <w:tcW w:w="2640" w:type="dxa"/>
            <w:vAlign w:val="bottom"/>
            <w:shd w:val="clear" w:color="auto" w:fill="CCECFF"/>
          </w:tcPr>
          <w:p>
            <w:pPr>
              <w:jc w:val="center"/>
              <w:ind w:left="150"/>
              <w:spacing w:after="0"/>
              <w:rPr>
                <w:sz w:val="20"/>
                <w:szCs w:val="20"/>
                <w:color w:val="auto"/>
              </w:rPr>
            </w:pPr>
            <w:r>
              <w:rPr>
                <w:rFonts w:ascii="Times New Roman" w:cs="Times New Roman" w:eastAsia="Times New Roman" w:hAnsi="Times New Roman"/>
                <w:sz w:val="18"/>
                <w:szCs w:val="18"/>
                <w:color w:val="auto"/>
              </w:rPr>
              <w:t>$766,188</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1400" w:type="dxa"/>
            <w:vAlign w:val="bottom"/>
            <w:shd w:val="clear" w:color="auto" w:fill="CCEC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2022</w:t>
            </w: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shd w:val="clear" w:color="auto" w:fill="CCEC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2640" w:type="dxa"/>
            <w:vAlign w:val="bottom"/>
            <w:shd w:val="clear" w:color="auto" w:fill="CCEC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1400" w:type="dxa"/>
            <w:vAlign w:val="bottom"/>
            <w:shd w:val="clear" w:color="auto" w:fill="CCEC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2021</w:t>
            </w: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shd w:val="clear" w:color="auto" w:fill="CCEC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2640" w:type="dxa"/>
            <w:vAlign w:val="bottom"/>
            <w:shd w:val="clear" w:color="auto" w:fill="CCEC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57"/>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160" w:type="dxa"/>
            <w:vAlign w:val="bottom"/>
          </w:tcPr>
          <w:p>
            <w:pPr>
              <w:jc w:val="right"/>
              <w:ind w:right="852"/>
              <w:spacing w:after="0"/>
              <w:rPr>
                <w:sz w:val="20"/>
                <w:szCs w:val="20"/>
                <w:color w:val="auto"/>
              </w:rPr>
            </w:pPr>
            <w:r>
              <w:rPr>
                <w:rFonts w:ascii="Times New Roman" w:cs="Times New Roman" w:eastAsia="Times New Roman" w:hAnsi="Times New Roman"/>
                <w:sz w:val="14"/>
                <w:szCs w:val="14"/>
                <w:color w:val="auto"/>
              </w:rPr>
              <w:t>5</w:t>
            </w: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14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Goldstein</w:t>
            </w:r>
          </w:p>
        </w:tc>
        <w:tc>
          <w:tcPr>
            <w:tcW w:w="2660" w:type="dxa"/>
            <w:vAlign w:val="bottom"/>
          </w:tcPr>
          <w:p>
            <w:pPr>
              <w:spacing w:after="0"/>
              <w:rPr>
                <w:sz w:val="20"/>
                <w:szCs w:val="20"/>
                <w:color w:val="auto"/>
              </w:rPr>
            </w:pPr>
          </w:p>
        </w:tc>
        <w:tc>
          <w:tcPr>
            <w:tcW w:w="21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200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Plus:</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Equals:</w:t>
            </w:r>
          </w:p>
        </w:tc>
        <w:tc>
          <w:tcPr>
            <w:tcW w:w="0" w:type="dxa"/>
            <w:vAlign w:val="bottom"/>
          </w:tcPr>
          <w:p>
            <w:pPr>
              <w:spacing w:after="0"/>
              <w:rPr>
                <w:sz w:val="1"/>
                <w:szCs w:val="1"/>
                <w:color w:val="auto"/>
              </w:rPr>
            </w:pPr>
          </w:p>
        </w:tc>
      </w:tr>
      <w:tr>
        <w:trPr>
          <w:trHeight w:val="216"/>
        </w:trPr>
        <w:tc>
          <w:tcPr>
            <w:tcW w:w="14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2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Summary Compensation</w:t>
            </w:r>
          </w:p>
        </w:tc>
        <w:tc>
          <w:tcPr>
            <w:tcW w:w="2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Value of Equity</w:t>
            </w:r>
          </w:p>
        </w:tc>
        <w:tc>
          <w:tcPr>
            <w:tcW w:w="20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2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Compensation Actually Paid to</w:t>
            </w:r>
          </w:p>
        </w:tc>
        <w:tc>
          <w:tcPr>
            <w:tcW w:w="0" w:type="dxa"/>
            <w:vAlign w:val="bottom"/>
          </w:tcPr>
          <w:p>
            <w:pPr>
              <w:spacing w:after="0"/>
              <w:rPr>
                <w:sz w:val="1"/>
                <w:szCs w:val="1"/>
                <w:color w:val="auto"/>
              </w:rPr>
            </w:pPr>
          </w:p>
        </w:tc>
      </w:tr>
      <w:tr>
        <w:trPr>
          <w:trHeight w:val="245"/>
        </w:trPr>
        <w:tc>
          <w:tcPr>
            <w:tcW w:w="14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Table Total for CEO</w:t>
            </w:r>
          </w:p>
        </w:tc>
        <w:tc>
          <w:tcPr>
            <w:tcW w:w="2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Awards(a)</w:t>
            </w:r>
          </w:p>
        </w:tc>
        <w:tc>
          <w:tcPr>
            <w:tcW w:w="20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Adjustments(b)</w:t>
            </w:r>
          </w:p>
        </w:tc>
        <w:tc>
          <w:tcPr>
            <w:tcW w:w="26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CEO</w:t>
            </w:r>
          </w:p>
        </w:tc>
        <w:tc>
          <w:tcPr>
            <w:tcW w:w="0" w:type="dxa"/>
            <w:vAlign w:val="bottom"/>
          </w:tcPr>
          <w:p>
            <w:pPr>
              <w:spacing w:after="0"/>
              <w:rPr>
                <w:sz w:val="1"/>
                <w:szCs w:val="1"/>
                <w:color w:val="auto"/>
              </w:rPr>
            </w:pPr>
          </w:p>
        </w:tc>
      </w:tr>
      <w:tr>
        <w:trPr>
          <w:trHeight w:val="216"/>
        </w:trPr>
        <w:tc>
          <w:tcPr>
            <w:tcW w:w="1440" w:type="dxa"/>
            <w:vAlign w:val="bottom"/>
            <w:shd w:val="clear" w:color="auto" w:fill="CCEC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2023</w:t>
            </w:r>
          </w:p>
        </w:tc>
        <w:tc>
          <w:tcPr>
            <w:tcW w:w="2660" w:type="dxa"/>
            <w:vAlign w:val="bottom"/>
            <w:shd w:val="clear" w:color="auto" w:fill="CCECFF"/>
          </w:tcPr>
          <w:p>
            <w:pPr>
              <w:jc w:val="center"/>
              <w:ind w:right="10"/>
              <w:spacing w:after="0"/>
              <w:rPr>
                <w:sz w:val="20"/>
                <w:szCs w:val="20"/>
                <w:color w:val="auto"/>
              </w:rPr>
            </w:pPr>
            <w:r>
              <w:rPr>
                <w:rFonts w:ascii="Times New Roman" w:cs="Times New Roman" w:eastAsia="Times New Roman" w:hAnsi="Times New Roman"/>
                <w:sz w:val="18"/>
                <w:szCs w:val="18"/>
                <w:color w:val="auto"/>
              </w:rPr>
              <w:t>$472,200</w:t>
            </w:r>
          </w:p>
        </w:tc>
        <w:tc>
          <w:tcPr>
            <w:tcW w:w="2160" w:type="dxa"/>
            <w:vAlign w:val="bottom"/>
            <w:shd w:val="clear" w:color="auto" w:fill="CCEC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CFF"/>
          </w:tcPr>
          <w:p>
            <w:pPr>
              <w:jc w:val="center"/>
              <w:ind w:left="230"/>
              <w:spacing w:after="0"/>
              <w:rPr>
                <w:sz w:val="20"/>
                <w:szCs w:val="20"/>
                <w:color w:val="auto"/>
              </w:rPr>
            </w:pPr>
            <w:r>
              <w:rPr>
                <w:rFonts w:ascii="Times New Roman" w:cs="Times New Roman" w:eastAsia="Times New Roman" w:hAnsi="Times New Roman"/>
                <w:sz w:val="18"/>
                <w:szCs w:val="18"/>
                <w:color w:val="auto"/>
              </w:rPr>
              <w:t>$143,591</w:t>
            </w:r>
          </w:p>
        </w:tc>
        <w:tc>
          <w:tcPr>
            <w:tcW w:w="2640" w:type="dxa"/>
            <w:vAlign w:val="bottom"/>
            <w:shd w:val="clear" w:color="auto" w:fill="CCECFF"/>
          </w:tcPr>
          <w:p>
            <w:pPr>
              <w:jc w:val="center"/>
              <w:ind w:left="150"/>
              <w:spacing w:after="0"/>
              <w:rPr>
                <w:sz w:val="20"/>
                <w:szCs w:val="20"/>
                <w:color w:val="auto"/>
              </w:rPr>
            </w:pPr>
            <w:r>
              <w:rPr>
                <w:rFonts w:ascii="Times New Roman" w:cs="Times New Roman" w:eastAsia="Times New Roman" w:hAnsi="Times New Roman"/>
                <w:sz w:val="18"/>
                <w:szCs w:val="18"/>
                <w:color w:val="auto"/>
              </w:rPr>
              <w:t>$615,791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C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2022</w:t>
            </w:r>
          </w:p>
        </w:tc>
        <w:tc>
          <w:tcPr>
            <w:tcW w:w="2660" w:type="dxa"/>
            <w:vAlign w:val="bottom"/>
            <w:shd w:val="clear" w:color="auto" w:fill="CCECFF"/>
          </w:tcPr>
          <w:p>
            <w:pPr>
              <w:jc w:val="center"/>
              <w:ind w:right="10"/>
              <w:spacing w:after="0"/>
              <w:rPr>
                <w:sz w:val="20"/>
                <w:szCs w:val="20"/>
                <w:color w:val="auto"/>
              </w:rPr>
            </w:pPr>
            <w:r>
              <w:rPr>
                <w:rFonts w:ascii="Times New Roman" w:cs="Times New Roman" w:eastAsia="Times New Roman" w:hAnsi="Times New Roman"/>
                <w:sz w:val="18"/>
                <w:szCs w:val="18"/>
                <w:color w:val="auto"/>
              </w:rPr>
              <w:t>$660,700</w:t>
            </w:r>
          </w:p>
        </w:tc>
        <w:tc>
          <w:tcPr>
            <w:tcW w:w="2160" w:type="dxa"/>
            <w:vAlign w:val="bottom"/>
            <w:shd w:val="clear" w:color="auto" w:fill="CCECFF"/>
          </w:tcPr>
          <w:p>
            <w:pPr>
              <w:jc w:val="center"/>
              <w:ind w:right="70"/>
              <w:spacing w:after="0"/>
              <w:rPr>
                <w:sz w:val="20"/>
                <w:szCs w:val="20"/>
                <w:color w:val="auto"/>
              </w:rPr>
            </w:pPr>
            <w:r>
              <w:rPr>
                <w:rFonts w:ascii="Times New Roman" w:cs="Times New Roman" w:eastAsia="Times New Roman" w:hAnsi="Times New Roman"/>
                <w:sz w:val="18"/>
                <w:szCs w:val="18"/>
                <w:color w:val="auto"/>
              </w:rPr>
              <w:t>$136,500</w:t>
            </w:r>
          </w:p>
        </w:tc>
        <w:tc>
          <w:tcPr>
            <w:tcW w:w="2000" w:type="dxa"/>
            <w:vAlign w:val="bottom"/>
            <w:shd w:val="clear" w:color="auto" w:fill="CCECFF"/>
          </w:tcPr>
          <w:p>
            <w:pPr>
              <w:jc w:val="center"/>
              <w:ind w:left="230"/>
              <w:spacing w:after="0"/>
              <w:rPr>
                <w:sz w:val="20"/>
                <w:szCs w:val="20"/>
                <w:color w:val="auto"/>
              </w:rPr>
            </w:pPr>
            <w:r>
              <w:rPr>
                <w:rFonts w:ascii="Times New Roman" w:cs="Times New Roman" w:eastAsia="Times New Roman" w:hAnsi="Times New Roman"/>
                <w:sz w:val="18"/>
                <w:szCs w:val="18"/>
                <w:color w:val="auto"/>
              </w:rPr>
              <w:t>$(588,500)</w:t>
            </w:r>
          </w:p>
        </w:tc>
        <w:tc>
          <w:tcPr>
            <w:tcW w:w="2640" w:type="dxa"/>
            <w:vAlign w:val="bottom"/>
            <w:shd w:val="clear" w:color="auto" w:fill="CCECFF"/>
          </w:tcPr>
          <w:p>
            <w:pPr>
              <w:jc w:val="center"/>
              <w:ind w:left="150"/>
              <w:spacing w:after="0"/>
              <w:rPr>
                <w:sz w:val="20"/>
                <w:szCs w:val="20"/>
                <w:color w:val="auto"/>
              </w:rPr>
            </w:pPr>
            <w:r>
              <w:rPr>
                <w:rFonts w:ascii="Times New Roman" w:cs="Times New Roman" w:eastAsia="Times New Roman" w:hAnsi="Times New Roman"/>
                <w:sz w:val="18"/>
                <w:szCs w:val="18"/>
                <w:color w:val="auto"/>
              </w:rPr>
              <w:t>$(64,300)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C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2660" w:type="dxa"/>
            <w:vAlign w:val="bottom"/>
            <w:shd w:val="clear" w:color="auto" w:fill="CCEC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$1,921,435</w:t>
            </w:r>
          </w:p>
        </w:tc>
        <w:tc>
          <w:tcPr>
            <w:tcW w:w="2160" w:type="dxa"/>
            <w:vAlign w:val="bottom"/>
            <w:shd w:val="clear" w:color="auto" w:fill="CCECFF"/>
          </w:tcPr>
          <w:p>
            <w:pPr>
              <w:jc w:val="center"/>
              <w:ind w:right="70"/>
              <w:spacing w:after="0"/>
              <w:rPr>
                <w:sz w:val="20"/>
                <w:szCs w:val="20"/>
                <w:color w:val="auto"/>
              </w:rPr>
            </w:pPr>
            <w:r>
              <w:rPr>
                <w:rFonts w:ascii="Times New Roman" w:cs="Times New Roman" w:eastAsia="Times New Roman" w:hAnsi="Times New Roman"/>
                <w:sz w:val="18"/>
                <w:szCs w:val="18"/>
                <w:color w:val="auto"/>
                <w:w w:val="98"/>
              </w:rPr>
              <w:t>$1,386,500</w:t>
            </w:r>
          </w:p>
        </w:tc>
        <w:tc>
          <w:tcPr>
            <w:tcW w:w="2000" w:type="dxa"/>
            <w:vAlign w:val="bottom"/>
            <w:shd w:val="clear" w:color="auto" w:fill="CCEC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$1,066,762</w:t>
            </w:r>
          </w:p>
        </w:tc>
        <w:tc>
          <w:tcPr>
            <w:tcW w:w="2640" w:type="dxa"/>
            <w:vAlign w:val="bottom"/>
            <w:shd w:val="clear" w:color="auto" w:fill="CCECFF"/>
          </w:tcPr>
          <w:p>
            <w:pPr>
              <w:jc w:val="center"/>
              <w:ind w:left="150"/>
              <w:spacing w:after="0"/>
              <w:rPr>
                <w:sz w:val="20"/>
                <w:szCs w:val="20"/>
                <w:color w:val="auto"/>
              </w:rPr>
            </w:pPr>
            <w:r>
              <w:rPr>
                <w:rFonts w:ascii="Times New Roman" w:cs="Times New Roman" w:eastAsia="Times New Roman" w:hAnsi="Times New Roman"/>
                <w:sz w:val="18"/>
                <w:szCs w:val="18"/>
                <w:color w:val="auto"/>
                <w:w w:val="98"/>
              </w:rPr>
              <w:t>$1,601,697</w:t>
            </w:r>
          </w:p>
        </w:tc>
        <w:tc>
          <w:tcPr>
            <w:tcW w:w="0" w:type="dxa"/>
            <w:vAlign w:val="bottom"/>
          </w:tcPr>
          <w:p>
            <w:pPr>
              <w:spacing w:after="0"/>
              <w:rPr>
                <w:sz w:val="1"/>
                <w:szCs w:val="1"/>
                <w:color w:val="auto"/>
              </w:rPr>
            </w:pPr>
          </w:p>
        </w:tc>
      </w:tr>
      <w:tr>
        <w:trPr>
          <w:trHeight w:val="432"/>
        </w:trPr>
        <w:tc>
          <w:tcPr>
            <w:tcW w:w="1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_________</w:t>
            </w:r>
          </w:p>
        </w:tc>
        <w:tc>
          <w:tcPr>
            <w:tcW w:w="2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60" w:right="20" w:hanging="693"/>
        <w:spacing w:after="0" w:line="28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column in our Summary Compensation Table for the applicable year.</w:t>
      </w:r>
    </w:p>
    <w:p>
      <w:pPr>
        <w:spacing w:after="0" w:line="161" w:lineRule="exact"/>
        <w:rPr>
          <w:rFonts w:ascii="Times New Roman" w:cs="Times New Roman" w:eastAsia="Times New Roman" w:hAnsi="Times New Roman"/>
          <w:sz w:val="18"/>
          <w:szCs w:val="18"/>
          <w:color w:val="auto"/>
        </w:rPr>
      </w:pPr>
    </w:p>
    <w:p>
      <w:pPr>
        <w:jc w:val="both"/>
        <w:ind w:left="1160" w:hanging="693"/>
        <w:spacing w:after="0" w:line="256"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and (iii) for awards granted in prior years that vest in the applicable year, the amount equal to the change as of the vesting date (from the end of the prior fiscal year) in fair value. There were no awards vested in the year they were granted. The amounts deducted or added in calculating the equity award adjustments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Golden</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65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Fair Value of Equity Awards for CEO</w:t>
            </w: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6"/>
        </w:trPr>
        <w:tc>
          <w:tcPr>
            <w:tcW w:w="920" w:type="dxa"/>
            <w:vAlign w:val="bottom"/>
          </w:tcPr>
          <w:p>
            <w:pPr>
              <w:spacing w:after="0"/>
              <w:rPr>
                <w:sz w:val="18"/>
                <w:szCs w:val="18"/>
                <w:color w:val="auto"/>
              </w:rPr>
            </w:pPr>
          </w:p>
        </w:tc>
        <w:tc>
          <w:tcPr>
            <w:tcW w:w="65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As of year-end for unvested awards granted during the year</w:t>
            </w:r>
          </w:p>
        </w:tc>
        <w:tc>
          <w:tcPr>
            <w:tcW w:w="1440" w:type="dxa"/>
            <w:vAlign w:val="bottom"/>
            <w:shd w:val="clear" w:color="auto" w:fill="CCECFF"/>
          </w:tcPr>
          <w:p>
            <w:pPr>
              <w:jc w:val="center"/>
              <w:ind w:right="90"/>
              <w:spacing w:after="0"/>
              <w:rPr>
                <w:sz w:val="20"/>
                <w:szCs w:val="20"/>
                <w:color w:val="auto"/>
              </w:rPr>
            </w:pPr>
            <w:r>
              <w:rPr>
                <w:rFonts w:ascii="Times New Roman" w:cs="Times New Roman" w:eastAsia="Times New Roman" w:hAnsi="Times New Roman"/>
                <w:sz w:val="18"/>
                <w:szCs w:val="18"/>
                <w:color w:val="auto"/>
                <w:w w:val="97"/>
              </w:rPr>
              <w:t>$215,366</w:t>
            </w:r>
          </w:p>
        </w:tc>
        <w:tc>
          <w:tcPr>
            <w:tcW w:w="1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9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Year-over-year increase of unvested awards granted in prior years</w:t>
            </w: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$24,024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920" w:type="dxa"/>
            <w:vAlign w:val="bottom"/>
          </w:tcPr>
          <w:p>
            <w:pPr>
              <w:spacing w:after="0"/>
              <w:rPr>
                <w:sz w:val="17"/>
                <w:szCs w:val="17"/>
                <w:color w:val="auto"/>
              </w:rPr>
            </w:pPr>
          </w:p>
        </w:tc>
        <w:tc>
          <w:tcPr>
            <w:tcW w:w="656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Increase from prior fiscal year-end for awards granted in prior years that vested during</w:t>
            </w:r>
          </w:p>
        </w:tc>
        <w:tc>
          <w:tcPr>
            <w:tcW w:w="144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1100" w:type="dxa"/>
            <w:vAlign w:val="bottom"/>
            <w:shd w:val="clear" w:color="auto" w:fill="CCECFF"/>
          </w:tcPr>
          <w:p>
            <w:pPr>
              <w:spacing w:after="0"/>
              <w:rPr>
                <w:sz w:val="17"/>
                <w:szCs w:val="17"/>
                <w:color w:val="auto"/>
              </w:rPr>
            </w:pPr>
          </w:p>
        </w:tc>
      </w:tr>
      <w:tr>
        <w:trPr>
          <w:trHeight w:val="241"/>
        </w:trPr>
        <w:tc>
          <w:tcPr>
            <w:tcW w:w="920" w:type="dxa"/>
            <w:vAlign w:val="bottom"/>
          </w:tcPr>
          <w:p>
            <w:pPr>
              <w:spacing w:after="0"/>
              <w:rPr>
                <w:sz w:val="20"/>
                <w:szCs w:val="20"/>
                <w:color w:val="auto"/>
              </w:rPr>
            </w:pPr>
          </w:p>
        </w:tc>
        <w:tc>
          <w:tcPr>
            <w:tcW w:w="6560" w:type="dxa"/>
            <w:vAlign w:val="bottom"/>
            <w:tcBorders>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the year</w:t>
            </w:r>
          </w:p>
        </w:tc>
        <w:tc>
          <w:tcPr>
            <w:tcW w:w="1440" w:type="dxa"/>
            <w:vAlign w:val="bottom"/>
            <w:tcBorders>
              <w:bottom w:val="single" w:sz="8" w:color="auto"/>
            </w:tcBorders>
            <w:shd w:val="clear" w:color="auto" w:fill="CCECFF"/>
          </w:tcPr>
          <w:p>
            <w:pPr>
              <w:jc w:val="center"/>
              <w:ind w:right="90"/>
              <w:spacing w:after="0"/>
              <w:rPr>
                <w:sz w:val="20"/>
                <w:szCs w:val="20"/>
                <w:color w:val="auto"/>
              </w:rPr>
            </w:pPr>
            <w:r>
              <w:rPr>
                <w:rFonts w:ascii="Times New Roman" w:cs="Times New Roman" w:eastAsia="Times New Roman" w:hAnsi="Times New Roman"/>
                <w:sz w:val="18"/>
                <w:szCs w:val="18"/>
                <w:color w:val="auto"/>
              </w:rPr>
              <w:t>$1,588</w:t>
            </w:r>
          </w:p>
        </w:tc>
        <w:tc>
          <w:tcPr>
            <w:tcW w:w="122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9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Award Adjustments</w:t>
            </w: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$240,978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35"/>
        </w:trPr>
        <w:tc>
          <w:tcPr>
            <w:tcW w:w="7480" w:type="dxa"/>
            <w:vAlign w:val="bottom"/>
            <w:gridSpan w:val="2"/>
          </w:tcPr>
          <w:p>
            <w:pPr>
              <w:jc w:val="right"/>
              <w:ind w:right="1730"/>
              <w:spacing w:after="0"/>
              <w:rPr>
                <w:sz w:val="20"/>
                <w:szCs w:val="20"/>
                <w:color w:val="auto"/>
              </w:rPr>
            </w:pPr>
            <w:r>
              <w:rPr>
                <w:rFonts w:ascii="Times New Roman" w:cs="Times New Roman" w:eastAsia="Times New Roman" w:hAnsi="Times New Roman"/>
                <w:sz w:val="14"/>
                <w:szCs w:val="14"/>
                <w:color w:val="auto"/>
              </w:rPr>
              <w:t>6</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
        </w:trPr>
        <w:tc>
          <w:tcPr>
            <w:tcW w:w="92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Goldstein</w:t>
            </w: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65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Fair Value of Equity Awards for CEO</w:t>
            </w: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6"/>
        </w:trPr>
        <w:tc>
          <w:tcPr>
            <w:tcW w:w="20" w:type="dxa"/>
            <w:vAlign w:val="bottom"/>
          </w:tcPr>
          <w:p>
            <w:pPr>
              <w:spacing w:after="0"/>
              <w:rPr>
                <w:sz w:val="18"/>
                <w:szCs w:val="18"/>
                <w:color w:val="auto"/>
              </w:rPr>
            </w:pPr>
          </w:p>
        </w:tc>
        <w:tc>
          <w:tcPr>
            <w:tcW w:w="65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As of year-end for unvested awards granted during the year</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300" w:type="dxa"/>
            <w:vAlign w:val="bottom"/>
            <w:shd w:val="clear" w:color="auto" w:fill="CCECFF"/>
          </w:tcPr>
          <w:p>
            <w:pPr>
              <w:jc w:val="center"/>
              <w:ind w:left="130"/>
              <w:spacing w:after="0"/>
              <w:rPr>
                <w:sz w:val="20"/>
                <w:szCs w:val="20"/>
                <w:color w:val="auto"/>
              </w:rPr>
            </w:pPr>
            <w:r>
              <w:rPr>
                <w:rFonts w:ascii="Times New Roman" w:cs="Times New Roman" w:eastAsia="Times New Roman" w:hAnsi="Times New Roman"/>
                <w:sz w:val="18"/>
                <w:szCs w:val="18"/>
                <w:color w:val="auto"/>
              </w:rPr>
              <w:t>$36,855</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$1,258,845</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Year-over-year increase (decrease) of unvested awards granted in prior years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$143,591</w:t>
            </w:r>
          </w:p>
        </w:tc>
        <w:tc>
          <w:tcPr>
            <w:tcW w:w="13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$(671,932)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$(192,083)</w:t>
            </w:r>
          </w:p>
        </w:tc>
      </w:tr>
      <w:tr>
        <w:trPr>
          <w:trHeight w:val="198"/>
        </w:trPr>
        <w:tc>
          <w:tcPr>
            <w:tcW w:w="20" w:type="dxa"/>
            <w:vAlign w:val="bottom"/>
          </w:tcPr>
          <w:p>
            <w:pPr>
              <w:spacing w:after="0"/>
              <w:rPr>
                <w:sz w:val="17"/>
                <w:szCs w:val="17"/>
                <w:color w:val="auto"/>
              </w:rPr>
            </w:pPr>
          </w:p>
        </w:tc>
        <w:tc>
          <w:tcPr>
            <w:tcW w:w="654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from prior fiscal year-end for awards granted in prior years that</w:t>
            </w:r>
          </w:p>
        </w:tc>
        <w:tc>
          <w:tcPr>
            <w:tcW w:w="1340" w:type="dxa"/>
            <w:vAlign w:val="bottom"/>
            <w:shd w:val="clear" w:color="auto" w:fill="CCECFF"/>
          </w:tcPr>
          <w:p>
            <w:pPr>
              <w:spacing w:after="0"/>
              <w:rPr>
                <w:sz w:val="17"/>
                <w:szCs w:val="17"/>
                <w:color w:val="auto"/>
              </w:rPr>
            </w:pPr>
          </w:p>
        </w:tc>
        <w:tc>
          <w:tcPr>
            <w:tcW w:w="130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540" w:type="dxa"/>
            <w:vAlign w:val="bottom"/>
            <w:tcBorders>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134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300" w:type="dxa"/>
            <w:vAlign w:val="bottom"/>
            <w:tcBorders>
              <w:bottom w:val="single" w:sz="8" w:color="auto"/>
            </w:tcBorders>
            <w:shd w:val="clear" w:color="auto" w:fill="CCECFF"/>
          </w:tcPr>
          <w:p>
            <w:pPr>
              <w:jc w:val="center"/>
              <w:ind w:left="130"/>
              <w:spacing w:after="0"/>
              <w:rPr>
                <w:sz w:val="20"/>
                <w:szCs w:val="20"/>
                <w:color w:val="auto"/>
              </w:rPr>
            </w:pPr>
            <w:r>
              <w:rPr>
                <w:rFonts w:ascii="Times New Roman" w:cs="Times New Roman" w:eastAsia="Times New Roman" w:hAnsi="Times New Roman"/>
                <w:sz w:val="18"/>
                <w:szCs w:val="18"/>
                <w:color w:val="auto"/>
              </w:rPr>
              <w:t>$46,577</w:t>
            </w:r>
          </w:p>
        </w:tc>
        <w:tc>
          <w:tcPr>
            <w:tcW w:w="112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8"/>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Award Adjustments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$143,591</w:t>
            </w:r>
          </w:p>
        </w:tc>
        <w:tc>
          <w:tcPr>
            <w:tcW w:w="13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$(588,500)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$1,066,762</w:t>
            </w:r>
          </w:p>
        </w:tc>
      </w:tr>
    </w:tbl>
    <w:p>
      <w:pPr>
        <w:spacing w:after="0" w:line="175" w:lineRule="exact"/>
        <w:rPr>
          <w:sz w:val="20"/>
          <w:szCs w:val="20"/>
          <w:color w:val="auto"/>
        </w:rPr>
      </w:pPr>
    </w:p>
    <w:p>
      <w:pPr>
        <w:jc w:val="both"/>
        <w:ind w:left="540" w:hanging="532"/>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average of the amounts reported for our NEOs as a group (excluding our CEO) in the “Total” column of our Summary Compensation Table in each applicable year. The names of each of the NEOs (excluding our CEO) included for purposes of calculating the average amounts for each applicable year are Ms. Golden and Ms. Chen for 2021 and 2022 and Ms. Chen for 2023.</w:t>
      </w:r>
    </w:p>
    <w:p>
      <w:pPr>
        <w:spacing w:after="0" w:line="175" w:lineRule="exact"/>
        <w:rPr>
          <w:rFonts w:ascii="Times New Roman" w:cs="Times New Roman" w:eastAsia="Times New Roman" w:hAnsi="Times New Roman"/>
          <w:sz w:val="18"/>
          <w:szCs w:val="18"/>
          <w:color w:val="auto"/>
        </w:rPr>
      </w:pPr>
    </w:p>
    <w:p>
      <w:pPr>
        <w:jc w:val="both"/>
        <w:ind w:left="540" w:hanging="532"/>
        <w:spacing w:after="0" w:line="258"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average amount of “compensation actually paid” to the NEOs as a group (excluding our CEO), as computed in accordance with SEC rules. The dollar amounts do not reflect the actual average amount of compensation earned by or paid to the NEOs as a group (excluding our CEO) during the applicable year. In accordance with the SEC rules, the following adjustments were made to average total compensation for the NEOs as a group (excluding our CEO) for each year to determine the compensation actually paid, using the same methodology described above in Note 2:</w:t>
      </w:r>
    </w:p>
    <w:p>
      <w:pPr>
        <w:spacing w:after="0" w:line="179"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Reported</w:t>
            </w: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2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Plus:</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Equals:</w:t>
            </w:r>
          </w:p>
        </w:tc>
      </w:tr>
      <w:tr>
        <w:trPr>
          <w:trHeight w:val="216"/>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w:t>
            </w:r>
          </w:p>
        </w:tc>
        <w:tc>
          <w:tcPr>
            <w:tcW w:w="2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Average Reported</w:t>
            </w:r>
          </w:p>
        </w:tc>
        <w:tc>
          <w:tcPr>
            <w:tcW w:w="2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Average Equity</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Compensation</w:t>
            </w:r>
          </w:p>
        </w:tc>
      </w:tr>
      <w:tr>
        <w:trPr>
          <w:trHeight w:val="216"/>
        </w:trPr>
        <w:tc>
          <w:tcPr>
            <w:tcW w:w="13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2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2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23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r>
      <w:tr>
        <w:trPr>
          <w:trHeight w:val="245"/>
        </w:trPr>
        <w:tc>
          <w:tcPr>
            <w:tcW w:w="1320" w:type="dxa"/>
            <w:vAlign w:val="bottom"/>
            <w:tcBorders>
              <w:bottom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Non-CEO NEOs</w:t>
            </w:r>
          </w:p>
        </w:tc>
        <w:tc>
          <w:tcPr>
            <w:tcW w:w="2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Equity Awards</w:t>
            </w:r>
          </w:p>
        </w:tc>
        <w:tc>
          <w:tcPr>
            <w:tcW w:w="20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Adjustments(a)</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Non-CEO NEOs</w:t>
            </w:r>
          </w:p>
        </w:tc>
      </w:tr>
      <w:tr>
        <w:trPr>
          <w:trHeight w:val="216"/>
        </w:trPr>
        <w:tc>
          <w:tcPr>
            <w:tcW w:w="1320" w:type="dxa"/>
            <w:vAlign w:val="bottom"/>
            <w:gridSpan w:val="2"/>
            <w:shd w:val="clear" w:color="auto" w:fill="CCEC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$355,338</w:t>
            </w:r>
          </w:p>
        </w:tc>
        <w:tc>
          <w:tcPr>
            <w:tcW w:w="2180" w:type="dxa"/>
            <w:vAlign w:val="bottom"/>
            <w:shd w:val="clear" w:color="auto" w:fill="CCECFF"/>
          </w:tcPr>
          <w:p>
            <w:pPr>
              <w:jc w:val="center"/>
              <w:ind w:right="70"/>
              <w:spacing w:after="0"/>
              <w:rPr>
                <w:sz w:val="20"/>
                <w:szCs w:val="20"/>
                <w:color w:val="auto"/>
              </w:rPr>
            </w:pPr>
            <w:r>
              <w:rPr>
                <w:rFonts w:ascii="Times New Roman" w:cs="Times New Roman" w:eastAsia="Times New Roman" w:hAnsi="Times New Roman"/>
                <w:sz w:val="18"/>
                <w:szCs w:val="18"/>
                <w:color w:val="auto"/>
                <w:w w:val="93"/>
              </w:rPr>
              <w:t>$-</w:t>
            </w:r>
          </w:p>
        </w:tc>
        <w:tc>
          <w:tcPr>
            <w:tcW w:w="2000" w:type="dxa"/>
            <w:vAlign w:val="bottom"/>
            <w:shd w:val="clear" w:color="auto" w:fill="CCECFF"/>
          </w:tcPr>
          <w:p>
            <w:pPr>
              <w:jc w:val="center"/>
              <w:ind w:left="30"/>
              <w:spacing w:after="0"/>
              <w:rPr>
                <w:sz w:val="20"/>
                <w:szCs w:val="20"/>
                <w:color w:val="auto"/>
              </w:rPr>
            </w:pPr>
            <w:r>
              <w:rPr>
                <w:rFonts w:ascii="Times New Roman" w:cs="Times New Roman" w:eastAsia="Times New Roman" w:hAnsi="Times New Roman"/>
                <w:sz w:val="18"/>
                <w:szCs w:val="18"/>
                <w:color w:val="auto"/>
                <w:w w:val="96"/>
              </w:rPr>
              <w:t>$3,752</w:t>
            </w:r>
          </w:p>
        </w:tc>
        <w:tc>
          <w:tcPr>
            <w:tcW w:w="2380" w:type="dxa"/>
            <w:vAlign w:val="bottom"/>
            <w:shd w:val="clear" w:color="auto" w:fill="CCECFF"/>
          </w:tcPr>
          <w:p>
            <w:pPr>
              <w:jc w:val="center"/>
              <w:ind w:left="10"/>
              <w:spacing w:after="0"/>
              <w:rPr>
                <w:sz w:val="20"/>
                <w:szCs w:val="20"/>
                <w:color w:val="auto"/>
              </w:rPr>
            </w:pPr>
            <w:r>
              <w:rPr>
                <w:rFonts w:ascii="Times New Roman" w:cs="Times New Roman" w:eastAsia="Times New Roman" w:hAnsi="Times New Roman"/>
                <w:sz w:val="18"/>
                <w:szCs w:val="18"/>
                <w:color w:val="auto"/>
              </w:rPr>
              <w:t>$359,090</w:t>
            </w:r>
          </w:p>
        </w:tc>
      </w:tr>
      <w:tr>
        <w:trPr>
          <w:trHeight w:val="216"/>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1320" w:type="dxa"/>
            <w:vAlign w:val="bottom"/>
            <w:gridSpan w:val="2"/>
            <w:shd w:val="clear" w:color="auto" w:fill="CCEC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2022</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$493,907</w:t>
            </w:r>
          </w:p>
        </w:tc>
        <w:tc>
          <w:tcPr>
            <w:tcW w:w="2180" w:type="dxa"/>
            <w:vAlign w:val="bottom"/>
            <w:shd w:val="clear" w:color="auto" w:fill="CCECFF"/>
          </w:tcPr>
          <w:p>
            <w:pPr>
              <w:jc w:val="center"/>
              <w:ind w:right="70"/>
              <w:spacing w:after="0"/>
              <w:rPr>
                <w:sz w:val="20"/>
                <w:szCs w:val="20"/>
                <w:color w:val="auto"/>
              </w:rPr>
            </w:pPr>
            <w:r>
              <w:rPr>
                <w:rFonts w:ascii="Times New Roman" w:cs="Times New Roman" w:eastAsia="Times New Roman" w:hAnsi="Times New Roman"/>
                <w:sz w:val="18"/>
                <w:szCs w:val="18"/>
                <w:color w:val="auto"/>
                <w:w w:val="99"/>
              </w:rPr>
              <w:t>$75,000</w:t>
            </w:r>
          </w:p>
        </w:tc>
        <w:tc>
          <w:tcPr>
            <w:tcW w:w="2000" w:type="dxa"/>
            <w:vAlign w:val="bottom"/>
            <w:shd w:val="clear" w:color="auto" w:fill="CCECFF"/>
          </w:tcPr>
          <w:p>
            <w:pPr>
              <w:jc w:val="center"/>
              <w:ind w:left="30"/>
              <w:spacing w:after="0"/>
              <w:rPr>
                <w:sz w:val="20"/>
                <w:szCs w:val="20"/>
                <w:color w:val="auto"/>
              </w:rPr>
            </w:pPr>
            <w:r>
              <w:rPr>
                <w:rFonts w:ascii="Times New Roman" w:cs="Times New Roman" w:eastAsia="Times New Roman" w:hAnsi="Times New Roman"/>
                <w:sz w:val="18"/>
                <w:szCs w:val="18"/>
                <w:color w:val="auto"/>
              </w:rPr>
              <w:t>$(31,627)</w:t>
            </w:r>
          </w:p>
        </w:tc>
        <w:tc>
          <w:tcPr>
            <w:tcW w:w="2380" w:type="dxa"/>
            <w:vAlign w:val="bottom"/>
            <w:shd w:val="clear" w:color="auto" w:fill="CCECFF"/>
          </w:tcPr>
          <w:p>
            <w:pPr>
              <w:jc w:val="center"/>
              <w:ind w:left="10"/>
              <w:spacing w:after="0"/>
              <w:rPr>
                <w:sz w:val="20"/>
                <w:szCs w:val="20"/>
                <w:color w:val="auto"/>
              </w:rPr>
            </w:pPr>
            <w:r>
              <w:rPr>
                <w:rFonts w:ascii="Times New Roman" w:cs="Times New Roman" w:eastAsia="Times New Roman" w:hAnsi="Times New Roman"/>
                <w:sz w:val="18"/>
                <w:szCs w:val="18"/>
                <w:color w:val="auto"/>
              </w:rPr>
              <w:t>$387,280</w:t>
            </w:r>
          </w:p>
        </w:tc>
      </w:tr>
      <w:tr>
        <w:trPr>
          <w:trHeight w:val="216"/>
        </w:trPr>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1320" w:type="dxa"/>
            <w:vAlign w:val="bottom"/>
            <w:gridSpan w:val="2"/>
            <w:shd w:val="clear" w:color="auto" w:fill="CCEC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2021</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$542,622</w:t>
            </w:r>
          </w:p>
        </w:tc>
        <w:tc>
          <w:tcPr>
            <w:tcW w:w="2180" w:type="dxa"/>
            <w:vAlign w:val="bottom"/>
            <w:shd w:val="clear" w:color="auto" w:fill="CCECFF"/>
          </w:tcPr>
          <w:p>
            <w:pPr>
              <w:jc w:val="center"/>
              <w:ind w:right="70"/>
              <w:spacing w:after="0"/>
              <w:rPr>
                <w:sz w:val="20"/>
                <w:szCs w:val="20"/>
                <w:color w:val="auto"/>
              </w:rPr>
            </w:pPr>
            <w:r>
              <w:rPr>
                <w:rFonts w:ascii="Times New Roman" w:cs="Times New Roman" w:eastAsia="Times New Roman" w:hAnsi="Times New Roman"/>
                <w:sz w:val="18"/>
                <w:szCs w:val="18"/>
                <w:color w:val="auto"/>
                <w:w w:val="97"/>
              </w:rPr>
              <w:t>$123,770</w:t>
            </w:r>
          </w:p>
        </w:tc>
        <w:tc>
          <w:tcPr>
            <w:tcW w:w="2000" w:type="dxa"/>
            <w:vAlign w:val="bottom"/>
            <w:shd w:val="clear" w:color="auto" w:fill="CCECFF"/>
          </w:tcPr>
          <w:p>
            <w:pPr>
              <w:jc w:val="center"/>
              <w:ind w:left="30"/>
              <w:spacing w:after="0"/>
              <w:rPr>
                <w:sz w:val="20"/>
                <w:szCs w:val="20"/>
                <w:color w:val="auto"/>
              </w:rPr>
            </w:pPr>
            <w:r>
              <w:rPr>
                <w:rFonts w:ascii="Times New Roman" w:cs="Times New Roman" w:eastAsia="Times New Roman" w:hAnsi="Times New Roman"/>
                <w:sz w:val="18"/>
                <w:szCs w:val="18"/>
                <w:color w:val="auto"/>
              </w:rPr>
              <w:t>$92,830</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7"/>
              </w:rPr>
              <w:t>$511,682</w:t>
            </w:r>
          </w:p>
        </w:tc>
      </w:tr>
      <w:tr>
        <w:trPr>
          <w:trHeight w:val="223"/>
        </w:trPr>
        <w:tc>
          <w:tcPr>
            <w:tcW w:w="9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380" w:type="dxa"/>
            <w:vAlign w:val="bottom"/>
          </w:tcPr>
          <w:p>
            <w:pPr>
              <w:spacing w:after="0"/>
              <w:rPr>
                <w:sz w:val="19"/>
                <w:szCs w:val="19"/>
                <w:color w:val="auto"/>
              </w:rPr>
            </w:pPr>
          </w:p>
        </w:tc>
      </w:tr>
    </w:tbl>
    <w:p>
      <w:pPr>
        <w:spacing w:after="0" w:line="198" w:lineRule="exact"/>
        <w:rPr>
          <w:sz w:val="20"/>
          <w:szCs w:val="20"/>
          <w:color w:val="auto"/>
        </w:rPr>
      </w:pPr>
    </w:p>
    <w:p>
      <w:pPr>
        <w:ind w:left="1380" w:hanging="896"/>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deducted or added in calculating the total average equity award adjustments are as follows:</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10" w:name="page11"/>
    <w:bookmarkEnd w:id="10"/>
    <w:tbl>
      <w:tblPr>
        <w:tblLayout w:type="fixed"/>
        <w:tblInd w:w="13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5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Average Fair Value of Equity Awards for Non-CEO NEOs</w:t>
            </w: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1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6"/>
        </w:trPr>
        <w:tc>
          <w:tcPr>
            <w:tcW w:w="20" w:type="dxa"/>
            <w:vAlign w:val="bottom"/>
          </w:tcPr>
          <w:p>
            <w:pPr>
              <w:spacing w:after="0"/>
              <w:rPr>
                <w:sz w:val="18"/>
                <w:szCs w:val="18"/>
                <w:color w:val="auto"/>
              </w:rPr>
            </w:pPr>
          </w:p>
        </w:tc>
        <w:tc>
          <w:tcPr>
            <w:tcW w:w="65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As of year-end for unvested awards granted during the year</w:t>
            </w:r>
          </w:p>
        </w:tc>
        <w:tc>
          <w:tcPr>
            <w:tcW w:w="1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140" w:type="dxa"/>
            <w:vAlign w:val="bottom"/>
            <w:shd w:val="clear" w:color="auto" w:fill="CCEC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$20,250</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$95,930</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Year-over-year increase (decrease) of unvested awards granted in prior years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$1,552</w:t>
            </w:r>
          </w:p>
        </w:tc>
        <w:tc>
          <w:tcPr>
            <w:tcW w:w="1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$(49,299)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$(2,363)</w:t>
            </w:r>
          </w:p>
        </w:tc>
      </w:tr>
      <w:tr>
        <w:trPr>
          <w:trHeight w:val="198"/>
        </w:trPr>
        <w:tc>
          <w:tcPr>
            <w:tcW w:w="20" w:type="dxa"/>
            <w:vAlign w:val="bottom"/>
          </w:tcPr>
          <w:p>
            <w:pPr>
              <w:spacing w:after="0"/>
              <w:rPr>
                <w:sz w:val="17"/>
                <w:szCs w:val="17"/>
                <w:color w:val="auto"/>
              </w:rPr>
            </w:pPr>
          </w:p>
        </w:tc>
        <w:tc>
          <w:tcPr>
            <w:tcW w:w="656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from prior fiscal year-end for awards granted in prior years that</w:t>
            </w:r>
          </w:p>
        </w:tc>
        <w:tc>
          <w:tcPr>
            <w:tcW w:w="102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560" w:type="dxa"/>
            <w:vAlign w:val="bottom"/>
            <w:tcBorders>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102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$2,200</w:t>
            </w:r>
          </w:p>
        </w:tc>
        <w:tc>
          <w:tcPr>
            <w:tcW w:w="1140" w:type="dxa"/>
            <w:vAlign w:val="bottom"/>
            <w:tcBorders>
              <w:bottom w:val="single" w:sz="8" w:color="auto"/>
            </w:tcBorders>
            <w:shd w:val="clear" w:color="auto" w:fill="CCECFF"/>
          </w:tcPr>
          <w:p>
            <w:pPr>
              <w:jc w:val="center"/>
              <w:ind w:left="110"/>
              <w:spacing w:after="0"/>
              <w:rPr>
                <w:sz w:val="20"/>
                <w:szCs w:val="20"/>
                <w:color w:val="auto"/>
              </w:rPr>
            </w:pPr>
            <w:r>
              <w:rPr>
                <w:rFonts w:ascii="Times New Roman" w:cs="Times New Roman" w:eastAsia="Times New Roman" w:hAnsi="Times New Roman"/>
                <w:sz w:val="18"/>
                <w:szCs w:val="18"/>
                <w:color w:val="auto"/>
              </w:rPr>
              <w:t>$(2.578)</w:t>
            </w:r>
          </w:p>
        </w:tc>
        <w:tc>
          <w:tcPr>
            <w:tcW w:w="80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$(737)</w:t>
            </w:r>
          </w:p>
        </w:tc>
      </w:tr>
      <w:tr>
        <w:trPr>
          <w:trHeight w:val="238"/>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Average Equity Award Adjustments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$3,752</w:t>
            </w:r>
          </w:p>
        </w:tc>
        <w:tc>
          <w:tcPr>
            <w:tcW w:w="1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$(31,627)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$92,830</w:t>
            </w:r>
          </w:p>
        </w:tc>
      </w:tr>
    </w:tbl>
    <w:p>
      <w:pPr>
        <w:spacing w:after="0" w:line="175" w:lineRule="exact"/>
        <w:rPr>
          <w:sz w:val="20"/>
          <w:szCs w:val="20"/>
          <w:color w:val="auto"/>
        </w:rPr>
      </w:pPr>
    </w:p>
    <w:p>
      <w:pPr>
        <w:jc w:val="both"/>
        <w:ind w:left="540" w:hanging="532"/>
        <w:spacing w:after="0" w:line="26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the table represent the Company’s Total Stockholder Return (“TSR”) on an assumed investment of $100 in our common stock over the indicated measurement period. Cumulative TSR is calculated by dividing (i) the sum of the cumulative amount of dividends for the measurement period, assuming dividend reinvestment, and the difference between our common stock price at the end and the beginning of the measurement period by (ii) our common stock price at the beginning of the measurement period.</w:t>
      </w:r>
    </w:p>
    <w:p>
      <w:pPr>
        <w:spacing w:after="0" w:line="179"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loss attributable to the Company as reflected in our audited financial statements for the applicable year.</w:t>
      </w:r>
    </w:p>
    <w:p>
      <w:pPr>
        <w:spacing w:after="0" w:line="3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640" w:top="117"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color w:val="auto"/>
        </w:rPr>
        <w:t>Employment Contracts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Meryl S. Golden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2021</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and Ms. Golden were parties to an amended and restated employment agreement dated as of December 24, 2020 (the “Amended Golden Employment Agreement”). Pursuant to the Amended Golden Employment Agreement, which expired on December 31, 2022, Ms. Golden was entitled to receive an annual base salary of $500,000. In addition, pursuant to the Amended Golden Employment Agreement and the 2014 Plan, in September 2019, Ms. Golden was granted an option to purchase 50,000 shares of common stock which has vested to the extent of 12,500 shares on each of the date of grant and each of the first, second and third anniversaries of the date of grant. Further, pursuant to the Amended Golden Employment Agreement and the 2014 Plan, in each of January 2021 and January 2022, Ms. Golden was granted 30,000 shares of restricted stock. The 2021 grant vested to the extent of 10,000 on each of the first, second and third anniversaries of the date of grant. The 2022 grant vested to the extent of 10,000 shares on each of the first and second anniversaries of the date of grant and will vest to the extent of 10,000 shares on the third anniversary of the date of grant, subject to the continued provision of services through such date.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27, 2022, we entered into a second amended and restated employment agreement with Ms. Golden which took effect as of January 1, 2023, and expires on December 31, 2024 (the “Second Amended Golden Employment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Second Amended Golden Employment Agreement, Ms. Golden is entitled to receive an annual base salary of $500,000 and an annual bonus equal to 3% of our consolidated income from operations before taxes, exclusive of our consolidated net investment income (loss), net unrealized gains (losses) on equity securities and net realized gains (losses) on investments, up to a maximum of 1.25 times her base salary. In addition, pursuant to the Second Amended Golden Employment Agreement, Ms. Golden received, under the terms of the 2014 Plan, a grant in each of January 2023 and January 2024 of a number of shares of restricted stock determined by dividing $136,500 by the fair market value of our common stock on the date of grant. The 2023 grant vested with respect to one-half of the award on the first anniversary of the grant date and will vest with respect to one-half of the award on December 31, 2024, subject to the continued provision of services through such date. The 2024 grant will vest on January 2, 2025, subject to the continued provision of services through such 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15, 2024, we entered into a third amended and restated employment agreement with Ms. Golden, which takes effect as of January 1, 2025 and expires on December 31, 2026 (the “Third Amended Golden Employment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Third Amended Golden Employment Agreement, Ms. Golden will be entitled to receive an annual base salary of $550,000 (increased from $500,000 currently in effect) and an annual bonus equal to 3% of our consolidated income from operations before taxes, exclusive of our consolidated net investment income (loss), net unrealized gains (losses) on equity securities and net realized gains (losses) on investments, up to a maximum of 1.25 times her base annual salary (the same as currently in effect). Pursuant to the Third Amended Golden Employment Agreement (and as provided for in the Second Amended Golden Employment Agreement), in the event that Ms. Golden’s employment is terminated by us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our company (also as is provided for in the Second Amended Golden Employment Agreement). Pursuant to the Third Amended Golden Employment Agreement, Ms. Golden will be entitled to receive, under certain circumstances, a grant, during each of January 2025 and January 2026, of 40,000 shares of restricted stock. The 2025 grant will become vested with respect to one-half of the award on the first anniversary of the grant date and one-half on December 31, 2026. The 2026 grant will become vested on the first anniversary of the grant date. The above grants are generally consistent with the grants provided for in the Second Amended Golden Employment Agreement. In the event that we are precluded from making a grant to Ms. Golden in either 2025 or 2026, she would instead be entitled to a cash bonus of $136,500 for such year.</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See “Termination of Employment and Change-in-Control Arrangements – Meryl S. Golden” below for a discussion of the provisions of the Amended Golden Employment Agreement, the Second Amended Golden Employment Agreement and the Third Amended Golden Employment Agreement with regard to payments due and the acceleration of stock awards in the event of the termination of Ms. Golden’s employment under certain circumstances and/or in the event of a change in control.</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Barry B. Goldstein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14, 2019, we entered into a second amended and restated employment agreement with Mr. Goldstein which took effect as of January 1, 2020 and expired on December 31, 2022 (the “Second Amended Goldstein Employment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Second Amended Goldstein Employment Agreement, Mr. Goldstein was entitled to receive an annual base salary of $500,000 and an annual bonus equal to 6% of our consolidated income from operations before taxes, exclusive of our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payment of between $945,000 and $2,835,000 based on a specified minimum increase in our adjusted book value per share (as defined in the Second Amended Goldstein Employment Agreement) as of December 31, 2022 as compared to December 31, 2019 (with the maximum LTC payment being due if the average per annum increase is at least 14%). Pursuant to the Third Amended Goldstein Employment Agreement (discussed below), Mr. Goldstein relinquished the right to receive the LTC. Pursuant to the Second Amended Goldstein Employment Agreement, Mr. Goldstein received a grant, under the terms of the 2014 Plan, during January 2020, of a number of shares of restricted stock determined by dividing $1,250,000 by the fair market value of our common stock on the date of grant. The January 2020 grant vested with respect to one-third of the award on each of the first and second anniversaries of the grant date and will vest with respect to one-third of the award on December 30, 2024. Also pursuant to the Second Amended Goldstein Employment Agreement, Mr. Goldstein received a grant, under the terms of the 2014 Plan, during January 2021, of a number of shares of restricted stock determined by dividing $1,500,000 by the fair market value of our common stock on the date of grant. The January 2021 grant vested with respect to one-half of the award on the first anniversary of the grant date and will vest with respect to one-half of the award on December 30, 2024. Further, pursuant to the Second Amended Goldstein Employment Agreement, Mr. Goldstein received in 2020, 2021 and 2022 a grant, under the terms of the 2014 Plan, of a number of shares of restricted stock determined by dividing $136,500 by the fair market value of our common stock on the date of grant. The 2020 grant vested with respect to one-third of the award on each of the first and second anniversaries of the grant date and will vest with respect to one-third of the award on December 30, 2024. The 2021 grant vested with respect to one-half of the award on the first anniversary of the grant date and will vest with respect to one-half of the award on December 30, 2024. The 2022 grant will vest on December 30, 2024.</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See “Termination of Employment and Change-in-Control Arrangements – Barry B. Goldstein” below for a discussion of the provisions of the Second Amended Goldstein Employment Agreement and the Third Amended Goldstein Employment Agreement with regard to payments due and the acceleration of stock grants in the event of the termination of Mr. Goldstein’s employment and/or in the event of a change in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27, 2022, we entered into a third amended and restated employment agreement with Mr. Goldstein which took effect as of January 1, 2023, and was scheduled to expire on December 31, 2024 (the “Third Amended Goldstein Employment Agreement”). On August 9, 2023, we and Mr. Goldstein entered into an amendment to the Third Amended Goldstein Employment Agreement which provides that, effective as of October 1, 2023, Mr. Goldstein would no longer be serving as our President and Chief Executive Officer. In addition, the amendment provides that the Third Amended Goldstein Employment Agreement will expire on the earlier of December 31, 2024 or, in the event Mr. Goldstein is not re-elected as Chairman of the Board following the 2024 annual meeting of stockholders, then the date of such meeting.</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Third Amended Goldstein Employment Agreement, as amended, Mr. Goldstein is currently entitled to receive an annual base salary of $300,000.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exercisable and unexercisable stock options and unvested stock grants held by the above Named Executive Officers as of December 31, 2023:</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5"/>
        </w:trPr>
        <w:tc>
          <w:tcPr>
            <w:tcW w:w="18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420" w:type="dxa"/>
            <w:vAlign w:val="bottom"/>
            <w:tcBorders>
              <w:bottom w:val="single" w:sz="8" w:color="auto"/>
            </w:tcBorders>
          </w:tcPr>
          <w:p>
            <w:pPr>
              <w:spacing w:after="0"/>
              <w:rPr>
                <w:sz w:val="21"/>
                <w:szCs w:val="21"/>
                <w:color w:val="auto"/>
              </w:rPr>
            </w:pPr>
          </w:p>
        </w:tc>
      </w:tr>
      <w:tr>
        <w:trPr>
          <w:trHeight w:val="194"/>
        </w:trPr>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Equity Incentive</w:t>
            </w:r>
          </w:p>
        </w:tc>
      </w:tr>
      <w:tr>
        <w:trPr>
          <w:trHeight w:val="216"/>
        </w:trPr>
        <w:tc>
          <w:tcPr>
            <w:tcW w:w="1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 Incentive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r>
      <w:tr>
        <w:trPr>
          <w:trHeight w:val="216"/>
        </w:trPr>
        <w:tc>
          <w:tcPr>
            <w:tcW w:w="1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 or Payout</w:t>
            </w:r>
          </w:p>
        </w:tc>
      </w:tr>
      <w:tr>
        <w:trPr>
          <w:trHeight w:val="216"/>
        </w:trPr>
        <w:tc>
          <w:tcPr>
            <w:tcW w:w="1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1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Unearned Shares Unearned Shares</w:t>
            </w:r>
          </w:p>
        </w:tc>
      </w:tr>
      <w:tr>
        <w:trPr>
          <w:trHeight w:val="216"/>
        </w:trPr>
        <w:tc>
          <w:tcPr>
            <w:tcW w:w="1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That Have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Have</w:t>
            </w:r>
          </w:p>
        </w:tc>
      </w:tr>
      <w:tr>
        <w:trPr>
          <w:trHeight w:val="245"/>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 Vested</w:t>
            </w:r>
          </w:p>
        </w:tc>
      </w:tr>
      <w:tr>
        <w:trPr>
          <w:trHeight w:val="216"/>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Meryl S. Golden</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6"/>
              </w:rPr>
              <w:t>50,000</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$8.72</w:t>
            </w:r>
          </w:p>
        </w:tc>
        <w:tc>
          <w:tcPr>
            <w:tcW w:w="1060" w:type="dxa"/>
            <w:vAlign w:val="bottom"/>
            <w:shd w:val="clear" w:color="auto" w:fill="CCECFF"/>
          </w:tcPr>
          <w:p>
            <w:pPr>
              <w:jc w:val="center"/>
              <w:ind w:right="30"/>
              <w:spacing w:after="0"/>
              <w:rPr>
                <w:sz w:val="20"/>
                <w:szCs w:val="20"/>
                <w:color w:val="auto"/>
              </w:rPr>
            </w:pPr>
            <w:r>
              <w:rPr>
                <w:rFonts w:ascii="Times New Roman" w:cs="Times New Roman" w:eastAsia="Times New Roman" w:hAnsi="Times New Roman"/>
                <w:sz w:val="18"/>
                <w:szCs w:val="18"/>
                <w:color w:val="auto"/>
                <w:w w:val="98"/>
              </w:rPr>
              <w:t>9/25/24</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131,911(1)</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$280,970</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Barry B. Goldstein</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C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211,391(2)</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$450,263</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Sarah (Minlei) Chen</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C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1,990(3)</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79" w:lineRule="exact"/>
        <w:rPr>
          <w:sz w:val="20"/>
          <w:szCs w:val="20"/>
          <w:color w:val="auto"/>
        </w:rPr>
      </w:pPr>
    </w:p>
    <w:p>
      <w:pPr>
        <w:ind w:left="860" w:right="20" w:hanging="532"/>
        <w:spacing w:after="0" w:line="282"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vested to the extent of 60,556 shares on January 3, 2024 and 10,000 shares on January 4, 2024 and will vest to the extent of 800 shares on December 13, 2024, 50,555 shares on December 31, 2024 and 10,000 shares on January 3, 2025.</w:t>
      </w:r>
    </w:p>
    <w:p>
      <w:pPr>
        <w:spacing w:after="0" w:line="161" w:lineRule="exact"/>
        <w:rPr>
          <w:rFonts w:ascii="Times New Roman" w:cs="Times New Roman" w:eastAsia="Times New Roman" w:hAnsi="Times New Roman"/>
          <w:sz w:val="18"/>
          <w:szCs w:val="18"/>
          <w:color w:val="auto"/>
        </w:rPr>
      </w:pPr>
    </w:p>
    <w:p>
      <w:pPr>
        <w:ind w:left="860" w:hanging="532"/>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will vest on December 30, 2024.</w:t>
      </w:r>
    </w:p>
    <w:p>
      <w:pPr>
        <w:spacing w:after="0" w:line="225" w:lineRule="exact"/>
        <w:rPr>
          <w:rFonts w:ascii="Times New Roman" w:cs="Times New Roman" w:eastAsia="Times New Roman" w:hAnsi="Times New Roman"/>
          <w:sz w:val="18"/>
          <w:szCs w:val="18"/>
          <w:color w:val="auto"/>
        </w:rPr>
      </w:pPr>
    </w:p>
    <w:p>
      <w:pPr>
        <w:ind w:left="860" w:hanging="532"/>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vested to the extent of 1,190 shares on January 28, 2024 and will vest to the extent of 800 shares on December 13, 2024.</w:t>
      </w:r>
    </w:p>
    <w:p>
      <w:pPr>
        <w:spacing w:after="0" w:line="3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Employment and Change-in-Control Arrangements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Meryl S. Golden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Third Amended Golden Employment Agreement, in the event that Ms. Golden’s employment is terminated by us without cause, or she resigns for good reason (each as defined in the Third Amended Golden Employment Agreement), Ms. Golden would be entitled to receive her annual base salary for the remainder of the term or for twelve months, whichever is later. In addition, pursuant to the 2014 Plan, in the event of a termination of employment due to the death or disability of Ms. Golden, the stock grants scheduled to vest on the next vesting date following such event shall vest under certain circumstances notwithstanding such event. Further, in the event that Ms. Golden’s employment is terminated by us without cause, or she resigns for good reason, Ms. Golden’s granted but unvested restricted stock awards will vest.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Ms. Golden would be entitled to receive, under certain circumstances, a payment equal to 1.5 times her then annual base salary and her accrued bonus in the event of the termination of her employment within eighteen months following a change in control of our company. In addition, pursuant to the 2014 Plan, Ms. Golden’s outstanding restricted stock awards will vest in the event of a change of control of our company.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Barry B. Goldstein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Third Amended Goldstein Employment Agreement as amended, in the event that Mr. Goldstein’s employment is terminated by us without cause, or he resigns for good reason (each as defined in each such employment agreement), Mr. Goldstein would be entitled to receive his annual base salary for the remainder of the term. In addition, in the event that Mr. Goldstein’s employment is terminated by us for any reason, or he resigns for any reason, or, in the event of the termination of Mr. Goldstein’s employment due to disability or death, Mr. Goldstein’s granted but unvested restricted stock awards will vest.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Third Amended Goldstein Employment Agreement, Mr. Goldstein would be entitled to receive, under certain circumstances, a payment equal to 1.5 times his then annual base salary in the event of the termination of his employment within eighteen months following a change of control of our company. In addition, pursuant to the 2014 Plan, Mr. Goldstein’s unvested restricted stock awards will vest in the event of a change of control of our company.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Sarah (Minlei) Chen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2014 Plan, in the event of a termination of employment due to the death or disability of Ms. Chen, the stock grants scheduled to vest on the next vesting date following such event shall vest under certain circumstances notwithstanding such event. In addition, pursuant to the 2014 Plan, Ms. Chen’s outstanding restricted stock awards will vest in the event of a change of control of our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compensation of our non-employee directors for the fiscal year ended December 31, 2023:</w:t>
      </w:r>
    </w:p>
    <w:tbl>
      <w:tblPr>
        <w:tblLayout w:type="fixed"/>
        <w:tblInd w:w="0" w:type="dxa"/>
        <w:tblCellMar>
          <w:top w:w="0" w:type="dxa"/>
          <w:left w:w="0" w:type="dxa"/>
          <w:bottom w:w="0" w:type="dxa"/>
          <w:right w:w="0" w:type="dxa"/>
        </w:tblCellMar>
      </w:tblPr>
      <w:tr>
        <w:trPr>
          <w:trHeight w:val="194"/>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Fees Earned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Awards(1)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P. McFadden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Floyd R. Tupper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 Yankus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133,000</w:t>
            </w: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Carla A. D’Andre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65,000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53,000</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118,000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jc w:val="both"/>
        <w:ind w:left="880" w:hanging="545"/>
        <w:spacing w:after="0" w:line="261"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our Annual Report on Form 10-K for the fiscal year ended December 31, 2023, available electronically to our stockholders.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number of unvested restricted stock awards outstanding as of fiscal year end for each non-employee director is as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5860" w:type="dxa"/>
            <w:vAlign w:val="bottom"/>
          </w:tcPr>
          <w:p>
            <w:pPr>
              <w:jc w:val="center"/>
              <w:ind w:left="3610"/>
              <w:spacing w:after="0"/>
              <w:rPr>
                <w:sz w:val="20"/>
                <w:szCs w:val="20"/>
                <w:color w:val="auto"/>
              </w:rPr>
            </w:pPr>
            <w:r>
              <w:rPr>
                <w:rFonts w:ascii="Times New Roman" w:cs="Times New Roman" w:eastAsia="Times New Roman" w:hAnsi="Times New Roman"/>
                <w:sz w:val="18"/>
                <w:szCs w:val="18"/>
                <w:b w:val="1"/>
                <w:bCs w:val="1"/>
                <w:color w:val="auto"/>
                <w:w w:val="99"/>
              </w:rPr>
              <w:t>Unvested Restricted Stock</w:t>
            </w:r>
          </w:p>
        </w:tc>
      </w:tr>
      <w:tr>
        <w:trPr>
          <w:trHeight w:val="245"/>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860" w:type="dxa"/>
            <w:vAlign w:val="bottom"/>
            <w:tcBorders>
              <w:bottom w:val="single" w:sz="8" w:color="auto"/>
            </w:tcBorders>
          </w:tcPr>
          <w:p>
            <w:pPr>
              <w:jc w:val="center"/>
              <w:ind w:left="3610"/>
              <w:spacing w:after="0"/>
              <w:rPr>
                <w:sz w:val="20"/>
                <w:szCs w:val="20"/>
                <w:color w:val="auto"/>
              </w:rPr>
            </w:pPr>
            <w:r>
              <w:rPr>
                <w:rFonts w:ascii="Times New Roman" w:cs="Times New Roman" w:eastAsia="Times New Roman" w:hAnsi="Times New Roman"/>
                <w:sz w:val="18"/>
                <w:szCs w:val="18"/>
                <w:b w:val="1"/>
                <w:bCs w:val="1"/>
                <w:color w:val="auto"/>
                <w:w w:val="98"/>
              </w:rPr>
              <w:t>Awards (#)</w:t>
            </w:r>
          </w:p>
        </w:tc>
      </w:tr>
      <w:tr>
        <w:trPr>
          <w:trHeight w:val="216"/>
        </w:trPr>
        <w:tc>
          <w:tcPr>
            <w:tcW w:w="538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216"/>
        </w:trPr>
        <w:tc>
          <w:tcPr>
            <w:tcW w:w="5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Timothy P. McFadden</w:t>
            </w:r>
          </w:p>
        </w:tc>
        <w:tc>
          <w:tcPr>
            <w:tcW w:w="5860" w:type="dxa"/>
            <w:vAlign w:val="bottom"/>
            <w:shd w:val="clear" w:color="auto" w:fill="CCECFF"/>
          </w:tcPr>
          <w:p>
            <w:pPr>
              <w:jc w:val="center"/>
              <w:ind w:left="3610"/>
              <w:spacing w:after="0"/>
              <w:rPr>
                <w:sz w:val="20"/>
                <w:szCs w:val="20"/>
                <w:color w:val="auto"/>
              </w:rPr>
            </w:pPr>
            <w:r>
              <w:rPr>
                <w:rFonts w:ascii="Times New Roman" w:cs="Times New Roman" w:eastAsia="Times New Roman" w:hAnsi="Times New Roman"/>
                <w:sz w:val="18"/>
                <w:szCs w:val="18"/>
                <w:color w:val="auto"/>
                <w:w w:val="96"/>
              </w:rPr>
              <w:t>39,259</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Floyd R. Tupper</w:t>
            </w:r>
          </w:p>
        </w:tc>
        <w:tc>
          <w:tcPr>
            <w:tcW w:w="586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auto"/>
                <w:w w:val="96"/>
              </w:rPr>
              <w:t>39,259</w:t>
            </w:r>
          </w:p>
        </w:tc>
      </w:tr>
      <w:tr>
        <w:trPr>
          <w:trHeight w:val="216"/>
        </w:trPr>
        <w:tc>
          <w:tcPr>
            <w:tcW w:w="5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William L. Yankus</w:t>
            </w:r>
          </w:p>
        </w:tc>
        <w:tc>
          <w:tcPr>
            <w:tcW w:w="5860" w:type="dxa"/>
            <w:vAlign w:val="bottom"/>
            <w:shd w:val="clear" w:color="auto" w:fill="CCECFF"/>
          </w:tcPr>
          <w:p>
            <w:pPr>
              <w:jc w:val="center"/>
              <w:ind w:left="3610"/>
              <w:spacing w:after="0"/>
              <w:rPr>
                <w:sz w:val="20"/>
                <w:szCs w:val="20"/>
                <w:color w:val="auto"/>
              </w:rPr>
            </w:pPr>
            <w:r>
              <w:rPr>
                <w:rFonts w:ascii="Times New Roman" w:cs="Times New Roman" w:eastAsia="Times New Roman" w:hAnsi="Times New Roman"/>
                <w:sz w:val="18"/>
                <w:szCs w:val="18"/>
                <w:color w:val="auto"/>
                <w:w w:val="96"/>
              </w:rPr>
              <w:t>39,259</w:t>
            </w: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Timothy P. McFadden</w:t>
            </w:r>
          </w:p>
        </w:tc>
        <w:tc>
          <w:tcPr>
            <w:tcW w:w="586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auto"/>
                <w:w w:val="96"/>
              </w:rPr>
              <w:t>39,259</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non-employee directors are entitled to receive annual compensation for their services as directors as follows:</w:t>
      </w:r>
    </w:p>
    <w:p>
      <w:pPr>
        <w:spacing w:after="0" w:line="225" w:lineRule="exact"/>
        <w:rPr>
          <w:sz w:val="20"/>
          <w:szCs w:val="20"/>
          <w:color w:val="auto"/>
        </w:rPr>
      </w:pPr>
    </w:p>
    <w:p>
      <w:pPr>
        <w:ind w:left="880" w:hanging="494"/>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225" w:lineRule="exact"/>
        <w:rPr>
          <w:rFonts w:ascii="Times New Roman" w:cs="Times New Roman" w:eastAsia="Times New Roman" w:hAnsi="Times New Roman"/>
          <w:sz w:val="18"/>
          <w:szCs w:val="18"/>
          <w:color w:val="auto"/>
        </w:rPr>
      </w:pPr>
    </w:p>
    <w:p>
      <w:pPr>
        <w:ind w:left="880" w:hanging="494"/>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$25,000 for service as audit committee chair, an additional $20,000 for service as compensation and finance committee chair, an additional $10,000 for service as investment committee chair, and an additional $15,000 for service as chair of other committees; and</w:t>
      </w:r>
    </w:p>
    <w:p>
      <w:pPr>
        <w:spacing w:after="0" w:line="161" w:lineRule="exact"/>
        <w:rPr>
          <w:rFonts w:ascii="Times New Roman" w:cs="Times New Roman" w:eastAsia="Times New Roman" w:hAnsi="Times New Roman"/>
          <w:sz w:val="18"/>
          <w:szCs w:val="18"/>
          <w:color w:val="auto"/>
        </w:rPr>
      </w:pPr>
    </w:p>
    <w:p>
      <w:pPr>
        <w:ind w:left="880" w:right="20" w:hanging="494"/>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$53,000 of our common stock determined by the closing stock price on the first business day of the year, which vest on the first anniversary of the grant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OWNERS AND MANAGEMENT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June 14, 2024, regarding the beneficial ownership of our shares of common stock by (i) each person who we believe to be the beneficial owner of more than 5% of our outstanding shares of common stock, (ii) each present director, (iii) each Named Executive Officer and (iv) all of our present executive officers and directors as a group.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140" w:type="dxa"/>
            <w:vAlign w:val="bottom"/>
          </w:tcPr>
          <w:p>
            <w:pPr>
              <w:spacing w:after="0"/>
              <w:rPr>
                <w:sz w:val="18"/>
                <w:szCs w:val="18"/>
                <w:color w:val="auto"/>
              </w:rPr>
            </w:pPr>
          </w:p>
        </w:tc>
        <w:tc>
          <w:tcPr>
            <w:tcW w:w="26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Approximate</w:t>
            </w:r>
          </w:p>
        </w:tc>
      </w:tr>
      <w:tr>
        <w:trPr>
          <w:trHeight w:val="245"/>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Beneficial Owner</w:t>
            </w:r>
          </w:p>
        </w:tc>
        <w:tc>
          <w:tcPr>
            <w:tcW w:w="140" w:type="dxa"/>
            <w:vAlign w:val="bottom"/>
          </w:tcPr>
          <w:p>
            <w:pPr>
              <w:spacing w:after="0"/>
              <w:rPr>
                <w:sz w:val="21"/>
                <w:szCs w:val="21"/>
                <w:color w:val="auto"/>
              </w:rPr>
            </w:pPr>
          </w:p>
        </w:tc>
        <w:tc>
          <w:tcPr>
            <w:tcW w:w="26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16"/>
        </w:trPr>
        <w:tc>
          <w:tcPr>
            <w:tcW w:w="6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8"/>
        </w:trPr>
        <w:tc>
          <w:tcPr>
            <w:tcW w:w="6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Barry B. Goldstein</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Joys Lane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Kingston, New York</w:t>
            </w:r>
          </w:p>
        </w:tc>
        <w:tc>
          <w:tcPr>
            <w:tcW w:w="27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814,076(1)</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94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Meryl S. Golden</w:t>
            </w:r>
          </w:p>
        </w:tc>
        <w:tc>
          <w:tcPr>
            <w:tcW w:w="27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176,604(2)</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94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Floyd R. Tupper</w:t>
            </w:r>
          </w:p>
        </w:tc>
        <w:tc>
          <w:tcPr>
            <w:tcW w:w="27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126,835(3)</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94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P. McFadden</w:t>
            </w:r>
          </w:p>
        </w:tc>
        <w:tc>
          <w:tcPr>
            <w:tcW w:w="2740" w:type="dxa"/>
            <w:vAlign w:val="bottom"/>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77,999</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 Yankus</w:t>
            </w:r>
          </w:p>
        </w:tc>
        <w:tc>
          <w:tcPr>
            <w:tcW w:w="2740" w:type="dxa"/>
            <w:vAlign w:val="bottom"/>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77,204</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Carla A. D’Andre</w:t>
            </w:r>
          </w:p>
        </w:tc>
        <w:tc>
          <w:tcPr>
            <w:tcW w:w="27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65,354(4)</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(Minlei) Chen</w:t>
            </w:r>
          </w:p>
        </w:tc>
        <w:tc>
          <w:tcPr>
            <w:tcW w:w="2740" w:type="dxa"/>
            <w:vAlign w:val="bottom"/>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6,893</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Newgarden</w:t>
            </w:r>
          </w:p>
        </w:tc>
        <w:tc>
          <w:tcPr>
            <w:tcW w:w="2740" w:type="dxa"/>
            <w:vAlign w:val="bottom"/>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3,500</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Manmohan Singh</w:t>
            </w:r>
          </w:p>
        </w:tc>
        <w:tc>
          <w:tcPr>
            <w:tcW w:w="27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-0-(5)</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8"/>
        </w:trPr>
        <w:tc>
          <w:tcPr>
            <w:tcW w:w="6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Gregory Fortunoff</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 West 37th Street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10018</w:t>
            </w:r>
          </w:p>
        </w:tc>
        <w:tc>
          <w:tcPr>
            <w:tcW w:w="27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813,905(6)</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8"/>
        </w:trPr>
        <w:tc>
          <w:tcPr>
            <w:tcW w:w="6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Michael Doak</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Griffin Highline Capital LLC</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4514 Cole Avenue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Dallas, Texas</w:t>
            </w:r>
          </w:p>
        </w:tc>
        <w:tc>
          <w:tcPr>
            <w:tcW w:w="27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595,238(7)</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8"/>
        </w:trPr>
        <w:tc>
          <w:tcPr>
            <w:tcW w:w="6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directors as a group</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persons)</w:t>
            </w:r>
          </w:p>
        </w:tc>
        <w:tc>
          <w:tcPr>
            <w:tcW w:w="2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1,353,310(1)(2)(3)(4)(5)</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bl>
    <w:p>
      <w:pPr>
        <w:spacing w:after="0" w:line="200" w:lineRule="exact"/>
        <w:rPr>
          <w:sz w:val="20"/>
          <w:szCs w:val="20"/>
          <w:color w:val="auto"/>
        </w:rPr>
      </w:pPr>
    </w:p>
    <w:p>
      <w:pPr>
        <w:spacing w:after="0" w:line="214" w:lineRule="exact"/>
        <w:rPr>
          <w:sz w:val="20"/>
          <w:szCs w:val="20"/>
          <w:color w:val="auto"/>
        </w:rPr>
      </w:pPr>
    </w:p>
    <w:p>
      <w:pPr>
        <w:ind w:left="140" w:hanging="132"/>
        <w:spacing w:after="0"/>
        <w:tabs>
          <w:tab w:leader="none" w:pos="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jc w:val="both"/>
        <w:ind w:left="860" w:hanging="532"/>
        <w:spacing w:after="0" w:line="258" w:lineRule="auto"/>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740,908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p>
      <w:pPr>
        <w:spacing w:after="0" w:line="183" w:lineRule="exact"/>
        <w:rPr>
          <w:rFonts w:ascii="Times New Roman" w:cs="Times New Roman" w:eastAsia="Times New Roman" w:hAnsi="Times New Roman"/>
          <w:sz w:val="18"/>
          <w:szCs w:val="18"/>
          <w:color w:val="auto"/>
        </w:rPr>
      </w:pPr>
    </w:p>
    <w:p>
      <w:pPr>
        <w:jc w:val="both"/>
        <w:ind w:left="860" w:hanging="532"/>
        <w:spacing w:after="0" w:line="266" w:lineRule="auto"/>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20,000 shares held in a retirement trust for the benefit of Ms. Golden and (ii) 50,000 shares issuable upon the exercise of options that are exercisable currently. The inclusion of the shares owned by the retirement trust shall not be continued as an admission that Ms. Golden is, for purposes of Section 13(d) or 13(g) of the Exchange Act, the beneficial owner of such shares.</w:t>
      </w:r>
    </w:p>
    <w:p>
      <w:pPr>
        <w:spacing w:after="0" w:line="175" w:lineRule="exact"/>
        <w:rPr>
          <w:rFonts w:ascii="Times New Roman" w:cs="Times New Roman" w:eastAsia="Times New Roman" w:hAnsi="Times New Roman"/>
          <w:sz w:val="18"/>
          <w:szCs w:val="18"/>
          <w:color w:val="auto"/>
        </w:rPr>
      </w:pPr>
    </w:p>
    <w:p>
      <w:pPr>
        <w:jc w:val="both"/>
        <w:ind w:left="860" w:hanging="532"/>
        <w:spacing w:after="0" w:line="258" w:lineRule="auto"/>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32,395 shares owned by Mr. Tupper’s wife, (ii) 6,675 shares held in a retirement trust for the benefit of Mr. Tupper and (iii) 810 shares held in a retirement trust for the benefit of Mr. Tupper’s wife. Mr. Tupper has sole voting and dispositive power over 93,630 shares of common stock and shared voting and dispositive power over 33,205 shares of common stock. The inclusion of the shares owned by Mr. Tupper’s wife and the retirement trusts for the benefit of Mr. Tupper and his wife shall not be construed as an admission that Mr. Tupper is, for purposes of Section 13(d) or 13(g) of the Exchange Act, the beneficial owner of such shares.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both"/>
        <w:ind w:left="860" w:hanging="532"/>
        <w:spacing w:after="0" w:line="266"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63,954 shares owned by a limited liability company controlled by Ms. D’Andre and (ii) 1,400 shares held in a retirement trust for the benefit of Ms. D’Andre. The inclusion of the shares owned by the limited liability company and the retirement trust shall not be construed as an admission that Ms. D’Andre is, for purposes of Section 13(d) or 13(g) of the Exchange Act, the beneficial owner of such shares.</w:t>
      </w:r>
    </w:p>
    <w:p>
      <w:pPr>
        <w:spacing w:after="0" w:line="175" w:lineRule="exact"/>
        <w:rPr>
          <w:rFonts w:ascii="Times New Roman" w:cs="Times New Roman" w:eastAsia="Times New Roman" w:hAnsi="Times New Roman"/>
          <w:sz w:val="18"/>
          <w:szCs w:val="18"/>
          <w:color w:val="auto"/>
        </w:rPr>
      </w:pPr>
    </w:p>
    <w:p>
      <w:pPr>
        <w:jc w:val="both"/>
        <w:ind w:left="860" w:hanging="532"/>
        <w:spacing w:after="0" w:line="266"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managed by Angel Oak Capital Advisors ("AOCA") hold warrants for the purchase of 519,000 shares of common stock. Mr. Singh serves as Group Chief Financial Officer and Head of Corporate Development of AOCA. Mr. Singh disclaims beneficial ownership of such securities.</w:t>
      </w:r>
    </w:p>
    <w:p>
      <w:pPr>
        <w:spacing w:after="0" w:line="175" w:lineRule="exact"/>
        <w:rPr>
          <w:rFonts w:ascii="Times New Roman" w:cs="Times New Roman" w:eastAsia="Times New Roman" w:hAnsi="Times New Roman"/>
          <w:sz w:val="18"/>
          <w:szCs w:val="18"/>
          <w:color w:val="auto"/>
        </w:rPr>
      </w:pPr>
    </w:p>
    <w:p>
      <w:pPr>
        <w:jc w:val="both"/>
        <w:ind w:left="860" w:hanging="532"/>
        <w:spacing w:after="0" w:line="258"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regarding Gregory Fortunoff is based solely on Amendment No. 2 to Schedule 13G filed by him with the SEC on May 22, 2023 (the “Fortunoff 13G/A”). According to the Fortunoff 13G/A, Mr. Fortunoff has sole voting and dispositive power over 618,905 shares of common stock and shared voting and dispositive power over 195,000 shares of common stock. The Fortunoff 13G/A also indicates that Scott Fortunoff has sole voting and dispositive power over 244,500 shares of common stock and shared voting and dispositive power over 195,000 shares of common stock.</w:t>
      </w:r>
    </w:p>
    <w:p>
      <w:pPr>
        <w:spacing w:after="0" w:line="183" w:lineRule="exact"/>
        <w:rPr>
          <w:rFonts w:ascii="Times New Roman" w:cs="Times New Roman" w:eastAsia="Times New Roman" w:hAnsi="Times New Roman"/>
          <w:sz w:val="18"/>
          <w:szCs w:val="18"/>
          <w:color w:val="auto"/>
        </w:rPr>
      </w:pPr>
    </w:p>
    <w:p>
      <w:pPr>
        <w:jc w:val="both"/>
        <w:ind w:left="860" w:hanging="532"/>
        <w:spacing w:after="0" w:line="266"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regarding Michael Doak (“Doak”) and Griffin Highline Capital LLC (“Griffin”) is based solely on Amendment No. 4 to Schedule 13D filed by such reporting persons with the SEC on November 15, 2022 (the “Doak/Griffin 13D/A”). According to the Doak/Griffin 13D/A, each of Doak and Griffin has shared voting and dispositive power over the 595,238 shares of common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2023, with respect to compensation plans (including individual compensation arrangements) under which our common stock is authorized for issuance, aggregated as follows:</w:t>
      </w:r>
    </w:p>
    <w:p>
      <w:pPr>
        <w:spacing w:after="0" w:line="162" w:lineRule="exact"/>
        <w:rPr>
          <w:sz w:val="20"/>
          <w:szCs w:val="20"/>
          <w:color w:val="auto"/>
        </w:rPr>
      </w:pPr>
    </w:p>
    <w:p>
      <w:pPr>
        <w:ind w:left="880" w:hanging="494"/>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compensation plans previously approved by security holders; and</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compensation plans not previously approved by security 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7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7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7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36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7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3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7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2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200" w:type="dxa"/>
            <w:vAlign w:val="bottom"/>
          </w:tcPr>
          <w:p>
            <w:pPr>
              <w:spacing w:after="0"/>
              <w:rPr>
                <w:sz w:val="18"/>
                <w:szCs w:val="18"/>
                <w:color w:val="auto"/>
              </w:rPr>
            </w:pPr>
          </w:p>
        </w:tc>
        <w:tc>
          <w:tcPr>
            <w:tcW w:w="13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7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200" w:type="dxa"/>
            <w:vAlign w:val="bottom"/>
          </w:tcPr>
          <w:p>
            <w:pPr>
              <w:spacing w:after="0"/>
              <w:rPr>
                <w:sz w:val="18"/>
                <w:szCs w:val="18"/>
                <w:color w:val="auto"/>
              </w:rPr>
            </w:pPr>
          </w:p>
        </w:tc>
        <w:tc>
          <w:tcPr>
            <w:tcW w:w="136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6"/>
        </w:trPr>
        <w:tc>
          <w:tcPr>
            <w:tcW w:w="7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00" w:type="dxa"/>
            <w:vAlign w:val="bottom"/>
          </w:tcPr>
          <w:p>
            <w:pPr>
              <w:spacing w:after="0"/>
              <w:rPr>
                <w:sz w:val="18"/>
                <w:szCs w:val="18"/>
                <w:color w:val="auto"/>
              </w:rPr>
            </w:pPr>
          </w:p>
        </w:tc>
        <w:tc>
          <w:tcPr>
            <w:tcW w:w="136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7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00" w:type="dxa"/>
            <w:vAlign w:val="bottom"/>
          </w:tcPr>
          <w:p>
            <w:pPr>
              <w:spacing w:after="0"/>
              <w:rPr>
                <w:sz w:val="18"/>
                <w:szCs w:val="18"/>
                <w:color w:val="auto"/>
              </w:rPr>
            </w:pPr>
          </w:p>
        </w:tc>
        <w:tc>
          <w:tcPr>
            <w:tcW w:w="136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2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200" w:type="dxa"/>
            <w:vAlign w:val="bottom"/>
          </w:tcPr>
          <w:p>
            <w:pPr>
              <w:spacing w:after="0"/>
              <w:rPr>
                <w:sz w:val="18"/>
                <w:szCs w:val="18"/>
                <w:color w:val="auto"/>
              </w:rPr>
            </w:pPr>
          </w:p>
        </w:tc>
        <w:tc>
          <w:tcPr>
            <w:tcW w:w="13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38"/>
        </w:trPr>
        <w:tc>
          <w:tcPr>
            <w:tcW w:w="7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200" w:type="dxa"/>
            <w:vAlign w:val="bottom"/>
          </w:tcPr>
          <w:p>
            <w:pPr>
              <w:spacing w:after="0"/>
              <w:rPr>
                <w:sz w:val="20"/>
                <w:szCs w:val="20"/>
                <w:color w:val="auto"/>
              </w:rPr>
            </w:pPr>
          </w:p>
        </w:tc>
        <w:tc>
          <w:tcPr>
            <w:tcW w:w="136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63"/>
        </w:trPr>
        <w:tc>
          <w:tcPr>
            <w:tcW w:w="72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0" w:type="dxa"/>
            <w:vAlign w:val="bottom"/>
          </w:tcPr>
          <w:p>
            <w:pPr>
              <w:spacing w:after="0"/>
              <w:rPr>
                <w:sz w:val="22"/>
                <w:szCs w:val="22"/>
                <w:color w:val="auto"/>
              </w:rPr>
            </w:pPr>
          </w:p>
        </w:tc>
        <w:tc>
          <w:tcPr>
            <w:tcW w:w="136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4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107,201</w:t>
            </w:r>
          </w:p>
        </w:tc>
        <w:tc>
          <w:tcPr>
            <w:tcW w:w="2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r>
      <w:tr>
        <w:trPr>
          <w:trHeight w:val="243"/>
        </w:trPr>
        <w:tc>
          <w:tcPr>
            <w:tcW w:w="7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r>
      <w:tr>
        <w:trPr>
          <w:trHeight w:val="243"/>
        </w:trPr>
        <w:tc>
          <w:tcPr>
            <w:tcW w:w="7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c>
          <w:tcPr>
            <w:tcW w:w="1560" w:type="dxa"/>
            <w:vAlign w:val="bottom"/>
            <w:gridSpan w:val="3"/>
          </w:tcPr>
          <w:p>
            <w:pPr>
              <w:spacing w:after="0"/>
              <w:rPr>
                <w:sz w:val="21"/>
                <w:szCs w:val="21"/>
                <w:color w:val="auto"/>
              </w:rPr>
            </w:pPr>
          </w:p>
        </w:tc>
      </w:tr>
      <w:tr>
        <w:trPr>
          <w:trHeight w:val="24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1,242,378 (1)</w:t>
            </w:r>
          </w:p>
        </w:tc>
      </w:tr>
    </w:tbl>
    <w:p>
      <w:pPr>
        <w:spacing w:after="0" w:line="198" w:lineRule="exact"/>
        <w:rPr>
          <w:sz w:val="20"/>
          <w:szCs w:val="20"/>
          <w:color w:val="auto"/>
        </w:rPr>
      </w:pPr>
    </w:p>
    <w:p>
      <w:pPr>
        <w:ind w:left="880" w:hanging="545"/>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550,581 shares reserved for issuance pursuant to unvested restricted stock grants.</w:t>
      </w:r>
    </w:p>
    <w:p>
      <w:pPr>
        <w:spacing w:after="0" w:line="221" w:lineRule="exact"/>
        <w:rPr>
          <w:rFonts w:ascii="Times New Roman" w:cs="Times New Roman" w:eastAsia="Times New Roman" w:hAnsi="Times New Roman"/>
          <w:sz w:val="18"/>
          <w:szCs w:val="18"/>
          <w:color w:val="auto"/>
        </w:rPr>
      </w:pPr>
    </w:p>
    <w:p>
      <w:pPr>
        <w:ind w:left="3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Eight directors are to be elected at the meeting to serve until the next annual meeting of stockholders and until their respective successors shall have been elected and have qualified.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(eight) multiplied by the number of shares he is entitled to vote. A stockholder may therefore cast his votes for one nominee or distribute them among two or more of the nominees.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Nominees for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All of the nominees are currently members of our Board of Directors. The following table sets forth each nominee’s age as of June 14, 2024, the positions and offices presently held by him or her with us, and the year in which he or she became a director. The Board of Directors recommends a vote </w:t>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all nominees. The person named as proxy intends to vote cumulatively all shares represented by proxies equally among all nominees for election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unless proxies are marked to the contrary.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4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45"/>
        </w:trPr>
        <w:tc>
          <w:tcPr>
            <w:tcW w:w="25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2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Positions and Offices Held</w:t>
            </w:r>
          </w:p>
        </w:tc>
        <w:tc>
          <w:tcPr>
            <w:tcW w:w="224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16"/>
        </w:trPr>
        <w:tc>
          <w:tcPr>
            <w:tcW w:w="2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Meryl S. Golden</w:t>
            </w:r>
          </w:p>
        </w:tc>
        <w:tc>
          <w:tcPr>
            <w:tcW w:w="11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64</w:t>
            </w:r>
          </w:p>
        </w:tc>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224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Barry B. Goldstein</w:t>
            </w:r>
          </w:p>
        </w:tc>
        <w:tc>
          <w:tcPr>
            <w:tcW w:w="11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71</w:t>
            </w: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Chairman of the Board and Director</w:t>
            </w:r>
          </w:p>
        </w:tc>
        <w:tc>
          <w:tcPr>
            <w:tcW w:w="22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2001</w:t>
            </w: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Floyd R. Tupper</w:t>
            </w:r>
          </w:p>
        </w:tc>
        <w:tc>
          <w:tcPr>
            <w:tcW w:w="11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69</w:t>
            </w:r>
          </w:p>
        </w:tc>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Secretary and Director</w:t>
            </w:r>
          </w:p>
        </w:tc>
        <w:tc>
          <w:tcPr>
            <w:tcW w:w="224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16"/>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Timothy P. McFadden</w:t>
            </w:r>
          </w:p>
        </w:tc>
        <w:tc>
          <w:tcPr>
            <w:tcW w:w="11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62</w:t>
            </w: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(Lead Independent Director)</w:t>
            </w:r>
          </w:p>
        </w:tc>
        <w:tc>
          <w:tcPr>
            <w:tcW w:w="22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William L. Yankus</w:t>
            </w:r>
          </w:p>
        </w:tc>
        <w:tc>
          <w:tcPr>
            <w:tcW w:w="11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64</w:t>
            </w:r>
          </w:p>
        </w:tc>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16"/>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Carla A. D’Andre</w:t>
            </w:r>
          </w:p>
        </w:tc>
        <w:tc>
          <w:tcPr>
            <w:tcW w:w="11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68</w:t>
            </w: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Manmohan Singh</w:t>
            </w:r>
          </w:p>
        </w:tc>
        <w:tc>
          <w:tcPr>
            <w:tcW w:w="11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51</w:t>
            </w:r>
          </w:p>
        </w:tc>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6"/>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Thomas Newgarden</w:t>
            </w:r>
          </w:p>
        </w:tc>
        <w:tc>
          <w:tcPr>
            <w:tcW w:w="11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56</w:t>
            </w: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6"/>
        </w:trPr>
        <w:tc>
          <w:tcPr>
            <w:tcW w:w="2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bl>
    <w:p>
      <w:pPr>
        <w:ind w:left="660"/>
        <w:spacing w:after="0"/>
        <w:rPr>
          <w:sz w:val="20"/>
          <w:szCs w:val="20"/>
          <w:color w:val="auto"/>
        </w:rPr>
      </w:pPr>
      <w:r>
        <w:rPr>
          <w:rFonts w:ascii="Times New Roman" w:cs="Times New Roman" w:eastAsia="Times New Roman" w:hAnsi="Times New Roman"/>
          <w:sz w:val="18"/>
          <w:szCs w:val="18"/>
          <w:b w:val="1"/>
          <w:bCs w:val="1"/>
          <w:color w:val="auto"/>
        </w:rPr>
        <w:t>Meryl S. Golden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Ms. Golden has served as our Chief Executive Officer and President since October 2023 and as one of our directors since March 2020. She has also served as a director and a member of the Executive Committee of Kingstone Insurance Company, our wholly-owned New York property and casualty insurer (“KICO”), since September 2019 and as its President since October 2021. Ms. Golden served as our and KICO’s Chief Operating Officer from September 2019 to September 2023.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Barry B. Goldstein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Goldstein has served as our Executive Chairman of the Board since January 2019 and served as our Chief Executive Officer and President, as well as Chief Executive Officer of KICO, from July 2019 to September 2023. He previously served as our Chief Executive Officer, President and Chairman of the Board from March 2001 through December 2018, as Chief Executive Officer of KICO from January 2012 through December 2018 and as President of KICO from January 2012 through December 2018 and from July 2019 through September 2021. Mr. Goldstein has served as one of our directors since March 2001. He served as our Chief Financial Officer from March 2001 to November 2007 and as our Treasurer from May 2001 to August 2013. Since January 2006, Mr. Goldstein has served as Chairman of the Board of KICO. He has served as Chairman of its Executive Committee since October 2019 (having previously served in such capacity from 2006 to 2018). Mr. Goldstein has served as Chief Investment Officer of KICO from August 2008 through September 2023. He was Treasurer of KICO from March 2010 through September 2010. Effective July 1, 2009, we acquired a 100% equity interest in KICO. Mr. Goldstein is a certified public accountant (inactive). Mr. Goldstein received his B.A. degree and M.B.A. from State University of New York at Buffalo. We believe that Mr. Goldstein’s extensive experience in the insurance industry, including his executive-level service with KICO since 2006, give him the qualifications and skills to serve as one of our directors.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b w:val="1"/>
          <w:bCs w:val="1"/>
          <w:color w:val="auto"/>
        </w:rPr>
        <w:t>Floyd R. Tupper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Tupper is a certified public accountant in New York City. For over 40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degree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 of our Audit Committee since June 2014 and as our Secretary since June 2015. We believe that Mr. Tupper’s accounting experience, as well as his service on the Board of KICO (including his service as Chair of its Audit Committee), give him the qualifications and skills to serve as one of our directors.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Timothy P. McFadden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McFadden has more than 30 years of experience in the insurance industry. From 2012 to July 2018, Mr. McFadden served as CEO and President of State Farm Indemnity Auto Insurance Company and Senior Vice President of State Farm Insurance, Eastern Market Area. From 2015 to July 2018, he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Prior to joining the insurance industry, he was a Captain in the United States Army. Mr. McFadden is a member of Stetson University’s College of Law Board of Overseers. He formerly served as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Mr. McFadden has served as one of our directors since August 2018, served as Chair of our Nominating and Corporate Governance Committee from August 2018 to March 2023 and has served as Lead Independent Director and Chair of our Corporate Sustainability and Risk Management Committee since March 2023. We believe that Mr. McFadden’s executive level experience in the insurance industry gives him the qualifications and skills to serve as one of our directors.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b w:val="1"/>
          <w:bCs w:val="1"/>
          <w:color w:val="auto"/>
        </w:rPr>
        <w:t>William L. Yankus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serves as a member of the Board of Directors of Jet.AI, Inc. (Nasdaq: JTAI), an innovative private aviation and artificial intelligence company. He has served as one of our directors since March 2016, served as Chair of our Compensation Committee from April 2017 to March 2023, has served as Chair of our Compensation and Finance Committee since March 2023 and served as Chair of our Investment Committee from February 2020 to August 2021. Mr. Yankus received his B.A. degree in Economics and Accounting from The College of the Holy Cross. We believe that Mr. Yankus’ executive level experience in the insurance industry gives him the qualifications and skills to serve as one of our directors.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Carla A. D’Andre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Ms. D’Andre has more than 45 years of experience in the insurance industry. Since 2009, Ms. D’Andre has been Chairman, CEO and President of D’Andre Insurance Group, Inc., which she co-founded. D’Andre Insurance Group, Inc. is the parent of two independent insurance agencies. She also serves as a consulting and testifying expert on insurance matters.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 America, a subsidiary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 January 2019 she was elected by her peers to a three-year term as a member of The Institutes’ CPCU Society Leadership Council. She also serves as a member of the Executive Advisory Council of St. John’s University Greenberg School of Risk Management, Insurance and Actuarial Science and the Risk Management &amp; Insurance Counsel sponsored by Temple University, Fox School of Business. She is a licensed insurance broker in property and casualty and life and health coverages. Ms. D’Andre is a Chartered Property and Casualty Underwriter, a Chartered Life Underwriter and an Associate in Reinsurance ARe. She has served as one of our directors since May 2017, served as Chair of our Finance Committee from August 2017 to March 2023 and has served as Chair of our Nominating and Corporate Governance Committee since March 2023. Ms. D’Andre has an M.B.A. from Pace University’s Lubin School of Business, with a concentration in Financial Management, and a B.B.A. degree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color w:val="auto"/>
        </w:rPr>
        <w:t>Manmohan Singh</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Mr. Singh is the Group Chief Financial Officer and Head of Corporate Development for Angel Oak Companies, overseeing financial operations, including accounting and treasury, for all of Angel Oak’s subsidiaries. He is also a member of the Angel Oak Enterprise Risk Management Committee. Previously, Mr. Singh was a Director in the Insurance Investment Banking team at New York-based Sandler O’Neill &amp; Partners, which was an investment bank specializing in financial institutions that merged with Piper Jaffray Companies to form Piper Sandler Companies. During his 12 years with Sandler O’Neill, Mr. Singh worked extensively in the insurance sector, advising them on capital raising and merger and acquisition related matters. Mr. Singh has been involved with several key merger and acquisition transactions, including those involving private equity buyers and alternative asset managers making forays into the life and annuity sector. Mr. Singh holds a Master of Business Administration degree from the Indiana University Kelley School of Business, a Master of Science degree in Finance from the Department of Financial Studies at the University of Delhi, and a Bachelor of Engineering degree from Deenbandhu Chhotu Ram University of Science and Technology in India. Mr. Singh has served as one of our directors since April 2024. He was appointed pursuant to the provisions of the Note and Warrant Exchange Agreement, dated as of December 9, 2022, between the Company and the purchaser signatories thereto (the “Exchange Agreement”), whereby the holders of a majority of the aggregate principal amount of the promissory notes issued pursuant to the Exchange Agreement (the “Notes”) were granted the right to nominate one person to serve as a member of our Board of Directors. Such nomination right will cease at such time as the Notes are no longer outstanding. We believe that Mr. Singh’s extensive experience in insurance, financial operations and risk management gives him the qualifications and skills to serve as one of our directors.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Thomas Newgarden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Newgarden is an analytics driven insurance executive with over 30 years’ experience in the property and casualty personal lines insurance industry. He played an instrumental role in the acquisition and rehabilitation of National General Insurance (formerly GMAC Insurance). This included serving from 2010 to 2022 as Executive Vice President, Chief Underwriting Officer, Chief Product and Analytics Officer and Chief Business Development Officer, and President of National General Preferred, culminating in the successful sale of the company to Allstate Insurance. Prior to National General, Mr. Newgarden was Vice President and Chief Underwriting Officer at Plymouth Rock Insurance from 2009 to 2011 and Senior Vice President of Personal Lines at Safeco Insurance from 2008 to 2009. He also was a key partner in the development of AIG Private Client Group, last serving from 2006 to 2008 as its Senior Vice President, Chief Underwriting Officer. Since leaving Allstate in 2022, Mr. Newgarden has primarily worked as a consultant and advisor to insurance carriers and other insurance entities. He received his B.A. degree in Economics from Binghamton University. We believe that Mr. Newgarden’s extensive executive level experience in the insurance industry gives him the qualifications and skills to serve as one of our directors.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and directors.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Term of Office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or her successor is elected and qualified or until his or her earlier resignation or removal.</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Board Diversity</w:t>
            </w:r>
          </w:p>
        </w:tc>
        <w:tc>
          <w:tcPr>
            <w:tcW w:w="4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Board Size:</w:t>
            </w:r>
          </w:p>
        </w:tc>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Board Diversity Matrix (as of June 14, 2024)</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4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720" w:type="dxa"/>
            <w:vAlign w:val="bottom"/>
            <w:shd w:val="clear" w:color="auto" w:fill="D0EAFF"/>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4300" w:type="dxa"/>
            <w:vAlign w:val="bottom"/>
            <w:shd w:val="clear" w:color="auto" w:fill="D0EAFF"/>
          </w:tcPr>
          <w:p>
            <w:pPr>
              <w:spacing w:after="0"/>
              <w:rPr>
                <w:sz w:val="18"/>
                <w:szCs w:val="18"/>
                <w:color w:val="auto"/>
              </w:rPr>
            </w:pPr>
          </w:p>
        </w:tc>
        <w:tc>
          <w:tcPr>
            <w:tcW w:w="1960" w:type="dxa"/>
            <w:vAlign w:val="bottom"/>
            <w:shd w:val="clear" w:color="auto" w:fill="D0EAFF"/>
          </w:tcPr>
          <w:p>
            <w:pPr>
              <w:jc w:val="right"/>
              <w:ind w:right="15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8"/>
        </w:trPr>
        <w:tc>
          <w:tcPr>
            <w:tcW w:w="32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430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9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Male</w:t>
            </w:r>
          </w:p>
        </w:tc>
        <w:tc>
          <w:tcPr>
            <w:tcW w:w="0" w:type="dxa"/>
            <w:vAlign w:val="bottom"/>
          </w:tcPr>
          <w:p>
            <w:pPr>
              <w:spacing w:after="0"/>
              <w:rPr>
                <w:sz w:val="1"/>
                <w:szCs w:val="1"/>
                <w:color w:val="auto"/>
              </w:rPr>
            </w:pPr>
          </w:p>
        </w:tc>
      </w:tr>
      <w:tr>
        <w:trPr>
          <w:trHeight w:val="194"/>
        </w:trPr>
        <w:tc>
          <w:tcPr>
            <w:tcW w:w="3200" w:type="dxa"/>
            <w:vAlign w:val="bottom"/>
            <w:gridSpan w:val="2"/>
            <w:vMerge w:val="continue"/>
          </w:tcPr>
          <w:p>
            <w:pPr>
              <w:spacing w:after="0"/>
              <w:rPr>
                <w:sz w:val="16"/>
                <w:szCs w:val="16"/>
                <w:color w:val="auto"/>
              </w:rPr>
            </w:pPr>
          </w:p>
        </w:tc>
        <w:tc>
          <w:tcPr>
            <w:tcW w:w="4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720" w:type="dxa"/>
            <w:vAlign w:val="bottom"/>
            <w:shd w:val="clear" w:color="auto" w:fill="D0EAFF"/>
          </w:tcPr>
          <w:p>
            <w:pPr>
              <w:spacing w:after="0"/>
              <w:rPr>
                <w:sz w:val="20"/>
                <w:szCs w:val="20"/>
                <w:color w:val="auto"/>
              </w:rPr>
            </w:pPr>
            <w:r>
              <w:rPr>
                <w:rFonts w:ascii="Times New Roman" w:cs="Times New Roman" w:eastAsia="Times New Roman" w:hAnsi="Times New Roman"/>
                <w:sz w:val="18"/>
                <w:szCs w:val="18"/>
                <w:color w:val="auto"/>
              </w:rPr>
              <w:t>Directors</w:t>
            </w:r>
          </w:p>
        </w:tc>
        <w:tc>
          <w:tcPr>
            <w:tcW w:w="4300" w:type="dxa"/>
            <w:vAlign w:val="bottom"/>
            <w:shd w:val="clear" w:color="auto" w:fill="D0EAFF"/>
          </w:tcPr>
          <w:p>
            <w:pPr>
              <w:jc w:val="center"/>
              <w:ind w:left="3150"/>
              <w:spacing w:after="0"/>
              <w:rPr>
                <w:sz w:val="20"/>
                <w:szCs w:val="20"/>
                <w:color w:val="auto"/>
              </w:rPr>
            </w:pPr>
            <w:r>
              <w:rPr>
                <w:rFonts w:ascii="Times New Roman" w:cs="Times New Roman" w:eastAsia="Times New Roman" w:hAnsi="Times New Roman"/>
                <w:sz w:val="18"/>
                <w:szCs w:val="18"/>
                <w:color w:val="auto"/>
              </w:rPr>
              <w:t>2</w:t>
            </w:r>
          </w:p>
        </w:tc>
        <w:tc>
          <w:tcPr>
            <w:tcW w:w="1960" w:type="dxa"/>
            <w:vAlign w:val="bottom"/>
            <w:shd w:val="clear" w:color="auto" w:fill="D0EAFF"/>
          </w:tcPr>
          <w:p>
            <w:pPr>
              <w:jc w:val="center"/>
              <w:ind w:left="190"/>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4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720" w:type="dxa"/>
            <w:vAlign w:val="bottom"/>
            <w:shd w:val="clear" w:color="auto" w:fill="D0EAFF"/>
          </w:tcPr>
          <w:p>
            <w:pPr>
              <w:spacing w:after="0"/>
              <w:rPr>
                <w:sz w:val="20"/>
                <w:szCs w:val="20"/>
                <w:color w:val="auto"/>
              </w:rPr>
            </w:pPr>
            <w:r>
              <w:rPr>
                <w:rFonts w:ascii="Times New Roman" w:cs="Times New Roman" w:eastAsia="Times New Roman" w:hAnsi="Times New Roman"/>
                <w:sz w:val="18"/>
                <w:szCs w:val="18"/>
                <w:color w:val="auto"/>
              </w:rPr>
              <w:t>White</w:t>
            </w:r>
          </w:p>
        </w:tc>
        <w:tc>
          <w:tcPr>
            <w:tcW w:w="4300" w:type="dxa"/>
            <w:vAlign w:val="bottom"/>
            <w:shd w:val="clear" w:color="auto" w:fill="D0EAFF"/>
          </w:tcPr>
          <w:p>
            <w:pPr>
              <w:jc w:val="center"/>
              <w:ind w:left="3150"/>
              <w:spacing w:after="0"/>
              <w:rPr>
                <w:sz w:val="20"/>
                <w:szCs w:val="20"/>
                <w:color w:val="auto"/>
              </w:rPr>
            </w:pPr>
            <w:r>
              <w:rPr>
                <w:rFonts w:ascii="Times New Roman" w:cs="Times New Roman" w:eastAsia="Times New Roman" w:hAnsi="Times New Roman"/>
                <w:sz w:val="18"/>
                <w:szCs w:val="18"/>
                <w:color w:val="auto"/>
              </w:rPr>
              <w:t>2</w:t>
            </w:r>
          </w:p>
        </w:tc>
        <w:tc>
          <w:tcPr>
            <w:tcW w:w="1960" w:type="dxa"/>
            <w:vAlign w:val="bottom"/>
            <w:shd w:val="clear" w:color="auto" w:fill="D0EAFF"/>
          </w:tcPr>
          <w:p>
            <w:pPr>
              <w:jc w:val="center"/>
              <w:ind w:left="190"/>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430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is responsible for overseeing our accounting and financial reporting processes and the audits of our financial statements. The responsibilities and duties of the Audit Committee include the following:</w:t>
      </w:r>
    </w:p>
    <w:p>
      <w:pPr>
        <w:spacing w:after="0" w:line="162" w:lineRule="exact"/>
        <w:rPr>
          <w:sz w:val="20"/>
          <w:szCs w:val="20"/>
          <w:color w:val="auto"/>
        </w:rPr>
      </w:pPr>
    </w:p>
    <w:p>
      <w:pPr>
        <w:ind w:left="130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of Directors in fulfilling its responsibilities by reviewing the financial reports provided by us to the Securities and Exchange Commission, our stockholders or to the general public, and our internal financial and accounting controls;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appointment, compensation and retention of, and the work performed by, any independent public accountants engaged by us;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establish and monitor procedures designed to improve the quality and reliability of the disclosure of our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establish and monitor procedures designed to facilitate:</w:t>
      </w:r>
    </w:p>
    <w:p>
      <w:pPr>
        <w:spacing w:after="0" w:line="22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retention and treatment of complaints relating to accounting, internal accounting controls or auditing matters; and</w:t>
      </w:r>
    </w:p>
    <w:p>
      <w:pPr>
        <w:spacing w:after="0" w:line="306" w:lineRule="exact"/>
        <w:rPr>
          <w:rFonts w:ascii="Times New Roman" w:cs="Times New Roman" w:eastAsia="Times New Roman" w:hAnsi="Times New Roman"/>
          <w:sz w:val="18"/>
          <w:szCs w:val="18"/>
          <w:color w:val="auto"/>
        </w:rPr>
      </w:pPr>
    </w:p>
    <w:p>
      <w:pPr>
        <w:ind w:left="1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confidential, anonymous submissions by employees of concerns regarding questionable accounting or auditing matters.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members of our Board’s Audit Committee currently are Messrs. Tupper (chair), Yankus and McFadden. Our Board has adopted a written charter for the Audit Committee. A copy of the charter is available on our website, </w:t>
      </w:r>
      <w:r>
        <w:rPr>
          <w:rFonts w:ascii="Times New Roman" w:cs="Times New Roman" w:eastAsia="Times New Roman" w:hAnsi="Times New Roman"/>
          <w:sz w:val="18"/>
          <w:szCs w:val="18"/>
          <w:u w:val="single" w:color="auto"/>
          <w:color w:val="auto"/>
        </w:rPr>
        <w:t>www.kingstonecompanies.com</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is responsible for assisting the Board in identifying and recruiting qualified individuals to become Board members, selecting director nominees to be presented for Board and/or stockholder approval, identifying members of the Board to serve on each Board committee, and developing corporate governance guidelines.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members of the Nominating and Corporate Governance Committee currently are Ms. D’Andre (Chair) and Messrs. McFadden, Tupper and Singh. Our Board has adopted a written charter for the Nominating and Corporate Governance Committee. A copy of the charter is available on our website, </w:t>
      </w:r>
      <w:r>
        <w:rPr>
          <w:rFonts w:ascii="Times New Roman" w:cs="Times New Roman" w:eastAsia="Times New Roman" w:hAnsi="Times New Roman"/>
          <w:sz w:val="18"/>
          <w:szCs w:val="18"/>
          <w:u w:val="single" w:color="auto"/>
          <w:color w:val="auto"/>
        </w:rPr>
        <w:t>www.kingstonecompanies.com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among other things, diversity of background, experience, skills, expertise, personal and professional integrity, character, business judgment, time availability and conflicts of interest in evaluating prospective Board members. The Nominating and Corporate Governance Committee Charter requires that, in the event of a general search for new independent director candidates, the Nominating and Corporate Governance Committee ensure that the initial list of candidates from which new independent director nominees are chosen by the Board include at least one candidate who is a person of color and one candidate who is female. The Nominating and Corporate Governance Committee will consider qualified director candidates recommended by stockholders if such recommendations are provided in accordance with the procedures set forth in the section entitled “Stockholder Proposals - Stockholder Nominees” below. The Nominating and Corporate Governance Committee evaluates all candidates based upon the considerations discussed above, as well as ‘independence’ (for purposes of compliance with the rules of the SEC and the NASDAQ Marketplace Rules). After conducting an initial evaluation of a prospective nominee, the Nominating and Corporate Governance Committee will interview that candidate if it believes the candidate might be suitable to be a director. The Nominating and Corporate Governance Committee may also ask the candidate to meet with management. If the Nominating and Corporate Governance Committee believes a candidate would be a valuable addition to our Board of Directors, it may recommend to the full Board that candidate’s nomination and election. At this time, except as discussed above, the Nominating and Corporate Governance Committee has not adopted minimum criteria for consideration of a proposed candidate for nomination. The Board has determined that no independent director will serve for more than a total of 20 years in that capacity, unless otherwise determined by the Board, and that any independent director who reaches age 75 while serving as a director must retire from the Board effective at the end of his or her then current term, unless otherwise determined by the Board.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i w:val="1"/>
          <w:iCs w:val="1"/>
          <w:color w:val="auto"/>
        </w:rPr>
        <w:t>Compensation and Finance Committee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and Finance Committee of the Board of Directors is responsible for the management of our business and affairs with respect to the compensation of our employees. The responsibilities and duties of the Compensation and Finance Committee include the following:</w:t>
      </w:r>
    </w:p>
    <w:p>
      <w:pPr>
        <w:spacing w:after="0" w:line="162"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compensation of our Chief Executive Officer;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our Board regarding the compensation of all other executive officers;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our Board regarding, incentive compensation plans and equity-based plans, and where appropriate or required, recommend for approval by our stockholders, which includes the ability to adopt, amend and terminate such plans;</w:t>
      </w:r>
    </w:p>
    <w:p>
      <w:pPr>
        <w:spacing w:after="0" w:line="161"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incentive compensation plans and equity-based plans, including designating the employees to whom awards are to be granted, the amount of the award or equity to be granted and the terms and conditions applicable to each award or grant, subject to the provisions of each plan;</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our Board regarding, employment agreements and severance arrangements or plans, including any benefits to be provided in connection with a change in control, for our Chief Executive Officer and other executive officers, which includes the ability to adopt, amend and terminate such agreements, arrangements or plans;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our Board regarding, all employee benefit plans, which includes the ability to adopt, administer, amend and terminate such plans;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director compensation for service on our Board and Board committees and recommend any changes to our Board;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our Board with regard to the following matters:</w:t>
      </w:r>
    </w:p>
    <w:p>
      <w:pPr>
        <w:spacing w:after="0" w:line="22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capital plan, including capital allocation, funding and capital expenditures;</w:t>
      </w:r>
    </w:p>
    <w:p>
      <w:pPr>
        <w:spacing w:after="0" w:line="30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changes to our capital structure, including proposed equity and debt issuances, redemptions and repurchases;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ind w:left="1960" w:right="4260"/>
        <w:spacing w:after="0" w:line="629" w:lineRule="auto"/>
        <w:rPr>
          <w:sz w:val="20"/>
          <w:szCs w:val="20"/>
          <w:color w:val="auto"/>
        </w:rPr>
      </w:pPr>
      <w:r>
        <w:rPr>
          <w:rFonts w:ascii="Times New Roman" w:cs="Times New Roman" w:eastAsia="Times New Roman" w:hAnsi="Times New Roman"/>
          <w:sz w:val="17"/>
          <w:szCs w:val="17"/>
          <w:color w:val="auto"/>
        </w:rPr>
        <w:t>proposed credit facilities, letters of credit, borrowings and guarantees; any significant financial exposures or contingent liabilities;</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financial aspects of our corporate insurance programs.</w:t>
      </w:r>
    </w:p>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members of the Compensation and Finance Committee currently are Messrs. Yankus (Chair), Tupper and Singh and Ms. D’Andre. Our Board has adopted a written charter for the Compensation and Finance Committee. A copy of the charter is available on our website, </w:t>
      </w:r>
      <w:r>
        <w:rPr>
          <w:rFonts w:ascii="Times New Roman" w:cs="Times New Roman" w:eastAsia="Times New Roman" w:hAnsi="Times New Roman"/>
          <w:sz w:val="18"/>
          <w:szCs w:val="18"/>
          <w:u w:val="single" w:color="auto"/>
          <w:color w:val="auto"/>
        </w:rPr>
        <w:t>www.kingstonecompanies.com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and Finance Committee may form and delegate authority to subcommittees and may delegate authority to one or more designated members of the Compensation and Finance Committee. Our Chief Executive Officer assists the Compensation and Finance Committee from time to time by advising on a variety of compensation matters, such as assisting the Compensation and Finance Committee in determining appropriate salaries and bonuses for our executive officers. The Compensation and Finance Committee has the authority to consult with management and to engage the services of outside advisors, experts and others to assist it in its efforts.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as a whole is responsible for our risk oversight. Our executive officers address and discuss with our Board of Directors our risks and the manner in which we manage or mitigate such risks. While our Board of Directors has the ultimate responsibility for our risk oversight, our Board of Directors works in conjunction with its committees on certain aspects of its risk oversight responsibilities. In particular, our Corporate Sustainability and Risk Management Committee oversees and makes recommendations to our Board with regard to our overall approach to risks related to business operations, including insurance underwriting and claims; reinsurance; catastrophe risk and the impact of changing climate conditions; credit risk in insurance operations; and information technology, including cybersecurity. In addition, our Audit Committee focuses on financial reporting risks and related controls and procedures, and our Compensation and Finance Committee strives to create compensation practices that do not encourage excessive levels of risk taking that would be inconsistent with our strategies and objectives.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January 2019, Barry B. Goldstein has served as our Executive Chairman of the Board, having served from 2001 through 2018 as our Chairman of the Board. Mr. Goldstein served as our Chief Executive Officer from 2001 through 2018 and from July 2019 through September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March 2023, Timothy P. McFadden has served as our Lead Independent Director. In such capacity, Mr. McFadden has the following duties and responsibilities:</w:t>
      </w:r>
    </w:p>
    <w:p>
      <w:pPr>
        <w:spacing w:after="0" w:line="162" w:lineRule="exact"/>
        <w:rPr>
          <w:sz w:val="20"/>
          <w:szCs w:val="20"/>
          <w:color w:val="auto"/>
        </w:rPr>
      </w:pPr>
    </w:p>
    <w:p>
      <w:pPr>
        <w:ind w:left="1620" w:hanging="316"/>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 at meetings of the Board at which the Chairman of the Board is not present, including executive sessions of the independent directors;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as a liaison between the Chairman of the Board and the independent directors;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preview the information to be provided to the Board;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meeting agendas for the Board;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that there is sufficient time for discussion of all meeting agenda items;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 and lead the Board’s evaluation of the CEO;</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responsible for leading the Board’s annual self-assessment;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authority to call meetings of the independent directors;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stockholders, be available for consultation and direct communication.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Report of the Audit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overseeing the preparation of the financial statements of the Company as of December 31, 2023, and for the years ended December 31, 2023 and 2022, the Audit Committee met with management to review and discuss all financial statements prior to their issuance and to discuss significant accounting issues. Management advised the Audit Committee that all financial statements were prepared in accordance with generally accepted accounting principles, and the Audit Committee discussed the statements with management. The Audit Committee also discussed with Marcum LLP (“Marcum”), our outside auditors, the matters required to be discussed by Public Company Accounting Oversight Board’s Auditing Standard No. 1301, </w:t>
      </w: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Audit Committees</w:t>
      </w:r>
      <w:r>
        <w:rPr>
          <w:rFonts w:ascii="Times New Roman" w:cs="Times New Roman" w:eastAsia="Times New Roman" w:hAnsi="Times New Roman"/>
          <w:sz w:val="18"/>
          <w:szCs w:val="18"/>
          <w:color w:val="auto"/>
        </w:rPr>
        <w:t>, as currently in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received the written disclosures and the letter from Marcum required by applicable requirements of the Public Company Accounting Oversight Board regarding Marcum’s communications with the Audit Committee concerning independence and the Audit Committee discussed Marcum’s independence with Marcum.</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the basis of these reviews and discussions, the Audit Committee recommended to the Board of Directors that the audited financial statements be included in our Annual Report on Form 10-K for the fiscal year ended December 31, 2023, for filing with the Securities and Exchange Commission.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Floyd R. Tupper (chair)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William L. Yankus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Timothy P. McFadden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Meetings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held nine meetings during the fiscal year ended December 31,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of the Board of Directors held eight meetings during the fiscal year ended December 31,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held three meetings during the fiscal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of the Board of Directors held six meetings during the fiscal year ended December 31, 2023.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2023, all of our directors attended at least 75% of the aggregate of the total number of meetings of the Board and the total number of the meetings of the committees of the Board on which they served.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 formal policy regarding director attendance at our annual meeting of stockholders. However, all directors are encouraged to attend. None of our directors attended last year’s annual meeting of stockholders.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Board of Directors</w:t>
      </w:r>
    </w:p>
    <w:p>
      <w:pPr>
        <w:spacing w:after="0" w:line="22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Any security holder who wishes to communicate with our Board of Directors or a particular director should send the correspondence to the Board of Directors, Kingstone Companies, Inc., 15 Joys Lane, Kingston, New York 12401, Attention: Corporate Secretary. Any such communication so addressed will be forwarded by the Corporate Secretary to the Lead Independent Director, the members or a particular member of the Board, as the case may be.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Financial Expert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Mr. Tupper qualifies as an “audit committee financial expert,” as that term is defined in Item 407(d)(5) of Regulation S-K. Mr. Tupper is an “independent director” based on the definition of independence in Listing Rule 5605(a)(2) of The Nasdaq Stock Market.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16(a) Beneficial Ownership Reporting Compliance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16 of the Exchange Act requires that reports of beneficial ownership of common stock and changes in such ownership be filed with the SEC by Section 16 “reporting persons,” including directors, certain officers, holders of more than 10% of the outstanding common stock and certain trusts of which reporting persons are trustees. We are required to disclose in this proxy statement each reporting person whom we know to have failed to file any required reports under Section 16 on a timely basis during the fiscal year ended December 31, 2023. To our knowledge, based solely on a review of copies of Forms 3, 4 and 5 filed with the SEC and written representations that no other reports were required, during the fiscal year ended December 31, 2023, our officers, directors and 10% stockholders complied with all Section 16(a) filing requirements applicable to them, except that Ms. Golden filed two Forms 4 late (each reporting one transaction), Mr. Goldstein filed one Form 4 late (reporting one transaction), Ms. Chen filed one Form 4 late (reporting one transaction), Michelle Gage, our then Chief Accounting Officer, filed her Form 3 late and Ms. D’Andre filed one Form 4 late (reporting four transactions).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comprised of Meryl S. Golden, Barry B. Goldstein, Floyd R. Tupper, Timothy P. McFadden, William L. Yankus, Carla A. D’Andre, and Manmohan Singh. Our board of directors has determined that each of Messrs. Tupper, McFadden, Yankus and Singh and Ms. D’Andre is independent under applicable Nasdaq listing standards and federal securities rules and regulations.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members of our Board’s Audit Committee currently are Messrs. Tupper (Chair), Yankus and McFadden, each of whom is independent under applicable Nasdaq listing standards and federal securities rules and regulations on independence of Audit Committee members.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currently are Ms. D’Andre (Chair) and Messrs. McFadden, Tupper and Singh, each of whom is independent under applicable Nasdaq listing standards and federal securities rules and regulations on independence.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and Finance Committee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members of the Compensation and Finance Committee currently are Messrs. Yankus (Chair), Tupper and Singh and Ms. D’Andre, each of whom is independent under applicable Nasdaq listing standards and federal securities rules and regulations on independence.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all nominees.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APPROVAL OF 2024 EQUITY PARTICIPATION PLAN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adopted, subject to stockholder approval, the 2024 Equity Participation Plan (the “Plan”), pursuant to which 1,000,000 shares of common stock are authorized for issuance. The Board of Directors recommends that stockholders approve the adoption of the Plan.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 provides for the grant of stock options, stock appreciation rights, and stock bonuses to participating employees. The Plan plays an important role in our efforts to attract and retain employees of outstanding ability and to align their interests with those of the stockholders through increased stock ownership. As discussed below, the Plan is also designed to provide incentives to our non-employee directors, consultants and advisors.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following statements include summaries of certain provisions of the Plan. The statements do not purport to be complete and are qualified in their entirety by reference to the provisions of the Plan, a copy of which is available at our offices and has been included as an exhibit to our Current Report on Form 8-K filed with the Securities and Exchange Commission on May 16, 2024.</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purpose of the Plan is to advance our interests by inducing individuals or entities of outstanding ability and potential to join and remain with, or provide consulting or advisory services to, us by encouraging and enabling eligible employees, non-employee directors, consultants and advisors to acquire proprietary interests in our company, and by providing the participating employees, non-employee directors, consultants and advisors with an additional incentive to promote our success.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Plan provides for its administration by our Board or by a committee (the “Committee”) consisting of at least two persons chosen by the Board each of whom is intended to be an “outside independent director” to the extent required by the rules and regulations of any established stock market exchange or national market system, including, without limitation, The Nasdaq Stock Market. The following discussion of the Plan assumes that the Plan is administered by the Committee.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Committee has authority to select from the group of eligible employees, non-employee directors, consultants and advisors the individuals or entities to whom awards will be granted under the Plan, and to determine the times at which awards will be granted and the terms of such grants, subject to certain restrictions as set forth in the Plan. The Committee is authorized to interpret the Plan and the interpretation and construction by the Committee of any provision of the Plan or of any award granted under the Plan shall be final and conclusive. The receipt of awards under the Plan by any members of the Committee shall not preclude their vote on any matters in connection with the administration or interpretation of the Plan.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Subject to certain limitations as set forth in the Plan, options to purchase shares may be granted thereunder to persons or entities who, in the case of incentive stock options, are employees of our company or, in the case of nonstatutory stock options, are employees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of, or certain consultants or advisors to, our company. Subject to certain limitations as set forth in the Plan, stock appreciation rights and stock bonus awards may be granted thereunder to persons or entities who are employees or non-employee directors of, or certain consultants or advisors to, us.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14, 2024, 93 employees, our six non-employee directors, and persons providing certain consulting services to us would be eligible to receive awards under the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Nature of Options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may grant options under the Plan which are intended to either qualify as “incentive stock options” within the meaning of Section 422 of the Internal Revenue Code of 1986 (the “Code”) or not so qualify. We refer to options that do not so qualify as “nonstatutory stock options.” The Federal income tax consequences relating to the grant and exercise of incentive stock options and nonstatutory stock options are described below under “Federal Income Tax Consequences.”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 Price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option price of the shares subject to an incentive stock option or a nonstatutory stock option may not be less than the fair market value (as such term is defined in the Plan) of the common stock on the date upon which such option is granted. In addition, in the case of a recipient of an incentive stock option who, at the time the option is granted, owns more than 10% of the total combined voting power of all classes of our stock or of a parent or of any of our subsidiaries, the option price of the shares subject to such option must be at least 110% of the fair market value of the common stock on the date upon which such option is granted.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24, 2024, the last reported sale price for our common stock, as reported by The Nasdaq Stock Market, was $4.99 per share.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Exercise of Options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option granted under the Plan shall be exercised by the delivery by the holder to our Secretary at our principal office of a written notice of the number of shares with respect to which the option is being exercised. The notice must be accompanied, or followed within ten days, by payment of the full option price of such shares which must be made by the holder’s delivery of (i) a check in such amount, (ii) previously acquired common stock, the fair market value of which shall be determined as of the date of exercise, or (iii) if provided for in a stock option agreement pursuant to which the option is granted, and subject to applicable law, a check in an amount equal to the par value of the common stock being acquired and a promissory note in an amount equal to the balance of the exercise price, or a combination of (i), (ii) and (iii). Alternatively, if provided for in the award agreement, the holder may elect to have us reduce the number of shares otherwise issuable by a number of shares having a fair market value equal to the exercise price of the option being exercised.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Duration of Options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incentive stock option granted under the Plan shall be exercisable after the expiration of ten years from the date of its grant. However, if an incentive stock option is granted to a 10% stockholder, the option shall not be exercisable after the expiration of five years from the date of its grant.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Nonstatutory stock options granted under the Plan shall be exercisable for a period of up to ten years from the date of their grant.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Non-Transferability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Options granted under the Plan are not transferable otherwise than by will or the laws of descent and distribution and such options are exercisable, during a holder’s lifetime, only by the grantee; provided, however, that a nonstatutory stock option granted under the Plan may, upon the approval of the Committee be transferred in whole or in part during a grantee’s lifetime to certain family members of a grantee through a gift or domestic relations offer.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Death, Disability or Termination of Employment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of the agreement pursuant to which the options are granted, if the employment of an employee or the services of a non-employee director, consultant or advisor shall terminate other than by reason of death or disability, such option may be exercised, to the extent then exercisable, at any time within three months after such termination, but in no event after the expiration of the option.</w:t>
      </w:r>
    </w:p>
    <w:p>
      <w:pPr>
        <w:spacing w:after="0" w:line="176"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Subject to the terms of the agreement pursuant to which the options are granted, if an option holder under the Plan (i) dies while employed by us or while serving as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of, or consultant or advisor to, us, or (ii) dies within three months after the termination of his or her employment or services for any reason, then such option may be exercised, to the extent then exercisable, by the estate of the employee,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consultant or advisor, or by a person who acquired such option by bequest or inheritance from the deceased option holder, at any time within one year after his or her death.</w:t>
      </w:r>
    </w:p>
    <w:p>
      <w:pPr>
        <w:spacing w:after="0" w:line="201"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Subject to the terms of the stock option agreement pursuant to which the options are granted, if the holder of an option under the Plan ceases employment or services because of permanent and total disability (within the meaning of Section 22(e)(3) of the Code) while employed by, or while serving as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of, or consultant or advisor to, us, then such option may be exercised, to the extent then exercisable, at any time within one year after his termination of employment, termination of directorship, or termination of consulting or advisory arrangement or agreement due to the disability. Notwithstanding the foregoing, in the event we are a party to an employment, consulting or advisory agreement with a holder of an option and such agreement provides for termination of employment or engagement based upon a disability or other incapacity, then, for such holder, a termination of employment or engagement for disability or other incapacity pursuant to the provisions thereof shall be considered to be a termination based upon permanent and total disability.</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optionee is not an employee or non-employee director of, or a consultant or advisor to, our company as of a particular vesting date for an option due to death or termination of employment, termination of directorship or termination of consulting or advisory services due to permanent and total disability, then the optionee shall be deemed to have remained an employee or non-employee director of, or consultant or advisor to, us through the vesting date next following the date of death or date of termination of employment, termination of directorship or termination of consulting or advisory services due to permanent and total disability. In the event of a change of control (as defined in the Plan), all outstanding options shall become fully vested.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Committee may grant stock appreciation rights (an “SAR”) to such persons eligible under the Plan as selected from time to time. SARs shall be granted at such times, in such amounts and under such other terms and conditions as the Committee shall determine. An SAR entitles the grantee to exercise the SAR, in whole or in part, in exchange for payment of shares of our common stock, cash or a combination thereof, as determined by the Committee, equal in value to the excess of the fair market value of the shares of our common stock underlying the SAR, determined on the date of exercise, over the fair market value of our common stock underlying the SAR on the date of grant.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SAR granted under the Plan shall be exercisable after the expiration of ten years from the date of its grant.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 Bonus Grants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Committee may grant stock bonus awards to such persons eligible under the Plan as the Committee may select from time to time. Stock bonus awards shall be granted at such times, in such amounts and under such other terms and conditions as the Committee shall determine. Shares granted pursuant to a stock bonus shall vest as determined by the Committee, subject to certain restrictions as set forth in the Plan. Except as otherwise provided in the award agreement, a grantee shall forfeit the right to receive all shares not previously vested, if any, at such time as the grantee is no longer employed by, or serving as a director of, or rendering consulting or advisory services to, us or one of our parents or subsidiaries; however, if a stock bonus grantee is not an employee or non-employee director of, or a consultant or advisor to, our company as of a particular vesting date due to death or termination of employment, termination of directorship or termination of consulting or advisory services due to permanent and total disability, then the stock bonus grantee shall be deemed to have remained an employee or non-employee director of, or consultant or advisor to, us through the vesting date next following the date of death or date of termination of employment, termination or directorship or termination of consulting or advisory services due to permanent and total disability. In the event of a change of control, all outstanding stock bonus awards shall vest.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 (but not the options, SARs or stock bonuses previously granted thereunder) shall terminate on May 10, 2034, ten years from the date that the Plan was originally adopted by the Board. Subject to certain limitations, the Plan may be amended or modified from time to time or terminated at an earlier date by the Board or by the stockholders.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is intended only as a brief summary of the federal income tax rules relevant to stock options granted under the Plan. These rules are highly technical and subject to change. The following discussion is limited to the federal income tax rules relevant to us and to the individuals who are citizens or residents of the United States. The discussion does not address state, local or foreign income tax consequences.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Nonstatutory Stock Options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Code and the Treasury Department Regulations, a nonstatutory stock option does not ordinarily have a readily ascertainable fair market value when it is granted. This rule will apply to our grant of nonstatutory stock options. Consequently, the grant of a nonstatutory stock option to an optionee will result in neither income to him or her nor a deduction to us. Instead, the optionee will recognize compensation income at the time he or she exercises the nonstatutory stock option in an amount equal to the excess, if any, of the then fair market value of the shares transferred to the optionee over the option price. Subject to the applicable provisions of the Code and the Treasury Department Regulations regarding withholding of tax, a deduction will be allowable to us in the year of exercise in the same amount as is includable in the optionee’s income.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determining the optionee’s gain or loss on the sale or other disposition of the shares transferred to him or her upon exercise of a nonstatutory stock option, the optionee’s basis in such shares will be the sum of the optionee’s option price plus the amount of compensation income recognized by him or her on exercise. Such gain or loss will be capital gain or loss and will be long-term or short-term depending upon whether the optionee held the shares for more than one year or one year or less. No part of any such gain will be an item of tax preference for purposes of the alternative minimum tax.</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Incentive Stock Options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Options granted under the Plan which qualify as incentive stock options under Section 422 of the Code will be treated as follows: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to the extent that the alternative minimum tax rule described below applies, no tax consequences will result to the optionee or us from the grant of an incentive stock option to, or the exercise of an incentive stock option by, the optionee. Instead, the optionee will recognize gain or loss when he or she sells or disposes of the shares transferred to him or her upon exercise of the incentive stock option. For purposes of determining such gain or loss, the optionee’s basis in such shares will be his or her option price. If the date of sale or disposition of such shares is at least two years after the date of the grant of the incentive stock option, and at least one year after the transfer of the shares to the optionee upon exercise of the incentive stock option, the optionee will realize long-term capital gain treatment upon their sale or disposition.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Generally, we will not be allowed a deduction with respect to an incentive stock option. However, if an optionee fails to meet the foregoing holding period requirements (a so-called disqualifying disposition), any gain recognized by the optionee upon the sale or disposition of the shares transferred to him or her upon exercise of an incentive stock option will be treated in the year of such sale or disposition as ordinary income, rather than capital gain, to the extent of the excess, if any, of the fair market value of the shares at the time of exercise (or, if less, in certain cases the amount realized on such sale or disposition) over their option price, and in that case we will be allowed a corresponding deduction.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alternative minimum tax, the amount, if any, by which the fair market value of the shares transferred to the optionee upon such exercise exceeds the option price will be included in determining the optionee’s alternative minimum taxable income. In addition, for purposes of such tax, the basis of such shares will include such excess.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the aggregate fair market value (determined at the time the option is granted) of the stock with respect to which incentive stock options are exercisable for the first time by the optionee during any calendar year exceeds $100,000, such options will not be incentive stock options. In this regard, upon the exercise of an option which is deemed, under the rule described in the preceding sentence, to be in part an incentive stock option and in part a nonstatutory stock option, under existing Internal Revenue Service guidelines, we may designate which shares issued upon exercise of such options are incentive stock options and which shares are nonstatutory stock options. In the absence of such designation, a pro rata portion of each share issued is to be treated as issued pursuant to the exercise of an incentive stock option and the balance of each share treated as issued pursuant to the exercise of a nonstatutory stock option.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benefits that will be awarded or paid under the Plan are not currently determinable. Awards granted under the Plan are within the discretion of the Committee, and the Committee has not determined future awards or who might receive them; however, the Committee has granted to the Chief Executive Officer the authority to issue up to 162,000 shares of common stock under the Plan to our senior leadership team as restricted stock bonuses based on our 2024 performance.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approval of our 2024 Equity Participation Plan requires the affirmative vote of stockholders who hold a majority of the shares of common stock present in person or represented by proxy at the meeting and entitled to vote.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2024 Equity Participation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PROPOSAL 3: RATIFICATION OF SELECTION OF INDEPENDENT REGISTERED PUBLIC ACCOUNTING FIRM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has selected Marcum LLP as our independent registered public accounting firm to examine our financial statements for the year ending December 31, 2024.</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ratification by stockholders is not required by our organizational documents or other applicable law, our Board of Directors has determined that requesting ratification by stockholders of the appointment of Marcum as our independent registered public accounting firm for the fiscal year ending December 31, 2024 is a matter of good corporate practice. If stockholders do not ratify the selection, the Audit Committee may reconsider whether or not to retain Marcum, but may still determine to retain them. Even if the selection is ratified, the Audit Committee, in its discretion, may change the appointment at any time during the year if it determines that such a change would be in the best interests of us and our stockholders.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Marcum has served as our independent registered public accountants with respect to each fiscal year since the year ended December 31, 2013.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not expected that a representative of Marcum will attend the meeting.</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fees billed to us by Marcum LLP, our independent auditors, for professional services rendered for the fiscal years ended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Fiscal 2023</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Fiscal 2022</w:t>
            </w:r>
          </w:p>
        </w:tc>
      </w:tr>
      <w:tr>
        <w:trPr>
          <w:trHeight w:val="245"/>
        </w:trPr>
        <w:tc>
          <w:tcPr>
            <w:tcW w:w="2840" w:type="dxa"/>
            <w:vAlign w:val="bottom"/>
          </w:tcPr>
          <w:p>
            <w:pPr>
              <w:spacing w:after="0"/>
              <w:rPr>
                <w:sz w:val="21"/>
                <w:szCs w:val="21"/>
                <w:color w:val="auto"/>
              </w:rPr>
            </w:pPr>
          </w:p>
        </w:tc>
        <w:tc>
          <w:tcPr>
            <w:tcW w:w="5940" w:type="dxa"/>
            <w:vAlign w:val="bottom"/>
            <w:gridSpan w:val="3"/>
          </w:tcPr>
          <w:p>
            <w:pPr>
              <w:jc w:val="right"/>
              <w:ind w:right="3896"/>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Fees</w:t>
            </w:r>
          </w:p>
        </w:tc>
      </w:tr>
      <w:tr>
        <w:trPr>
          <w:trHeight w:val="216"/>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5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326,035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275,010</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Tax Fees(2)</w:t>
            </w:r>
          </w:p>
        </w:tc>
        <w:tc>
          <w:tcPr>
            <w:tcW w:w="5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Audit-Related Fees(3)</w:t>
            </w:r>
          </w:p>
        </w:tc>
        <w:tc>
          <w:tcPr>
            <w:tcW w:w="5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5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4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326,035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275,010</w:t>
            </w:r>
          </w:p>
        </w:tc>
        <w:tc>
          <w:tcPr>
            <w:tcW w:w="100" w:type="dxa"/>
            <w:vAlign w:val="bottom"/>
            <w:shd w:val="clear" w:color="auto" w:fill="CCEEFF"/>
          </w:tcPr>
          <w:p>
            <w:pPr>
              <w:spacing w:after="0"/>
              <w:rPr>
                <w:sz w:val="18"/>
                <w:szCs w:val="18"/>
                <w:color w:val="auto"/>
              </w:rPr>
            </w:pP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left="880" w:hanging="545"/>
        <w:spacing w:after="0" w:line="258"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services rendered for the audit of our consolidated financial statements and review of our condensed consolidated financial statements included in our Quarterly Reports on Form 10-Q, services rendered in connection with the filing of Form S-8, additional services rendered in connection with the filing of the September 30, 2023 Quarterly Report on Form 10-Q, services rendered in response to due diligence requests in connection with the refinancing of the 2017 Notes, responses in connection with a New York State Department of Financial Services examination of KICO, and services provided in connection with other statutory or regulatory filings.</w:t>
      </w:r>
    </w:p>
    <w:p>
      <w:pPr>
        <w:spacing w:after="0" w:line="183" w:lineRule="exact"/>
        <w:rPr>
          <w:rFonts w:ascii="Times New Roman" w:cs="Times New Roman" w:eastAsia="Times New Roman" w:hAnsi="Times New Roman"/>
          <w:sz w:val="18"/>
          <w:szCs w:val="18"/>
          <w:color w:val="auto"/>
        </w:rPr>
      </w:pPr>
    </w:p>
    <w:p>
      <w:pPr>
        <w:ind w:left="880" w:hanging="545"/>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Marcum did not provide any tax services during the fiscal year.</w:t>
      </w:r>
    </w:p>
    <w:p>
      <w:pPr>
        <w:spacing w:after="0" w:line="225" w:lineRule="exact"/>
        <w:rPr>
          <w:rFonts w:ascii="Times New Roman" w:cs="Times New Roman" w:eastAsia="Times New Roman" w:hAnsi="Times New Roman"/>
          <w:sz w:val="18"/>
          <w:szCs w:val="18"/>
          <w:color w:val="auto"/>
        </w:rPr>
      </w:pPr>
    </w:p>
    <w:p>
      <w:pPr>
        <w:ind w:left="880" w:hanging="545"/>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Marcum did not provide any “Audit-Related” services during the fiscal year.</w:t>
      </w:r>
    </w:p>
    <w:p>
      <w:pPr>
        <w:spacing w:after="0" w:line="225" w:lineRule="exact"/>
        <w:rPr>
          <w:rFonts w:ascii="Times New Roman" w:cs="Times New Roman" w:eastAsia="Times New Roman" w:hAnsi="Times New Roman"/>
          <w:sz w:val="18"/>
          <w:szCs w:val="18"/>
          <w:color w:val="auto"/>
        </w:rPr>
      </w:pPr>
    </w:p>
    <w:p>
      <w:pPr>
        <w:ind w:left="880" w:hanging="545"/>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Marcum did not provide any other services during the fiscal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ratification of the selection of Marcum LLP as our independent registered public accounting firm for the fiscal year ending December 31, 2024 requires the affirmative vote of stockholders who hold a majority of the shares of common stock present in person or represented by proxy at the meeting and entitled to vote.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selection of Marcum LLP as our independent registered public accounting firm for the fiscal year ending December 31, 2024.</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4: ADVISORY VOTE ON THE COMPENSATION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COMPANY’S NAMED EXECUTIVE OFFICERS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rules of the SEC, we are providing our stockholders with the opportunity to cast a non-binding advisory vote on the compensation of our named executive officers as disclosed pursuant to Item 402(m) through (q) of Regulation S-K, including the compensation tables and narrative discussion in this proxy statement.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structure established by our Compensation and Finance Committee is designed to attract and retain motivated executives who substantially contribute to our long-term success and the creation of stockholder value, to reward executives when we perform financially or operationally well, to align the financial interests of our executives with the interests of our stockholders, and to be competitive within our industry. We believe that our philosophy and practices have resulted in executive compensation decisions that are appropriate and that have benefited us over time.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requesting stockholder approval of the compensation of our executive officers as disclosed in this proxy statement. This proposal, commonly known as a “say-on-pay” proposal, gives our stockholders the opportunity to express their views on our executive officers’ compensation. Because the stockholder vote is advisory, it is not binding on us or our Board of Directors. However, our Board and the Compensation and Finance Committee, which is responsible for designing and administering our executive compensation program, value the opinions that our stockholders express in their votes. The Compensation and Finance Committee will review the results of the stockholder votes on this “say-on-pay” proposal and consider whether to recommend any changes or modifications to our executive compensation policies and practices as a result of such votes.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through the following resolution:</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stockholders approve the compensation paid to our named executive officers, as disclosed pursuant to Item 402 of Regulation S-K, including the compensation tables and narrative discussion in this proxy statement.”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affirmative vote of the stockholders who hold a majority of our shares of common stock present in person or represented by proxy at the meeting and entitled to vote is required for approval of this proposal.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compensation of our named executive officers as disclosed in this proxy statement.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 proposals intended to be presented at our next annual meeting of stockholders pursuant to the provisions of Rule 14a-8 of the Securities and Exchange Commission, promulgated under the Exchange Act, must be received at our offices in Kingston, New York by February 27, 2025, for inclusion in our proxy statement and form of proxy relating to such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requirements with respect to stockholder proposals and stockholder nominees to our Board of Directors are included in our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 Proposals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for a stockholder to make a proposal at an annual meeting of stockholders, under our By-Laws, timely notice must be received by us in advance of the meeting. To be timely, the proposal must be received by our Secretary at our principal executive offices (as provided below) on a date which is not less than 60 days nor more than 90 days prior to the date which is one year from the date of the mailing of the notice regarding the availability of proxy materials for the prior year’s annual meeting of stockholders. If during the prior year we did not hold an annual meeting, or if the date of the meeting for which a stockholder intends to submit a proposal has changed by more than 30 days from the date of the meeting in the prior year, then the notice must be received a reasonable time before we mail the notice regarding the availability of proxy materials for the current year. A stockholder’s notice must set forth as to each matter the stockholder proposes to bring before the annual meeting certain information regarding the proposal, including the following:</w:t>
      </w:r>
    </w:p>
    <w:p>
      <w:pPr>
        <w:spacing w:after="0" w:line="189" w:lineRule="exact"/>
        <w:rPr>
          <w:sz w:val="20"/>
          <w:szCs w:val="20"/>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 and the reasons for conducting such business at such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proposing such business;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our shares which are beneficially owned by such stockholder;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such stockholder in such business.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 Nominees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for a stockholder to nominate a candidate for director, under our By-Laws, timely notice of the nomination must be received by us in advance of the meeting. To be timely, the notice must be received at our principal executive offices (as provided below) not less than 60 days nor more than 90 days prior to the meeting; however, if less than 70 days’ notice of the date of the meeting is given to stockholders and public disclosure of the meeting date, pursuant to a press release, is either not made at all or is made less than 70 days prior to the meeting date, notice by a stockholder to be timely made must be so received no later than the close of business on the tenth day following the earlier of the following:</w:t>
      </w:r>
    </w:p>
    <w:p>
      <w:pPr>
        <w:spacing w:after="0" w:line="183" w:lineRule="exact"/>
        <w:rPr>
          <w:sz w:val="20"/>
          <w:szCs w:val="20"/>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on which the notice of the date of the meeting was made available to stockholders,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on which such public disclosure of the meeting date was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 sending the notice of nomination must describe various matters, including such information as:</w:t>
      </w:r>
    </w:p>
    <w:p>
      <w:pPr>
        <w:spacing w:after="0" w:line="225"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and residential addresses, occupation or employment and shares held by the nominee;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nominee required to be disclosed in a proxy statement;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number of shares held by the stockholder.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requirements are separate from and in addition to the requirements a stockholder must meet to have a proposal included in our proxy statement. In addition, to comply with the universal proxy rules, stockholders who intend to solicit proxies in support of director nominees other than the Company’s nominees must comply with the additional requirements of SEC Rule 14a-19(b).</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notice given pursuant to the foregoing requirements must be sent to our Corporate Secretary at 15 Joys Lane, Kingston, New York 12401.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foregoing is only a summary of the provisions of our By-Laws that relate to stockholder proposals and stockholder nominations for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stockholder desiring a copy of our By-Laws will be furnished one without charge upon receipt of a written request therefor.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accompanying Notice of Annual Meeting of Stockholders provides for the transaction of such other business as may properly come before the meeting, we have no knowledge of any matters to be presented at the meeting other than those listed as Proposals 1, 2, 3, and 4 in the notice. However, the enclosed proxy gives discretionary authority in the event that any other matters should be presented.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proxy statement is accompanied by a copy of our Annual Report on Form 10-K for the year ended December 31, 2023 (excluding 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charge a fee equal to our reasonable expenses in furnishing the exhibits.</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Meryl S. Golden</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Kingston,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38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858000" cy="8872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lowerRoman"/>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decimal"/>
      <w:start w:val="4"/>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decimal"/>
      <w:start w:val="6"/>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lvl w:ilvl="1">
      <w:lvlJc w:val="left"/>
      <w:lvlText w:val="(%2)"/>
      <w:numFmt w:val="decimal"/>
      <w:start w:val="1"/>
    </w:lvl>
  </w:abstractNum>
  <w:abstractNum w:abstractNumId="15">
    <w:nsid w:val="2443A858"/>
    <w:multiLevelType w:val="hybridMultilevel"/>
    <w:lvl w:ilvl="0">
      <w:lvlJc w:val="left"/>
      <w:lvlText w:val="(%1)"/>
      <w:numFmt w:val="decimal"/>
      <w:start w:val="4"/>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lvl w:ilvl="1">
      <w:lvlJc w:val="left"/>
      <w:lvlText w:val=" "/>
      <w:numFmt w:val="bullet"/>
      <w:start w:val="1"/>
    </w:lvl>
  </w:abstractNum>
  <w:abstractNum w:abstractNumId="20">
    <w:nsid w:val="79838CB2"/>
    <w:multiLevelType w:val="hybridMultilevel"/>
    <w:lvl w:ilvl="0">
      <w:lvlJc w:val="left"/>
      <w:lvlText w:val="•"/>
      <w:numFmt w:val="bullet"/>
      <w:start w:val="1"/>
    </w:lvl>
    <w:lvl w:ilvl="1">
      <w:lvlJc w:val="left"/>
      <w:lvlText w:val=" "/>
      <w:numFmt w:val="bullet"/>
      <w:start w:val="1"/>
    </w:lvl>
  </w:abstractNum>
  <w:abstractNum w:abstractNumId="21">
    <w:nsid w:val="4353D0CD"/>
    <w:multiLevelType w:val="hybridMultilevel"/>
    <w:lvl w:ilvl="0">
      <w:lvlJc w:val="left"/>
      <w:lvlText w:val=" "/>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2024-06-27T16:32:43Z</dcterms:created>
  <dcterms:modified xsi:type="dcterms:W3CDTF">2024-06-27T16:32:43Z</dcterms:modified>
</cp:coreProperties>
</file>