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328930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405765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3820" w:right="1640" w:hanging="3812"/>
        <w:spacing w:after="0" w:line="493" w:lineRule="auto"/>
        <w:tabs>
          <w:tab w:leader="none" w:pos="46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540" w:right="1620" w:hanging="3532"/>
        <w:spacing w:after="0" w:line="500" w:lineRule="auto"/>
        <w:tabs>
          <w:tab w:leader="none" w:pos="46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_________to _________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0-1665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KINGSTONE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3260" w:type="dxa"/>
            <w:vAlign w:val="bottom"/>
          </w:tcPr>
          <w:p>
            <w:pPr>
              <w:jc w:val="center"/>
              <w:ind w:left="930"/>
              <w:spacing w:after="0"/>
              <w:rPr>
                <w:sz w:val="20"/>
                <w:szCs w:val="20"/>
                <w:color w:val="auto"/>
              </w:rPr>
            </w:pPr>
            <w:r>
              <w:rPr>
                <w:rFonts w:ascii="Arial" w:cs="Arial" w:eastAsia="Arial" w:hAnsi="Arial"/>
                <w:sz w:val="18"/>
                <w:szCs w:val="18"/>
                <w:b w:val="1"/>
                <w:bCs w:val="1"/>
                <w:color w:val="auto"/>
                <w:w w:val="91"/>
              </w:rPr>
              <w:t>Delaware</w:t>
            </w:r>
          </w:p>
        </w:tc>
        <w:tc>
          <w:tcPr>
            <w:tcW w:w="6280" w:type="dxa"/>
            <w:vAlign w:val="bottom"/>
            <w:gridSpan w:val="5"/>
          </w:tcPr>
          <w:p>
            <w:pPr>
              <w:jc w:val="center"/>
              <w:ind w:left="1890"/>
              <w:spacing w:after="0"/>
              <w:rPr>
                <w:sz w:val="20"/>
                <w:szCs w:val="20"/>
                <w:color w:val="auto"/>
              </w:rPr>
            </w:pPr>
            <w:r>
              <w:rPr>
                <w:rFonts w:ascii="Arial" w:cs="Arial" w:eastAsia="Arial" w:hAnsi="Arial"/>
                <w:sz w:val="18"/>
                <w:szCs w:val="18"/>
                <w:b w:val="1"/>
                <w:bCs w:val="1"/>
                <w:color w:val="auto"/>
                <w:w w:val="89"/>
              </w:rPr>
              <w:t>36-2476480</w:t>
            </w:r>
          </w:p>
        </w:tc>
      </w:tr>
      <w:tr>
        <w:trPr>
          <w:trHeight w:val="195"/>
        </w:trPr>
        <w:tc>
          <w:tcPr>
            <w:tcW w:w="3260" w:type="dxa"/>
            <w:vAlign w:val="bottom"/>
            <w:tcBorders>
              <w:top w:val="single" w:sz="8" w:color="auto"/>
            </w:tcBorders>
          </w:tcPr>
          <w:p>
            <w:pPr>
              <w:jc w:val="center"/>
              <w:ind w:left="930"/>
              <w:spacing w:after="0" w:line="195" w:lineRule="exact"/>
              <w:rPr>
                <w:sz w:val="20"/>
                <w:szCs w:val="20"/>
                <w:color w:val="auto"/>
              </w:rPr>
            </w:pPr>
            <w:r>
              <w:rPr>
                <w:rFonts w:ascii="Arial" w:cs="Arial" w:eastAsia="Arial" w:hAnsi="Arial"/>
                <w:sz w:val="18"/>
                <w:szCs w:val="18"/>
                <w:color w:val="auto"/>
                <w:w w:val="92"/>
              </w:rPr>
              <w:t>(State or other jurisdiction of</w:t>
            </w:r>
          </w:p>
        </w:tc>
        <w:tc>
          <w:tcPr>
            <w:tcW w:w="7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000" w:type="dxa"/>
            <w:vAlign w:val="bottom"/>
            <w:tcBorders>
              <w:top w:val="single" w:sz="8" w:color="auto"/>
            </w:tcBorders>
          </w:tcPr>
          <w:p>
            <w:pPr>
              <w:jc w:val="center"/>
              <w:ind w:right="21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3260" w:type="dxa"/>
            <w:vAlign w:val="bottom"/>
          </w:tcPr>
          <w:p>
            <w:pPr>
              <w:jc w:val="center"/>
              <w:ind w:left="930"/>
              <w:spacing w:after="0"/>
              <w:rPr>
                <w:sz w:val="20"/>
                <w:szCs w:val="20"/>
                <w:color w:val="auto"/>
              </w:rPr>
            </w:pPr>
            <w:r>
              <w:rPr>
                <w:rFonts w:ascii="Arial" w:cs="Arial" w:eastAsia="Arial" w:hAnsi="Arial"/>
                <w:sz w:val="18"/>
                <w:szCs w:val="18"/>
                <w:color w:val="auto"/>
                <w:w w:val="92"/>
              </w:rPr>
              <w:t>incorporation or organization)</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0" w:type="dxa"/>
            <w:vAlign w:val="bottom"/>
          </w:tcPr>
          <w:p>
            <w:pPr>
              <w:jc w:val="center"/>
              <w:ind w:right="21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3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540" w:type="dxa"/>
            <w:vAlign w:val="bottom"/>
            <w:gridSpan w:val="4"/>
          </w:tcPr>
          <w:p>
            <w:pPr>
              <w:jc w:val="center"/>
              <w:ind w:right="3930"/>
              <w:spacing w:after="0"/>
              <w:rPr>
                <w:sz w:val="20"/>
                <w:szCs w:val="20"/>
                <w:color w:val="auto"/>
              </w:rPr>
            </w:pPr>
            <w:r>
              <w:rPr>
                <w:rFonts w:ascii="Arial" w:cs="Arial" w:eastAsia="Arial" w:hAnsi="Arial"/>
                <w:sz w:val="18"/>
                <w:szCs w:val="18"/>
                <w:b w:val="1"/>
                <w:bCs w:val="1"/>
                <w:color w:val="auto"/>
                <w:w w:val="88"/>
              </w:rPr>
              <w:t>15 Joys Lane</w:t>
            </w:r>
          </w:p>
        </w:tc>
      </w:tr>
      <w:tr>
        <w:trPr>
          <w:trHeight w:val="194"/>
        </w:trPr>
        <w:tc>
          <w:tcPr>
            <w:tcW w:w="3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4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91"/>
              </w:rPr>
              <w:t>Kingston, NY 12401</w:t>
            </w:r>
          </w:p>
        </w:tc>
        <w:tc>
          <w:tcPr>
            <w:tcW w:w="4000" w:type="dxa"/>
            <w:vAlign w:val="bottom"/>
          </w:tcPr>
          <w:p>
            <w:pPr>
              <w:spacing w:after="0"/>
              <w:rPr>
                <w:sz w:val="16"/>
                <w:szCs w:val="16"/>
                <w:color w:val="auto"/>
              </w:rPr>
            </w:pPr>
          </w:p>
        </w:tc>
      </w:tr>
      <w:tr>
        <w:trPr>
          <w:trHeight w:val="237"/>
        </w:trPr>
        <w:tc>
          <w:tcPr>
            <w:tcW w:w="3260" w:type="dxa"/>
            <w:vAlign w:val="bottom"/>
          </w:tcPr>
          <w:p>
            <w:pPr>
              <w:spacing w:after="0"/>
              <w:rPr>
                <w:sz w:val="20"/>
                <w:szCs w:val="20"/>
                <w:color w:val="auto"/>
              </w:rPr>
            </w:pPr>
          </w:p>
        </w:tc>
        <w:tc>
          <w:tcPr>
            <w:tcW w:w="6280" w:type="dxa"/>
            <w:vAlign w:val="bottom"/>
            <w:gridSpan w:val="5"/>
          </w:tcPr>
          <w:p>
            <w:pPr>
              <w:jc w:val="center"/>
              <w:ind w:right="3170"/>
              <w:spacing w:after="0"/>
              <w:rPr>
                <w:sz w:val="20"/>
                <w:szCs w:val="20"/>
                <w:color w:val="auto"/>
              </w:rPr>
            </w:pPr>
            <w:r>
              <w:rPr>
                <w:rFonts w:ascii="Arial" w:cs="Arial" w:eastAsia="Arial" w:hAnsi="Arial"/>
                <w:sz w:val="18"/>
                <w:szCs w:val="18"/>
                <w:b w:val="1"/>
                <w:bCs w:val="1"/>
                <w:color w:val="auto"/>
                <w:w w:val="88"/>
              </w:rPr>
              <w:t>(Address of principal executive offices)</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(845) 802-7900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3620" w:type="dxa"/>
            <w:vAlign w:val="bottom"/>
            <w:tcBorders>
              <w:top w:val="single" w:sz="8" w:color="auto"/>
              <w:left w:val="single" w:sz="8" w:color="auto"/>
              <w:right w:val="single" w:sz="8" w:color="auto"/>
            </w:tcBorders>
          </w:tcPr>
          <w:p>
            <w:pPr>
              <w:spacing w:after="0"/>
              <w:rPr>
                <w:sz w:val="19"/>
                <w:szCs w:val="19"/>
                <w:color w:val="auto"/>
              </w:rPr>
            </w:pPr>
          </w:p>
        </w:tc>
        <w:tc>
          <w:tcPr>
            <w:tcW w:w="3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w:t>
            </w:r>
          </w:p>
        </w:tc>
        <w:tc>
          <w:tcPr>
            <w:tcW w:w="4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4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37"/>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KINS</w:t>
            </w:r>
          </w:p>
        </w:tc>
        <w:tc>
          <w:tcPr>
            <w:tcW w:w="4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1"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80" w:type="dxa"/>
            <w:vAlign w:val="bottom"/>
          </w:tcPr>
          <w:p>
            <w:pPr>
              <w:ind w:left="8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16, 2022, there were 10,645,098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237490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KINGSTONE COMPANIES,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4"/>
          <w:szCs w:val="24"/>
          <w:color w:val="auto"/>
        </w:rPr>
      </w:pPr>
    </w:p>
    <w:p>
      <w:pPr>
        <w:ind w:left="10440"/>
        <w:spacing w:after="0"/>
        <w:rPr>
          <w:sz w:val="20"/>
          <w:szCs w:val="20"/>
          <w:color w:val="auto"/>
        </w:rPr>
      </w:pPr>
      <w:r>
        <w:rPr>
          <w:rFonts w:ascii="Arial" w:cs="Arial" w:eastAsia="Arial" w:hAnsi="Arial"/>
          <w:sz w:val="18"/>
          <w:szCs w:val="18"/>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6503035</wp:posOffset>
            </wp:positionH>
            <wp:positionV relativeFrom="paragraph">
              <wp:posOffset>17145</wp:posOffset>
            </wp:positionV>
            <wp:extent cx="565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ectPr>
          <w:pgSz w:w="11900" w:h="16838" w:orient="portrait"/>
          <w:cols w:equalWidth="0" w:num="1">
            <w:col w:w="11240"/>
          </w:cols>
          <w:pgMar w:left="320" w:top="891" w:right="339" w:bottom="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 FINANCIAL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460"/>
        <w:spacing w:after="0" w:line="182" w:lineRule="auto"/>
        <w:tabs>
          <w:tab w:leader="none" w:pos="1000" w:val="left"/>
        </w:tabs>
        <w:rPr>
          <w:rFonts w:ascii="Arial" w:cs="Arial" w:eastAsia="Arial" w:hAnsi="Arial"/>
          <w:sz w:val="15"/>
          <w:szCs w:val="15"/>
          <w:u w:val="single" w:color="auto"/>
          <w:color w:val="0000EE"/>
        </w:rPr>
      </w:pPr>
      <w:r>
        <w:rPr>
          <w:rFonts w:ascii="Arial" w:cs="Arial" w:eastAsia="Arial" w:hAnsi="Arial"/>
          <w:sz w:val="28"/>
          <w:szCs w:val="28"/>
          <w:u w:val="single" w:color="auto"/>
          <w:color w:val="0000EE"/>
          <w:vertAlign w:val="superscript"/>
        </w:rPr>
        <w:t>Item</w:t>
      </w:r>
      <w:r>
        <w:rPr>
          <w:sz w:val="20"/>
          <w:szCs w:val="20"/>
          <w:color w:val="auto"/>
        </w:rPr>
        <w:tab/>
      </w:r>
      <w:hyperlink w:anchor="page2">
        <w:r>
          <w:rPr>
            <w:rFonts w:ascii="Arial" w:cs="Arial" w:eastAsia="Arial" w:hAnsi="Arial"/>
            <w:sz w:val="27"/>
            <w:szCs w:val="27"/>
            <w:u w:val="single" w:color="auto"/>
            <w:color w:val="0000EE"/>
            <w:vertAlign w:val="superscript"/>
          </w:rPr>
          <w:t>1</w:t>
        </w:r>
        <w:r>
          <w:rPr>
            <w:rFonts w:ascii="Arial" w:cs="Arial" w:eastAsia="Arial" w:hAnsi="Arial"/>
            <w:sz w:val="15"/>
            <w:szCs w:val="15"/>
            <w:u w:val="single" w:color="auto"/>
            <w:color w:val="0000EE"/>
          </w:rPr>
          <w:t>Financial Statements</w:t>
        </w:r>
      </w:hyperlink>
    </w:p>
    <w:p>
      <w:pPr>
        <w:spacing w:after="0" w:line="1" w:lineRule="exact"/>
        <w:rPr>
          <w:sz w:val="20"/>
          <w:szCs w:val="20"/>
          <w:color w:val="auto"/>
        </w:rPr>
      </w:pPr>
    </w:p>
    <w:p>
      <w:pPr>
        <w:ind w:left="4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w:t>
        </w:r>
      </w:hyperlink>
    </w:p>
    <w:tbl>
      <w:tblPr>
        <w:tblLayout w:type="fixed"/>
        <w:tblInd w:w="0" w:type="dxa"/>
        <w:tblCellMar>
          <w:top w:w="0" w:type="dxa"/>
          <w:left w:w="0" w:type="dxa"/>
          <w:bottom w:w="0" w:type="dxa"/>
          <w:right w:w="0" w:type="dxa"/>
        </w:tblCellMar>
      </w:tblPr>
      <w:tr>
        <w:trPr>
          <w:trHeight w:val="183"/>
        </w:trPr>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980" w:type="dxa"/>
            <w:vAlign w:val="bottom"/>
            <w:tcBorders>
              <w:bottom w:val="single" w:sz="8" w:color="0000EE"/>
            </w:tcBorders>
            <w:gridSpan w:val="15"/>
          </w:tcPr>
          <w:p>
            <w:pPr>
              <w:spacing w:after="0" w:line="183"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Condensed Consolidated Balance Sheets at March 31, 2022 (Unaudited) and December 31, 2021</w:t>
              </w:r>
            </w:hyperlink>
          </w:p>
        </w:tc>
        <w:tc>
          <w:tcPr>
            <w:tcW w:w="20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20" w:type="dxa"/>
            <w:vAlign w:val="bottom"/>
            <w:gridSpan w:val="17"/>
          </w:tcPr>
          <w:p>
            <w:pPr>
              <w:spacing w:after="0" w:line="196"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Condensed Consolidated Statements of Operations and Comprehensive Loss for the three months ended March 31, 2022</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and 2021 (Unaudited)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Stockholders’ Equity for the three months ended March 31, 2022 (Unaudited) and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2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2021 (Unaudited)</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20" w:type="dxa"/>
            <w:vAlign w:val="bottom"/>
            <w:gridSpan w:val="17"/>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Cash Flows for the three months ended March 31, 2022 (Unaudited) and 2021</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gridSpan w:val="2"/>
            <w:vMerge w:val="restart"/>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w:t>
              </w:r>
            </w:hyperlink>
          </w:p>
        </w:tc>
        <w:tc>
          <w:tcPr>
            <w:tcW w:w="280" w:type="dxa"/>
            <w:vAlign w:val="bottom"/>
            <w:gridSpan w:val="2"/>
            <w:vMerge w:val="restart"/>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w:t>
              </w:r>
            </w:hyperlink>
          </w:p>
        </w:tc>
        <w:tc>
          <w:tcPr>
            <w:tcW w:w="902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gridSpan w:val="2"/>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60" w:type="dxa"/>
            <w:vAlign w:val="bottom"/>
          </w:tcPr>
          <w:p>
            <w:pPr>
              <w:spacing w:after="0"/>
              <w:rPr>
                <w:sz w:val="17"/>
                <w:szCs w:val="17"/>
                <w:color w:val="auto"/>
              </w:rPr>
            </w:pPr>
          </w:p>
        </w:tc>
        <w:tc>
          <w:tcPr>
            <w:tcW w:w="380" w:type="dxa"/>
            <w:vAlign w:val="bottom"/>
            <w:tcBorders>
              <w:bottom w:val="single" w:sz="8" w:color="0000EE"/>
            </w:tcBorders>
            <w:gridSpan w:val="2"/>
            <w:vMerge w:val="continue"/>
          </w:tcPr>
          <w:p>
            <w:pPr>
              <w:spacing w:after="0"/>
              <w:rPr>
                <w:sz w:val="17"/>
                <w:szCs w:val="17"/>
                <w:color w:val="auto"/>
              </w:rPr>
            </w:pPr>
          </w:p>
        </w:tc>
        <w:tc>
          <w:tcPr>
            <w:tcW w:w="280" w:type="dxa"/>
            <w:vAlign w:val="bottom"/>
            <w:tcBorders>
              <w:bottom w:val="single" w:sz="8" w:color="0000EE"/>
            </w:tcBorders>
            <w:gridSpan w:val="2"/>
            <w:vMerge w:val="continue"/>
          </w:tcPr>
          <w:p>
            <w:pPr>
              <w:spacing w:after="0"/>
              <w:rPr>
                <w:sz w:val="17"/>
                <w:szCs w:val="17"/>
                <w:color w:val="auto"/>
              </w:rPr>
            </w:pPr>
          </w:p>
        </w:tc>
        <w:tc>
          <w:tcPr>
            <w:tcW w:w="9020" w:type="dxa"/>
            <w:vAlign w:val="bottom"/>
            <w:gridSpan w:val="17"/>
            <w:vMerge w:val="restart"/>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180" w:type="dxa"/>
            <w:vAlign w:val="bottom"/>
            <w:vMerge w:val="restart"/>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w:t>
              </w:r>
            </w:hyperlink>
          </w:p>
        </w:tc>
        <w:tc>
          <w:tcPr>
            <w:tcW w:w="200" w:type="dxa"/>
            <w:vAlign w:val="bottom"/>
            <w:vMerge w:val="restart"/>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9020" w:type="dxa"/>
            <w:vAlign w:val="bottom"/>
            <w:gridSpan w:val="1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60" w:type="dxa"/>
            <w:vAlign w:val="bottom"/>
          </w:tcPr>
          <w:p>
            <w:pPr>
              <w:spacing w:after="0"/>
              <w:rPr>
                <w:sz w:val="7"/>
                <w:szCs w:val="7"/>
                <w:color w:val="auto"/>
              </w:rPr>
            </w:pPr>
          </w:p>
        </w:tc>
        <w:tc>
          <w:tcPr>
            <w:tcW w:w="180" w:type="dxa"/>
            <w:vAlign w:val="bottom"/>
            <w:tcBorders>
              <w:bottom w:val="single" w:sz="8" w:color="0000EE"/>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18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540" w:type="dxa"/>
            <w:vAlign w:val="bottom"/>
            <w:tcBorders>
              <w:top w:val="single" w:sz="8" w:color="0000EE"/>
            </w:tcBorders>
          </w:tcPr>
          <w:p>
            <w:pPr>
              <w:spacing w:after="0"/>
              <w:rPr>
                <w:sz w:val="7"/>
                <w:szCs w:val="7"/>
                <w:color w:val="auto"/>
              </w:rPr>
            </w:pPr>
          </w:p>
        </w:tc>
        <w:tc>
          <w:tcPr>
            <w:tcW w:w="1560" w:type="dxa"/>
            <w:vAlign w:val="bottom"/>
            <w:tcBorders>
              <w:top w:val="single" w:sz="8" w:color="0000EE"/>
            </w:tcBorders>
          </w:tcPr>
          <w:p>
            <w:pPr>
              <w:spacing w:after="0"/>
              <w:rPr>
                <w:sz w:val="7"/>
                <w:szCs w:val="7"/>
                <w:color w:val="auto"/>
              </w:rPr>
            </w:pPr>
          </w:p>
        </w:tc>
        <w:tc>
          <w:tcPr>
            <w:tcW w:w="5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Item</w:t>
              </w:r>
            </w:hyperlink>
          </w:p>
        </w:tc>
        <w:tc>
          <w:tcPr>
            <w:tcW w:w="280" w:type="dxa"/>
            <w:vAlign w:val="bottom"/>
            <w:tcBorders>
              <w:bottom w:val="single" w:sz="8" w:color="0000EE"/>
            </w:tcBorders>
            <w:gridSpan w:val="2"/>
          </w:tcPr>
          <w:p>
            <w:pPr>
              <w:jc w:val="right"/>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3</w:t>
              </w:r>
            </w:hyperlink>
          </w:p>
        </w:tc>
        <w:tc>
          <w:tcPr>
            <w:tcW w:w="9020" w:type="dxa"/>
            <w:vAlign w:val="bottom"/>
            <w:gridSpan w:val="17"/>
            <w:vMerge w:val="restart"/>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180" w:type="dxa"/>
            <w:vAlign w:val="bottom"/>
            <w:vMerge w:val="restart"/>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w:t>
              </w:r>
            </w:hyperlink>
          </w:p>
        </w:tc>
        <w:tc>
          <w:tcPr>
            <w:tcW w:w="200" w:type="dxa"/>
            <w:vAlign w:val="bottom"/>
            <w:vMerge w:val="restart"/>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9020" w:type="dxa"/>
            <w:vAlign w:val="bottom"/>
            <w:gridSpan w:val="1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60" w:type="dxa"/>
            <w:vAlign w:val="bottom"/>
          </w:tcPr>
          <w:p>
            <w:pPr>
              <w:spacing w:after="0"/>
              <w:rPr>
                <w:sz w:val="7"/>
                <w:szCs w:val="7"/>
                <w:color w:val="auto"/>
              </w:rPr>
            </w:pPr>
          </w:p>
        </w:tc>
        <w:tc>
          <w:tcPr>
            <w:tcW w:w="180" w:type="dxa"/>
            <w:vAlign w:val="bottom"/>
            <w:tcBorders>
              <w:bottom w:val="single" w:sz="8" w:color="0000EE"/>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18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5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Item</w:t>
              </w:r>
            </w:hyperlink>
          </w:p>
        </w:tc>
        <w:tc>
          <w:tcPr>
            <w:tcW w:w="280" w:type="dxa"/>
            <w:vAlign w:val="bottom"/>
            <w:tcBorders>
              <w:bottom w:val="single" w:sz="8" w:color="0000EE"/>
            </w:tcBorders>
            <w:gridSpan w:val="2"/>
          </w:tcPr>
          <w:p>
            <w:pPr>
              <w:jc w:val="right"/>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4</w:t>
              </w:r>
            </w:hyperlink>
          </w:p>
        </w:tc>
        <w:tc>
          <w:tcPr>
            <w:tcW w:w="9020" w:type="dxa"/>
            <w:vAlign w:val="bottom"/>
            <w:gridSpan w:val="17"/>
            <w:vMerge w:val="restart"/>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180" w:type="dxa"/>
            <w:vAlign w:val="bottom"/>
            <w:vMerge w:val="restart"/>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w:t>
              </w:r>
            </w:hyperlink>
          </w:p>
        </w:tc>
        <w:tc>
          <w:tcPr>
            <w:tcW w:w="200" w:type="dxa"/>
            <w:vAlign w:val="bottom"/>
            <w:vMerge w:val="restart"/>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9020" w:type="dxa"/>
            <w:vAlign w:val="bottom"/>
            <w:gridSpan w:val="1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60" w:type="dxa"/>
            <w:vAlign w:val="bottom"/>
          </w:tcPr>
          <w:p>
            <w:pPr>
              <w:spacing w:after="0"/>
              <w:rPr>
                <w:sz w:val="7"/>
                <w:szCs w:val="7"/>
                <w:color w:val="auto"/>
              </w:rPr>
            </w:pPr>
          </w:p>
        </w:tc>
        <w:tc>
          <w:tcPr>
            <w:tcW w:w="180" w:type="dxa"/>
            <w:vAlign w:val="bottom"/>
            <w:tcBorders>
              <w:bottom w:val="single" w:sz="8" w:color="0000EE"/>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4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296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 — OTHER INFORMATION</w:t>
              </w:r>
            </w:hyperlink>
          </w:p>
        </w:tc>
        <w:tc>
          <w:tcPr>
            <w:tcW w:w="71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Item</w:t>
              </w:r>
            </w:hyperlink>
          </w:p>
        </w:tc>
        <w:tc>
          <w:tcPr>
            <w:tcW w:w="280" w:type="dxa"/>
            <w:vAlign w:val="bottom"/>
            <w:tcBorders>
              <w:bottom w:val="single" w:sz="8" w:color="0000EE"/>
            </w:tcBorders>
            <w:gridSpan w:val="2"/>
          </w:tcPr>
          <w:p>
            <w:pPr>
              <w:jc w:val="right"/>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1</w:t>
              </w:r>
            </w:hyperlink>
          </w:p>
        </w:tc>
        <w:tc>
          <w:tcPr>
            <w:tcW w:w="9020" w:type="dxa"/>
            <w:vAlign w:val="bottom"/>
            <w:gridSpan w:val="17"/>
            <w:vMerge w:val="restart"/>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180" w:type="dxa"/>
            <w:vAlign w:val="bottom"/>
            <w:vMerge w:val="restart"/>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w:t>
              </w:r>
            </w:hyperlink>
          </w:p>
        </w:tc>
        <w:tc>
          <w:tcPr>
            <w:tcW w:w="200" w:type="dxa"/>
            <w:vAlign w:val="bottom"/>
            <w:vMerge w:val="restart"/>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9020" w:type="dxa"/>
            <w:vAlign w:val="bottom"/>
            <w:gridSpan w:val="1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60" w:type="dxa"/>
            <w:vAlign w:val="bottom"/>
          </w:tcPr>
          <w:p>
            <w:pPr>
              <w:spacing w:after="0"/>
              <w:rPr>
                <w:sz w:val="7"/>
                <w:szCs w:val="7"/>
                <w:color w:val="auto"/>
              </w:rPr>
            </w:pPr>
          </w:p>
        </w:tc>
        <w:tc>
          <w:tcPr>
            <w:tcW w:w="180" w:type="dxa"/>
            <w:vAlign w:val="bottom"/>
            <w:tcBorders>
              <w:bottom w:val="single" w:sz="8" w:color="0000EE"/>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Item</w:t>
              </w:r>
            </w:hyperlink>
          </w:p>
        </w:tc>
        <w:tc>
          <w:tcPr>
            <w:tcW w:w="260" w:type="dxa"/>
            <w:vAlign w:val="bottom"/>
            <w:tcBorders>
              <w:bottom w:val="single" w:sz="8" w:color="0000EE"/>
            </w:tcBorders>
          </w:tcPr>
          <w:p>
            <w:pPr>
              <w:jc w:val="right"/>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1A</w:t>
              </w:r>
            </w:hyperlink>
          </w:p>
        </w:tc>
        <w:tc>
          <w:tcPr>
            <w:tcW w:w="9040" w:type="dxa"/>
            <w:vAlign w:val="bottom"/>
            <w:gridSpan w:val="18"/>
            <w:vMerge w:val="restart"/>
          </w:tcPr>
          <w:p>
            <w:pPr>
              <w:ind w:left="20"/>
              <w:spacing w:after="0"/>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180" w:type="dxa"/>
            <w:vAlign w:val="bottom"/>
            <w:vMerge w:val="restart"/>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w:t>
              </w:r>
            </w:hyperlink>
          </w:p>
        </w:tc>
        <w:tc>
          <w:tcPr>
            <w:tcW w:w="200" w:type="dxa"/>
            <w:vAlign w:val="bottom"/>
            <w:vMerge w:val="restart"/>
          </w:tcPr>
          <w:p>
            <w:pPr>
              <w:spacing w:after="0"/>
              <w:rPr>
                <w:sz w:val="7"/>
                <w:szCs w:val="7"/>
                <w:color w:val="auto"/>
              </w:rPr>
            </w:pPr>
          </w:p>
        </w:tc>
        <w:tc>
          <w:tcPr>
            <w:tcW w:w="260" w:type="dxa"/>
            <w:vAlign w:val="bottom"/>
          </w:tcPr>
          <w:p>
            <w:pPr>
              <w:spacing w:after="0"/>
              <w:rPr>
                <w:sz w:val="7"/>
                <w:szCs w:val="7"/>
                <w:color w:val="auto"/>
              </w:rPr>
            </w:pPr>
          </w:p>
        </w:tc>
        <w:tc>
          <w:tcPr>
            <w:tcW w:w="9040" w:type="dxa"/>
            <w:vAlign w:val="bottom"/>
            <w:gridSpan w:val="1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60" w:type="dxa"/>
            <w:vAlign w:val="bottom"/>
          </w:tcPr>
          <w:p>
            <w:pPr>
              <w:spacing w:after="0"/>
              <w:rPr>
                <w:sz w:val="7"/>
                <w:szCs w:val="7"/>
                <w:color w:val="auto"/>
              </w:rPr>
            </w:pPr>
          </w:p>
        </w:tc>
        <w:tc>
          <w:tcPr>
            <w:tcW w:w="180" w:type="dxa"/>
            <w:vAlign w:val="bottom"/>
            <w:tcBorders>
              <w:bottom w:val="single" w:sz="8" w:color="0000EE"/>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Item</w:t>
              </w:r>
            </w:hyperlink>
          </w:p>
        </w:tc>
        <w:tc>
          <w:tcPr>
            <w:tcW w:w="280" w:type="dxa"/>
            <w:vAlign w:val="bottom"/>
            <w:tcBorders>
              <w:bottom w:val="single" w:sz="8" w:color="0000EE"/>
            </w:tcBorders>
            <w:gridSpan w:val="2"/>
          </w:tcPr>
          <w:p>
            <w:pPr>
              <w:jc w:val="right"/>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2</w:t>
              </w:r>
            </w:hyperlink>
          </w:p>
        </w:tc>
        <w:tc>
          <w:tcPr>
            <w:tcW w:w="9020" w:type="dxa"/>
            <w:vAlign w:val="bottom"/>
            <w:gridSpan w:val="17"/>
            <w:vMerge w:val="restart"/>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180" w:type="dxa"/>
            <w:vAlign w:val="bottom"/>
            <w:vMerge w:val="restart"/>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w:t>
              </w:r>
            </w:hyperlink>
          </w:p>
        </w:tc>
        <w:tc>
          <w:tcPr>
            <w:tcW w:w="200" w:type="dxa"/>
            <w:vAlign w:val="bottom"/>
            <w:vMerge w:val="restart"/>
          </w:tcPr>
          <w:p>
            <w:pPr>
              <w:spacing w:after="0"/>
              <w:rPr>
                <w:sz w:val="7"/>
                <w:szCs w:val="7"/>
                <w:color w:val="auto"/>
              </w:rPr>
            </w:pPr>
          </w:p>
        </w:tc>
        <w:tc>
          <w:tcPr>
            <w:tcW w:w="280" w:type="dxa"/>
            <w:vAlign w:val="bottom"/>
            <w:gridSpan w:val="2"/>
          </w:tcPr>
          <w:p>
            <w:pPr>
              <w:spacing w:after="0"/>
              <w:rPr>
                <w:sz w:val="7"/>
                <w:szCs w:val="7"/>
                <w:color w:val="auto"/>
              </w:rPr>
            </w:pPr>
          </w:p>
        </w:tc>
        <w:tc>
          <w:tcPr>
            <w:tcW w:w="9020" w:type="dxa"/>
            <w:vAlign w:val="bottom"/>
            <w:gridSpan w:val="1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60" w:type="dxa"/>
            <w:vAlign w:val="bottom"/>
          </w:tcPr>
          <w:p>
            <w:pPr>
              <w:spacing w:after="0"/>
              <w:rPr>
                <w:sz w:val="7"/>
                <w:szCs w:val="7"/>
                <w:color w:val="auto"/>
              </w:rPr>
            </w:pPr>
          </w:p>
        </w:tc>
        <w:tc>
          <w:tcPr>
            <w:tcW w:w="180" w:type="dxa"/>
            <w:vAlign w:val="bottom"/>
            <w:tcBorders>
              <w:bottom w:val="single" w:sz="8" w:color="0000EE"/>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186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Item</w:t>
              </w:r>
            </w:hyperlink>
          </w:p>
        </w:tc>
        <w:tc>
          <w:tcPr>
            <w:tcW w:w="280" w:type="dxa"/>
            <w:vAlign w:val="bottom"/>
            <w:tcBorders>
              <w:bottom w:val="single" w:sz="8" w:color="0000EE"/>
            </w:tcBorders>
            <w:gridSpan w:val="2"/>
          </w:tcPr>
          <w:p>
            <w:pPr>
              <w:jc w:val="right"/>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3</w:t>
              </w:r>
            </w:hyperlink>
          </w:p>
        </w:tc>
        <w:tc>
          <w:tcPr>
            <w:tcW w:w="9020" w:type="dxa"/>
            <w:vAlign w:val="bottom"/>
            <w:gridSpan w:val="17"/>
            <w:vMerge w:val="restart"/>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180" w:type="dxa"/>
            <w:vAlign w:val="bottom"/>
            <w:vMerge w:val="restart"/>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w:t>
              </w:r>
            </w:hyperlink>
          </w:p>
        </w:tc>
        <w:tc>
          <w:tcPr>
            <w:tcW w:w="200" w:type="dxa"/>
            <w:vAlign w:val="bottom"/>
            <w:vMerge w:val="restart"/>
          </w:tcPr>
          <w:p>
            <w:pPr>
              <w:spacing w:after="0"/>
              <w:rPr>
                <w:sz w:val="7"/>
                <w:szCs w:val="7"/>
                <w:color w:val="auto"/>
              </w:rPr>
            </w:pPr>
          </w:p>
        </w:tc>
        <w:tc>
          <w:tcPr>
            <w:tcW w:w="280" w:type="dxa"/>
            <w:vAlign w:val="bottom"/>
            <w:gridSpan w:val="2"/>
          </w:tcPr>
          <w:p>
            <w:pPr>
              <w:spacing w:after="0"/>
              <w:rPr>
                <w:sz w:val="7"/>
                <w:szCs w:val="7"/>
                <w:color w:val="auto"/>
              </w:rPr>
            </w:pPr>
          </w:p>
        </w:tc>
        <w:tc>
          <w:tcPr>
            <w:tcW w:w="9020" w:type="dxa"/>
            <w:vAlign w:val="bottom"/>
            <w:gridSpan w:val="1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60" w:type="dxa"/>
            <w:vAlign w:val="bottom"/>
          </w:tcPr>
          <w:p>
            <w:pPr>
              <w:spacing w:after="0"/>
              <w:rPr>
                <w:sz w:val="7"/>
                <w:szCs w:val="7"/>
                <w:color w:val="auto"/>
              </w:rPr>
            </w:pPr>
          </w:p>
        </w:tc>
        <w:tc>
          <w:tcPr>
            <w:tcW w:w="180" w:type="dxa"/>
            <w:vAlign w:val="bottom"/>
            <w:tcBorders>
              <w:bottom w:val="single" w:sz="8" w:color="0000EE"/>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1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Item</w:t>
              </w:r>
            </w:hyperlink>
          </w:p>
        </w:tc>
        <w:tc>
          <w:tcPr>
            <w:tcW w:w="280" w:type="dxa"/>
            <w:vAlign w:val="bottom"/>
            <w:tcBorders>
              <w:bottom w:val="single" w:sz="8" w:color="0000EE"/>
            </w:tcBorders>
            <w:gridSpan w:val="2"/>
          </w:tcPr>
          <w:p>
            <w:pPr>
              <w:jc w:val="right"/>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4</w:t>
              </w:r>
            </w:hyperlink>
          </w:p>
        </w:tc>
        <w:tc>
          <w:tcPr>
            <w:tcW w:w="9020" w:type="dxa"/>
            <w:vAlign w:val="bottom"/>
            <w:gridSpan w:val="17"/>
            <w:vMerge w:val="restart"/>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180" w:type="dxa"/>
            <w:vAlign w:val="bottom"/>
            <w:vMerge w:val="restart"/>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w:t>
              </w:r>
            </w:hyperlink>
          </w:p>
        </w:tc>
        <w:tc>
          <w:tcPr>
            <w:tcW w:w="200" w:type="dxa"/>
            <w:vAlign w:val="bottom"/>
            <w:vMerge w:val="restart"/>
          </w:tcPr>
          <w:p>
            <w:pPr>
              <w:spacing w:after="0"/>
              <w:rPr>
                <w:sz w:val="7"/>
                <w:szCs w:val="7"/>
                <w:color w:val="auto"/>
              </w:rPr>
            </w:pPr>
          </w:p>
        </w:tc>
        <w:tc>
          <w:tcPr>
            <w:tcW w:w="280" w:type="dxa"/>
            <w:vAlign w:val="bottom"/>
            <w:gridSpan w:val="2"/>
          </w:tcPr>
          <w:p>
            <w:pPr>
              <w:spacing w:after="0"/>
              <w:rPr>
                <w:sz w:val="7"/>
                <w:szCs w:val="7"/>
                <w:color w:val="auto"/>
              </w:rPr>
            </w:pPr>
          </w:p>
        </w:tc>
        <w:tc>
          <w:tcPr>
            <w:tcW w:w="9020" w:type="dxa"/>
            <w:vAlign w:val="bottom"/>
            <w:gridSpan w:val="1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60" w:type="dxa"/>
            <w:vAlign w:val="bottom"/>
          </w:tcPr>
          <w:p>
            <w:pPr>
              <w:spacing w:after="0"/>
              <w:rPr>
                <w:sz w:val="7"/>
                <w:szCs w:val="7"/>
                <w:color w:val="auto"/>
              </w:rPr>
            </w:pPr>
          </w:p>
        </w:tc>
        <w:tc>
          <w:tcPr>
            <w:tcW w:w="180" w:type="dxa"/>
            <w:vAlign w:val="bottom"/>
            <w:tcBorders>
              <w:bottom w:val="single" w:sz="8" w:color="0000EE"/>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4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Item</w:t>
              </w:r>
            </w:hyperlink>
          </w:p>
        </w:tc>
        <w:tc>
          <w:tcPr>
            <w:tcW w:w="280" w:type="dxa"/>
            <w:vAlign w:val="bottom"/>
            <w:tcBorders>
              <w:bottom w:val="single" w:sz="8" w:color="0000EE"/>
            </w:tcBorders>
            <w:gridSpan w:val="2"/>
          </w:tcPr>
          <w:p>
            <w:pPr>
              <w:jc w:val="right"/>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5</w:t>
              </w:r>
            </w:hyperlink>
          </w:p>
        </w:tc>
        <w:tc>
          <w:tcPr>
            <w:tcW w:w="9020" w:type="dxa"/>
            <w:vAlign w:val="bottom"/>
            <w:gridSpan w:val="17"/>
            <w:vMerge w:val="restart"/>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180" w:type="dxa"/>
            <w:vAlign w:val="bottom"/>
            <w:vMerge w:val="restart"/>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w:t>
              </w:r>
            </w:hyperlink>
          </w:p>
        </w:tc>
        <w:tc>
          <w:tcPr>
            <w:tcW w:w="200" w:type="dxa"/>
            <w:vAlign w:val="bottom"/>
            <w:vMerge w:val="restart"/>
          </w:tcPr>
          <w:p>
            <w:pPr>
              <w:spacing w:after="0"/>
              <w:rPr>
                <w:sz w:val="7"/>
                <w:szCs w:val="7"/>
                <w:color w:val="auto"/>
              </w:rPr>
            </w:pPr>
          </w:p>
        </w:tc>
        <w:tc>
          <w:tcPr>
            <w:tcW w:w="280" w:type="dxa"/>
            <w:vAlign w:val="bottom"/>
            <w:gridSpan w:val="2"/>
          </w:tcPr>
          <w:p>
            <w:pPr>
              <w:spacing w:after="0"/>
              <w:rPr>
                <w:sz w:val="7"/>
                <w:szCs w:val="7"/>
                <w:color w:val="auto"/>
              </w:rPr>
            </w:pPr>
          </w:p>
        </w:tc>
        <w:tc>
          <w:tcPr>
            <w:tcW w:w="9020" w:type="dxa"/>
            <w:vAlign w:val="bottom"/>
            <w:gridSpan w:val="1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60" w:type="dxa"/>
            <w:vAlign w:val="bottom"/>
          </w:tcPr>
          <w:p>
            <w:pPr>
              <w:spacing w:after="0"/>
              <w:rPr>
                <w:sz w:val="7"/>
                <w:szCs w:val="7"/>
                <w:color w:val="auto"/>
              </w:rPr>
            </w:pPr>
          </w:p>
        </w:tc>
        <w:tc>
          <w:tcPr>
            <w:tcW w:w="180" w:type="dxa"/>
            <w:vAlign w:val="bottom"/>
            <w:tcBorders>
              <w:bottom w:val="single" w:sz="8" w:color="0000EE"/>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Item</w:t>
              </w:r>
            </w:hyperlink>
          </w:p>
        </w:tc>
        <w:tc>
          <w:tcPr>
            <w:tcW w:w="280" w:type="dxa"/>
            <w:vAlign w:val="bottom"/>
            <w:tcBorders>
              <w:bottom w:val="single" w:sz="8" w:color="0000EE"/>
            </w:tcBorders>
            <w:gridSpan w:val="2"/>
          </w:tcPr>
          <w:p>
            <w:pPr>
              <w:jc w:val="right"/>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6</w:t>
              </w:r>
            </w:hyperlink>
          </w:p>
        </w:tc>
        <w:tc>
          <w:tcPr>
            <w:tcW w:w="9020" w:type="dxa"/>
            <w:vAlign w:val="bottom"/>
            <w:gridSpan w:val="17"/>
            <w:vMerge w:val="restart"/>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180" w:type="dxa"/>
            <w:vAlign w:val="bottom"/>
            <w:vMerge w:val="restart"/>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w:t>
              </w:r>
            </w:hyperlink>
          </w:p>
        </w:tc>
        <w:tc>
          <w:tcPr>
            <w:tcW w:w="200" w:type="dxa"/>
            <w:vAlign w:val="bottom"/>
            <w:vMerge w:val="restart"/>
          </w:tcPr>
          <w:p>
            <w:pPr>
              <w:spacing w:after="0"/>
              <w:rPr>
                <w:sz w:val="7"/>
                <w:szCs w:val="7"/>
                <w:color w:val="auto"/>
              </w:rPr>
            </w:pPr>
          </w:p>
        </w:tc>
        <w:tc>
          <w:tcPr>
            <w:tcW w:w="280" w:type="dxa"/>
            <w:vAlign w:val="bottom"/>
            <w:gridSpan w:val="2"/>
          </w:tcPr>
          <w:p>
            <w:pPr>
              <w:spacing w:after="0"/>
              <w:rPr>
                <w:sz w:val="7"/>
                <w:szCs w:val="7"/>
                <w:color w:val="auto"/>
              </w:rPr>
            </w:pPr>
          </w:p>
        </w:tc>
        <w:tc>
          <w:tcPr>
            <w:tcW w:w="9020" w:type="dxa"/>
            <w:vAlign w:val="bottom"/>
            <w:gridSpan w:val="1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60" w:type="dxa"/>
            <w:vAlign w:val="bottom"/>
          </w:tcPr>
          <w:p>
            <w:pPr>
              <w:spacing w:after="0"/>
              <w:rPr>
                <w:sz w:val="7"/>
                <w:szCs w:val="7"/>
                <w:color w:val="auto"/>
              </w:rPr>
            </w:pPr>
          </w:p>
        </w:tc>
        <w:tc>
          <w:tcPr>
            <w:tcW w:w="180" w:type="dxa"/>
            <w:vAlign w:val="bottom"/>
            <w:tcBorders>
              <w:bottom w:val="single" w:sz="8" w:color="0000EE"/>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-3959860</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713232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-2451100</wp:posOffset>
            </wp:positionV>
            <wp:extent cx="7132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41" w:lineRule="exact"/>
        <w:rPr>
          <w:sz w:val="20"/>
          <w:szCs w:val="20"/>
          <w:color w:val="auto"/>
        </w:rPr>
      </w:pPr>
    </w:p>
    <w:p>
      <w:pPr>
        <w:jc w:val="center"/>
        <w:ind w:left="1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w:t>
      </w:r>
    </w:p>
    <w:p>
      <w:pPr>
        <w:spacing w:after="0" w:line="11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w:t>
      </w:r>
    </w:p>
    <w:p>
      <w:pPr>
        <w:spacing w:after="0" w:line="117"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36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63</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67</w:t>
      </w:r>
    </w:p>
    <w:p>
      <w:pPr>
        <w:spacing w:after="0" w:line="1730" w:lineRule="exact"/>
        <w:rPr>
          <w:sz w:val="20"/>
          <w:szCs w:val="20"/>
          <w:color w:val="auto"/>
        </w:rPr>
      </w:pPr>
    </w:p>
    <w:p>
      <w:pPr>
        <w:sectPr>
          <w:pgSz w:w="11900" w:h="16838" w:orient="portrait"/>
          <w:cols w:equalWidth="0" w:num="2">
            <w:col w:w="10240" w:space="720"/>
            <w:col w:w="280"/>
          </w:cols>
          <w:pgMar w:left="320" w:top="121" w:right="339" w:bottom="0" w:gutter="0" w:footer="0" w:header="0"/>
        </w:sectPr>
      </w:pPr>
    </w:p>
    <w:p>
      <w:pPr>
        <w:spacing w:after="0" w:line="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This Quarterly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Private Securities Litigation Reform Act of 1995. The events described in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our Annual Report under “Factors That May Affect Future Results and Financial Condition” on Form 10-K for the year ended December 31, 2021, Part I, Item 2 of this Quarterly Report and Part II, Item 1A of this Quarterly Report.</w:t>
      </w:r>
    </w:p>
    <w:p>
      <w:pPr>
        <w:spacing w:after="0" w:line="20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Any one or more of these uncertainties, risks and other influences could materially affect our results of operations and whether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We undertake no obligation to publicly update or revise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whether from new information, future events or otherwise except as required by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gridSpan w:val="4"/>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6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20" w:type="dxa"/>
            <w:vAlign w:val="bottom"/>
            <w:gridSpan w:val="6"/>
          </w:tcPr>
          <w:p>
            <w:pPr>
              <w:ind w:left="500"/>
              <w:spacing w:after="0"/>
              <w:rPr>
                <w:sz w:val="20"/>
                <w:szCs w:val="20"/>
                <w:color w:val="auto"/>
              </w:rPr>
            </w:pPr>
            <w:r>
              <w:rPr>
                <w:rFonts w:ascii="Arial" w:cs="Arial" w:eastAsia="Arial" w:hAnsi="Arial"/>
                <w:sz w:val="18"/>
                <w:szCs w:val="18"/>
                <w:b w:val="1"/>
                <w:bCs w:val="1"/>
                <w:color w:val="auto"/>
              </w:rPr>
              <w:t>PART I. FINANCIAL INFORMATION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60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w:t>
            </w: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80" w:type="dxa"/>
            <w:vAlign w:val="bottom"/>
            <w:gridSpan w:val="7"/>
            <w:vMerge w:val="restart"/>
          </w:tcPr>
          <w:p>
            <w:pPr>
              <w:ind w:left="2040"/>
              <w:spacing w:after="0"/>
              <w:rPr>
                <w:sz w:val="20"/>
                <w:szCs w:val="20"/>
                <w:color w:val="auto"/>
              </w:rPr>
            </w:pPr>
            <w:r>
              <w:rPr>
                <w:rFonts w:ascii="Arial" w:cs="Arial" w:eastAsia="Arial" w:hAnsi="Arial"/>
                <w:sz w:val="18"/>
                <w:szCs w:val="18"/>
                <w:b w:val="1"/>
                <w:bCs w:val="1"/>
                <w:color w:val="auto"/>
                <w:w w:val="99"/>
              </w:rPr>
              <w:t>KINGSTONE COMPANIES, INC. AND SUBSIDIARIES</w:t>
            </w:r>
          </w:p>
        </w:tc>
        <w:tc>
          <w:tcPr>
            <w:tcW w:w="0" w:type="dxa"/>
            <w:vAlign w:val="bottom"/>
          </w:tcPr>
          <w:p>
            <w:pPr>
              <w:spacing w:after="0" w:line="20" w:lineRule="exact"/>
              <w:rPr>
                <w:sz w:val="1"/>
                <w:szCs w:val="1"/>
                <w:color w:val="auto"/>
              </w:rPr>
            </w:pPr>
          </w:p>
        </w:tc>
      </w:tr>
      <w:tr>
        <w:trPr>
          <w:trHeight w:val="452"/>
        </w:trPr>
        <w:tc>
          <w:tcPr>
            <w:tcW w:w="36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160" w:type="dxa"/>
            <w:vAlign w:val="bottom"/>
          </w:tcPr>
          <w:p>
            <w:pPr>
              <w:spacing w:after="0"/>
              <w:rPr>
                <w:sz w:val="24"/>
                <w:szCs w:val="24"/>
                <w:color w:val="auto"/>
              </w:rPr>
            </w:pPr>
          </w:p>
        </w:tc>
        <w:tc>
          <w:tcPr>
            <w:tcW w:w="6480" w:type="dxa"/>
            <w:vAlign w:val="bottom"/>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auto"/>
            </w:tcBorders>
            <w:gridSpan w:val="4"/>
            <w:vMerge w:val="continue"/>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6"/>
                <w:szCs w:val="16"/>
                <w:color w:val="auto"/>
              </w:rPr>
            </w:pPr>
          </w:p>
        </w:tc>
        <w:tc>
          <w:tcPr>
            <w:tcW w:w="1120" w:type="dxa"/>
            <w:vAlign w:val="bottom"/>
          </w:tcPr>
          <w:p>
            <w:pPr>
              <w:ind w:left="4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00" w:type="dxa"/>
            <w:vAlign w:val="bottom"/>
            <w:gridSpan w:val="4"/>
            <w:vMerge w:val="continue"/>
          </w:tcPr>
          <w:p>
            <w:pPr>
              <w:spacing w:after="0"/>
              <w:rPr>
                <w:sz w:val="17"/>
                <w:szCs w:val="17"/>
                <w:color w:val="auto"/>
              </w:rPr>
            </w:pPr>
          </w:p>
        </w:tc>
        <w:tc>
          <w:tcPr>
            <w:tcW w:w="11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20" w:type="dxa"/>
            <w:vAlign w:val="bottom"/>
            <w:gridSpan w:val="10"/>
            <w:shd w:val="clear" w:color="auto" w:fill="CCEEFF"/>
          </w:tcPr>
          <w:p>
            <w:pPr>
              <w:ind w:left="220"/>
              <w:spacing w:after="0" w:line="201" w:lineRule="exact"/>
              <w:rPr>
                <w:sz w:val="20"/>
                <w:szCs w:val="20"/>
                <w:color w:val="auto"/>
              </w:rPr>
            </w:pPr>
            <w:r>
              <w:rPr>
                <w:rFonts w:ascii="Arial" w:cs="Arial" w:eastAsia="Arial" w:hAnsi="Arial"/>
                <w:sz w:val="18"/>
                <w:szCs w:val="18"/>
                <w:color w:val="auto"/>
              </w:rPr>
              <w:t>Fixed-maturity securities, held-to-maturity, at amortized cost (fair value of $7,629,300 at March 31, 2022 and</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$8,753,159 at December 31, 2021)</w:t>
            </w:r>
          </w:p>
        </w:tc>
        <w:tc>
          <w:tcPr>
            <w:tcW w:w="642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   7,765,138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8,266,334</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0" w:gutter="0" w:footer="0" w:header="0"/>
          <w:type w:val="continuous"/>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w w:val="94"/>
              </w:rPr>
              <w:t>Fixed-maturity securities, available-for-sale, at fair value (amortized cost of $159,450,317 at March 31, 2022 and</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151,897,496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158,080,110</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$155,808,478 at December 31, 2021)</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Equity securities, at fair value (cost of $33,089,632 at March 31, 2022 and $37,470,669 at December 31, 2021)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31,765,409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39,687,002</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6,625,883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7,561,415</w:t>
            </w:r>
          </w:p>
        </w:tc>
        <w:tc>
          <w:tcPr>
            <w:tcW w:w="100" w:type="dxa"/>
            <w:vAlign w:val="bottom"/>
          </w:tcPr>
          <w:p>
            <w:pPr>
              <w:spacing w:after="0"/>
              <w:rPr>
                <w:sz w:val="18"/>
                <w:szCs w:val="18"/>
                <w:color w:val="auto"/>
              </w:rPr>
            </w:pPr>
          </w:p>
        </w:tc>
      </w:tr>
      <w:tr>
        <w:trPr>
          <w:trHeight w:val="210"/>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198,053,926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213,594,861</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5,833,886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24,290,598</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11,029,208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12,318,336</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Reinsurance receivables, net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49,341,690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40,292,438</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policy acquisition costs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21,656,581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22,238,987</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10,086,615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9,291,597</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4,367,633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192,253</w:t>
            </w:r>
          </w:p>
        </w:tc>
      </w:tr>
      <w:tr>
        <w:trPr>
          <w:trHeight w:val="216"/>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7,028,603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8,593,205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307,898,142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331,312,275</w:t>
            </w:r>
          </w:p>
        </w:tc>
      </w:tr>
      <w:tr>
        <w:trPr>
          <w:trHeight w:val="20"/>
        </w:trPr>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98,916,998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94,948,745</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95,366,879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97,759,607</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 premiums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5,232,527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2,693,466</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Reinsurance balances payable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5,091,070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12,961,568</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ceding commission revenue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9,479,512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9,748,508</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5,483,126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7,704,396</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29,867,836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29,823,791</w:t>
            </w:r>
          </w:p>
        </w:tc>
      </w:tr>
      <w:tr>
        <w:trPr>
          <w:trHeight w:val="209"/>
        </w:trPr>
        <w:tc>
          <w:tcPr>
            <w:tcW w:w="87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249,437,948</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255,640,081</w:t>
            </w:r>
          </w:p>
        </w:tc>
        <w:tc>
          <w:tcPr>
            <w:tcW w:w="100" w:type="dxa"/>
            <w:vAlign w:val="bottom"/>
            <w:tcBorders>
              <w:top w:val="single" w:sz="8" w:color="CCEEFF"/>
            </w:tcBorders>
          </w:tcPr>
          <w:p>
            <w:pPr>
              <w:spacing w:after="0"/>
              <w:rPr>
                <w:sz w:val="18"/>
                <w:szCs w:val="18"/>
                <w:color w:val="auto"/>
              </w:rPr>
            </w:pPr>
          </w:p>
        </w:tc>
      </w:tr>
      <w:tr>
        <w:trPr>
          <w:trHeight w:val="209"/>
        </w:trPr>
        <w:tc>
          <w:tcPr>
            <w:tcW w:w="8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$.01 par value; authorized 2,500,000 shares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700" w:type="dxa"/>
            <w:vAlign w:val="bottom"/>
          </w:tcPr>
          <w:p>
            <w:pPr>
              <w:ind w:left="420"/>
              <w:spacing w:after="0" w:line="201" w:lineRule="exact"/>
              <w:rPr>
                <w:sz w:val="20"/>
                <w:szCs w:val="20"/>
                <w:color w:val="auto"/>
              </w:rPr>
            </w:pPr>
            <w:r>
              <w:rPr>
                <w:rFonts w:ascii="Arial" w:cs="Arial" w:eastAsia="Arial" w:hAnsi="Arial"/>
                <w:sz w:val="18"/>
                <w:szCs w:val="18"/>
                <w:color w:val="auto"/>
                <w:w w:val="92"/>
              </w:rPr>
              <w:t>Common stock, $.01 par value; authorized 20,000,000 shares; issued 12,109,307 shares at March 31, 2022 and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w w:val="94"/>
              </w:rPr>
              <w:t>11,955,660 shares at December 31, 2021; outstanding 10,637,901 shares at March 31, 2022 and 10,484,254</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700" w:type="dxa"/>
            <w:vAlign w:val="bottom"/>
          </w:tcPr>
          <w:p>
            <w:pPr>
              <w:ind w:left="420"/>
              <w:spacing w:after="0"/>
              <w:rPr>
                <w:sz w:val="20"/>
                <w:szCs w:val="20"/>
                <w:color w:val="auto"/>
              </w:rPr>
            </w:pPr>
            <w:r>
              <w:rPr>
                <w:rFonts w:ascii="Arial" w:cs="Arial" w:eastAsia="Arial" w:hAnsi="Arial"/>
                <w:sz w:val="18"/>
                <w:szCs w:val="18"/>
                <w:color w:val="auto"/>
              </w:rPr>
              <w:t>shares at December 31, 2021</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121,093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119,557</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in excess of par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72,638,286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72,467,483</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(5,964,578)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1,796,739</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 retained earnings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(2,767,126)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6,855,896</w:t>
            </w: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64,027,675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81,239,675</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at cost, 1,471,406 shares at March 31, 2022 and December 31, 2021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(5,567,481)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(5,567,481)</w:t>
            </w: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58,460,194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75,672,194</w:t>
            </w:r>
          </w:p>
        </w:tc>
      </w:tr>
      <w:tr>
        <w:trPr>
          <w:trHeight w:val="210"/>
        </w:trPr>
        <w:tc>
          <w:tcPr>
            <w:tcW w:w="8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307,898,142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331,312,275</w:t>
            </w:r>
          </w:p>
        </w:tc>
      </w:tr>
      <w:tr>
        <w:trPr>
          <w:trHeight w:val="20"/>
        </w:trPr>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32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6480" w:type="dxa"/>
            <w:vAlign w:val="bottom"/>
            <w:gridSpan w:val="7"/>
          </w:tcPr>
          <w:p>
            <w:pPr>
              <w:jc w:val="right"/>
              <w:spacing w:after="0"/>
              <w:rPr>
                <w:sz w:val="20"/>
                <w:szCs w:val="20"/>
                <w:color w:val="auto"/>
              </w:rPr>
            </w:pPr>
            <w:r>
              <w:rPr>
                <w:rFonts w:ascii="Arial" w:cs="Arial" w:eastAsia="Arial" w:hAnsi="Arial"/>
                <w:sz w:val="18"/>
                <w:szCs w:val="18"/>
                <w:b w:val="1"/>
                <w:bCs w:val="1"/>
                <w:color w:val="auto"/>
              </w:rPr>
              <w:t>KINGSTONE COMPANIES, INC. AND SUBSIDIARIES</w:t>
            </w:r>
          </w:p>
        </w:tc>
        <w:tc>
          <w:tcPr>
            <w:tcW w:w="0" w:type="dxa"/>
            <w:vAlign w:val="bottom"/>
          </w:tcPr>
          <w:p>
            <w:pPr>
              <w:spacing w:after="0"/>
              <w:rPr>
                <w:sz w:val="1"/>
                <w:szCs w:val="1"/>
                <w:color w:val="auto"/>
              </w:rPr>
            </w:pPr>
          </w:p>
        </w:tc>
      </w:tr>
      <w:tr>
        <w:trPr>
          <w:trHeight w:val="432"/>
        </w:trPr>
        <w:tc>
          <w:tcPr>
            <w:tcW w:w="10020" w:type="dxa"/>
            <w:vAlign w:val="bottom"/>
            <w:gridSpan w:val="6"/>
          </w:tcPr>
          <w:p>
            <w:pPr>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320" w:type="dxa"/>
            <w:vAlign w:val="bottom"/>
            <w:tcBorders>
              <w:top w:val="single" w:sz="8" w:color="auto"/>
            </w:tcBorders>
          </w:tcPr>
          <w:p>
            <w:pPr>
              <w:spacing w:after="0"/>
              <w:rPr>
                <w:sz w:val="16"/>
                <w:szCs w:val="16"/>
                <w:color w:val="auto"/>
              </w:rPr>
            </w:pPr>
          </w:p>
        </w:tc>
        <w:tc>
          <w:tcPr>
            <w:tcW w:w="3440" w:type="dxa"/>
            <w:vAlign w:val="bottom"/>
            <w:tcBorders>
              <w:top w:val="single" w:sz="8" w:color="auto"/>
            </w:tcBorders>
          </w:tcPr>
          <w:p>
            <w:pPr>
              <w:spacing w:after="0"/>
              <w:rPr>
                <w:sz w:val="16"/>
                <w:szCs w:val="16"/>
                <w:color w:val="auto"/>
              </w:rPr>
            </w:pPr>
          </w:p>
        </w:tc>
        <w:tc>
          <w:tcPr>
            <w:tcW w:w="3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Borders>
              <w:top w:val="single" w:sz="8" w:color="auto"/>
            </w:tcBorders>
            <w:gridSpan w:val="4"/>
          </w:tcPr>
          <w:p>
            <w:pPr>
              <w:jc w:val="center"/>
              <w:spacing w:after="0" w:line="191" w:lineRule="exact"/>
              <w:rPr>
                <w:sz w:val="20"/>
                <w:szCs w:val="20"/>
                <w:color w:val="auto"/>
              </w:rPr>
            </w:pPr>
            <w:r>
              <w:rPr>
                <w:rFonts w:ascii="Arial" w:cs="Arial" w:eastAsia="Arial" w:hAnsi="Arial"/>
                <w:sz w:val="18"/>
                <w:szCs w:val="18"/>
                <w:b w:val="1"/>
                <w:bCs w:val="1"/>
                <w:color w:val="auto"/>
                <w:w w:val="91"/>
              </w:rPr>
              <w:t>For the 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6"/>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3940" w:type="dxa"/>
            <w:vAlign w:val="bottom"/>
            <w:gridSpan w:val="2"/>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gridSpan w:val="2"/>
            <w:vMerge w:val="continue"/>
          </w:tcPr>
          <w:p>
            <w:pPr>
              <w:spacing w:after="0"/>
              <w:rPr>
                <w:sz w:val="18"/>
                <w:szCs w:val="18"/>
                <w:color w:val="auto"/>
              </w:rPr>
            </w:pP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5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26,673,380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34,589,218</w:t>
            </w:r>
          </w:p>
        </w:tc>
        <w:tc>
          <w:tcPr>
            <w:tcW w:w="0" w:type="dxa"/>
            <w:vAlign w:val="bottom"/>
          </w:tcPr>
          <w:p>
            <w:pPr>
              <w:spacing w:after="0"/>
              <w:rPr>
                <w:sz w:val="1"/>
                <w:szCs w:val="1"/>
                <w:color w:val="auto"/>
              </w:rPr>
            </w:pPr>
          </w:p>
        </w:tc>
      </w:tr>
      <w:tr>
        <w:trPr>
          <w:trHeight w:val="216"/>
        </w:trPr>
        <w:tc>
          <w:tcPr>
            <w:tcW w:w="4760" w:type="dxa"/>
            <w:vAlign w:val="bottom"/>
            <w:gridSpan w:val="2"/>
          </w:tcPr>
          <w:p>
            <w:pPr>
              <w:ind w:left="220"/>
              <w:spacing w:after="0"/>
              <w:rPr>
                <w:sz w:val="20"/>
                <w:szCs w:val="20"/>
                <w:color w:val="auto"/>
              </w:rPr>
            </w:pPr>
            <w:r>
              <w:rPr>
                <w:rFonts w:ascii="Arial" w:cs="Arial" w:eastAsia="Arial" w:hAnsi="Arial"/>
                <w:sz w:val="18"/>
                <w:szCs w:val="18"/>
                <w:color w:val="auto"/>
              </w:rPr>
              <w:t>Ceding commission revenue</w:t>
            </w:r>
          </w:p>
        </w:tc>
        <w:tc>
          <w:tcPr>
            <w:tcW w:w="5260" w:type="dxa"/>
            <w:vAlign w:val="bottom"/>
            <w:gridSpan w:val="4"/>
          </w:tcPr>
          <w:p>
            <w:pPr>
              <w:jc w:val="right"/>
              <w:ind w:right="220"/>
              <w:spacing w:after="0"/>
              <w:rPr>
                <w:sz w:val="20"/>
                <w:szCs w:val="20"/>
                <w:color w:val="auto"/>
              </w:rPr>
            </w:pPr>
            <w:r>
              <w:rPr>
                <w:rFonts w:ascii="Arial" w:cs="Arial" w:eastAsia="Arial" w:hAnsi="Arial"/>
                <w:sz w:val="18"/>
                <w:szCs w:val="18"/>
                <w:color w:val="auto"/>
              </w:rPr>
              <w:t>4,681,396</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5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1,359,100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1,783,196</w:t>
            </w:r>
          </w:p>
        </w:tc>
        <w:tc>
          <w:tcPr>
            <w:tcW w:w="0" w:type="dxa"/>
            <w:vAlign w:val="bottom"/>
          </w:tcPr>
          <w:p>
            <w:pPr>
              <w:spacing w:after="0"/>
              <w:rPr>
                <w:sz w:val="1"/>
                <w:szCs w:val="1"/>
                <w:color w:val="auto"/>
              </w:rPr>
            </w:pPr>
          </w:p>
        </w:tc>
      </w:tr>
      <w:tr>
        <w:trPr>
          <w:trHeight w:val="216"/>
        </w:trPr>
        <w:tc>
          <w:tcPr>
            <w:tcW w:w="4760" w:type="dxa"/>
            <w:vAlign w:val="bottom"/>
            <w:gridSpan w:val="2"/>
          </w:tcPr>
          <w:p>
            <w:pPr>
              <w:ind w:left="220"/>
              <w:spacing w:after="0"/>
              <w:rPr>
                <w:sz w:val="20"/>
                <w:szCs w:val="20"/>
                <w:color w:val="auto"/>
              </w:rPr>
            </w:pPr>
            <w:r>
              <w:rPr>
                <w:rFonts w:ascii="Arial" w:cs="Arial" w:eastAsia="Arial" w:hAnsi="Arial"/>
                <w:sz w:val="18"/>
                <w:szCs w:val="18"/>
                <w:color w:val="auto"/>
              </w:rPr>
              <w:t>Net (losses) gains on investments</w:t>
            </w:r>
          </w:p>
        </w:tc>
        <w:tc>
          <w:tcPr>
            <w:tcW w:w="5260" w:type="dxa"/>
            <w:vAlign w:val="bottom"/>
            <w:gridSpan w:val="4"/>
          </w:tcPr>
          <w:p>
            <w:pPr>
              <w:jc w:val="right"/>
              <w:ind w:right="160"/>
              <w:spacing w:after="0"/>
              <w:rPr>
                <w:sz w:val="20"/>
                <w:szCs w:val="20"/>
                <w:color w:val="auto"/>
              </w:rPr>
            </w:pPr>
            <w:r>
              <w:rPr>
                <w:rFonts w:ascii="Arial" w:cs="Arial" w:eastAsia="Arial" w:hAnsi="Arial"/>
                <w:sz w:val="18"/>
                <w:szCs w:val="18"/>
                <w:color w:val="auto"/>
              </w:rPr>
              <w:t>(4,398,405)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2,960,407</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394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235,824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171,446</w:t>
            </w:r>
          </w:p>
        </w:tc>
        <w:tc>
          <w:tcPr>
            <w:tcW w:w="0" w:type="dxa"/>
            <w:vAlign w:val="bottom"/>
          </w:tcPr>
          <w:p>
            <w:pPr>
              <w:spacing w:after="0"/>
              <w:rPr>
                <w:sz w:val="1"/>
                <w:szCs w:val="1"/>
                <w:color w:val="auto"/>
              </w:rPr>
            </w:pPr>
          </w:p>
        </w:tc>
      </w:tr>
      <w:tr>
        <w:trPr>
          <w:trHeight w:val="20"/>
        </w:trPr>
        <w:tc>
          <w:tcPr>
            <w:tcW w:w="132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gridSpan w:val="2"/>
          </w:tcPr>
          <w:p>
            <w:pPr>
              <w:ind w:left="420"/>
              <w:spacing w:after="0"/>
              <w:rPr>
                <w:sz w:val="20"/>
                <w:szCs w:val="20"/>
                <w:color w:val="auto"/>
              </w:rPr>
            </w:pPr>
            <w:r>
              <w:rPr>
                <w:rFonts w:ascii="Arial" w:cs="Arial" w:eastAsia="Arial" w:hAnsi="Arial"/>
                <w:sz w:val="18"/>
                <w:szCs w:val="18"/>
                <w:color w:val="auto"/>
              </w:rPr>
              <w:t>Total revenues</w:t>
            </w:r>
          </w:p>
        </w:tc>
        <w:tc>
          <w:tcPr>
            <w:tcW w:w="3940" w:type="dxa"/>
            <w:vAlign w:val="bottom"/>
            <w:gridSpan w:val="2"/>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28,551,295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39,503,202</w:t>
            </w: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5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22,941,198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22,560,672</w:t>
            </w:r>
          </w:p>
        </w:tc>
        <w:tc>
          <w:tcPr>
            <w:tcW w:w="0" w:type="dxa"/>
            <w:vAlign w:val="bottom"/>
          </w:tcPr>
          <w:p>
            <w:pPr>
              <w:spacing w:after="0"/>
              <w:rPr>
                <w:sz w:val="1"/>
                <w:szCs w:val="1"/>
                <w:color w:val="auto"/>
              </w:rPr>
            </w:pPr>
          </w:p>
        </w:tc>
      </w:tr>
      <w:tr>
        <w:trPr>
          <w:trHeight w:val="216"/>
        </w:trPr>
        <w:tc>
          <w:tcPr>
            <w:tcW w:w="4760" w:type="dxa"/>
            <w:vAlign w:val="bottom"/>
            <w:gridSpan w:val="2"/>
          </w:tcPr>
          <w:p>
            <w:pPr>
              <w:ind w:left="220"/>
              <w:spacing w:after="0"/>
              <w:rPr>
                <w:sz w:val="20"/>
                <w:szCs w:val="20"/>
                <w:color w:val="auto"/>
              </w:rPr>
            </w:pPr>
            <w:r>
              <w:rPr>
                <w:rFonts w:ascii="Arial" w:cs="Arial" w:eastAsia="Arial" w:hAnsi="Arial"/>
                <w:sz w:val="18"/>
                <w:szCs w:val="18"/>
                <w:color w:val="auto"/>
              </w:rPr>
              <w:t>Commission expense</w:t>
            </w:r>
          </w:p>
        </w:tc>
        <w:tc>
          <w:tcPr>
            <w:tcW w:w="5260" w:type="dxa"/>
            <w:vAlign w:val="bottom"/>
            <w:gridSpan w:val="4"/>
          </w:tcPr>
          <w:p>
            <w:pPr>
              <w:jc w:val="right"/>
              <w:ind w:right="220"/>
              <w:spacing w:after="0"/>
              <w:rPr>
                <w:sz w:val="20"/>
                <w:szCs w:val="20"/>
                <w:color w:val="auto"/>
              </w:rPr>
            </w:pPr>
            <w:r>
              <w:rPr>
                <w:rFonts w:ascii="Arial" w:cs="Arial" w:eastAsia="Arial" w:hAnsi="Arial"/>
                <w:sz w:val="18"/>
                <w:szCs w:val="18"/>
                <w:color w:val="auto"/>
              </w:rPr>
              <w:t>8,351,086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8,223,839</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5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6,815,949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6,467,042</w:t>
            </w:r>
          </w:p>
        </w:tc>
        <w:tc>
          <w:tcPr>
            <w:tcW w:w="0" w:type="dxa"/>
            <w:vAlign w:val="bottom"/>
          </w:tcPr>
          <w:p>
            <w:pPr>
              <w:spacing w:after="0"/>
              <w:rPr>
                <w:sz w:val="1"/>
                <w:szCs w:val="1"/>
                <w:color w:val="auto"/>
              </w:rPr>
            </w:pPr>
          </w:p>
        </w:tc>
      </w:tr>
      <w:tr>
        <w:trPr>
          <w:trHeight w:val="216"/>
        </w:trPr>
        <w:tc>
          <w:tcPr>
            <w:tcW w:w="4760" w:type="dxa"/>
            <w:vAlign w:val="bottom"/>
            <w:gridSpan w:val="2"/>
          </w:tcPr>
          <w:p>
            <w:pPr>
              <w:ind w:left="220"/>
              <w:spacing w:after="0"/>
              <w:rPr>
                <w:sz w:val="20"/>
                <w:szCs w:val="20"/>
                <w:color w:val="auto"/>
              </w:rPr>
            </w:pPr>
            <w:r>
              <w:rPr>
                <w:rFonts w:ascii="Arial" w:cs="Arial" w:eastAsia="Arial" w:hAnsi="Arial"/>
                <w:sz w:val="18"/>
                <w:szCs w:val="18"/>
                <w:color w:val="auto"/>
              </w:rPr>
              <w:t>Other operating expenses</w:t>
            </w:r>
          </w:p>
        </w:tc>
        <w:tc>
          <w:tcPr>
            <w:tcW w:w="5260" w:type="dxa"/>
            <w:vAlign w:val="bottom"/>
            <w:gridSpan w:val="4"/>
          </w:tcPr>
          <w:p>
            <w:pPr>
              <w:jc w:val="right"/>
              <w:ind w:right="220"/>
              <w:spacing w:after="0"/>
              <w:rPr>
                <w:sz w:val="20"/>
                <w:szCs w:val="20"/>
                <w:color w:val="auto"/>
              </w:rPr>
            </w:pPr>
            <w:r>
              <w:rPr>
                <w:rFonts w:ascii="Arial" w:cs="Arial" w:eastAsia="Arial" w:hAnsi="Arial"/>
                <w:sz w:val="18"/>
                <w:szCs w:val="18"/>
                <w:color w:val="auto"/>
              </w:rPr>
              <w:t>881,955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1,352,306</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5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770,110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822,340</w:t>
            </w:r>
          </w:p>
        </w:tc>
        <w:tc>
          <w:tcPr>
            <w:tcW w:w="0" w:type="dxa"/>
            <w:vAlign w:val="bottom"/>
          </w:tcPr>
          <w:p>
            <w:pPr>
              <w:spacing w:after="0"/>
              <w:rPr>
                <w:sz w:val="1"/>
                <w:szCs w:val="1"/>
                <w:color w:val="auto"/>
              </w:rPr>
            </w:pPr>
          </w:p>
        </w:tc>
      </w:tr>
      <w:tr>
        <w:trPr>
          <w:trHeight w:val="216"/>
        </w:trPr>
        <w:tc>
          <w:tcPr>
            <w:tcW w:w="476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3940" w:type="dxa"/>
            <w:vAlign w:val="bottom"/>
            <w:gridSpan w:val="2"/>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456,545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456,545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394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40,216,843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39,882,744</w:t>
            </w:r>
          </w:p>
        </w:tc>
        <w:tc>
          <w:tcPr>
            <w:tcW w:w="0" w:type="dxa"/>
            <w:vAlign w:val="bottom"/>
          </w:tcPr>
          <w:p>
            <w:pPr>
              <w:spacing w:after="0"/>
              <w:rPr>
                <w:sz w:val="1"/>
                <w:szCs w:val="1"/>
                <w:color w:val="auto"/>
              </w:rPr>
            </w:pPr>
          </w:p>
        </w:tc>
      </w:tr>
      <w:tr>
        <w:trPr>
          <w:trHeight w:val="210"/>
        </w:trPr>
        <w:tc>
          <w:tcPr>
            <w:tcW w:w="13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from operations before taxes</w:t>
            </w:r>
          </w:p>
        </w:tc>
        <w:tc>
          <w:tcPr>
            <w:tcW w:w="5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(11,665,548)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(379,542)</w:t>
            </w:r>
          </w:p>
        </w:tc>
        <w:tc>
          <w:tcPr>
            <w:tcW w:w="0" w:type="dxa"/>
            <w:vAlign w:val="bottom"/>
          </w:tcPr>
          <w:p>
            <w:pPr>
              <w:spacing w:after="0"/>
              <w:rPr>
                <w:sz w:val="1"/>
                <w:szCs w:val="1"/>
                <w:color w:val="auto"/>
              </w:rPr>
            </w:pPr>
          </w:p>
        </w:tc>
      </w:tr>
      <w:tr>
        <w:trPr>
          <w:trHeight w:val="216"/>
        </w:trPr>
        <w:tc>
          <w:tcPr>
            <w:tcW w:w="4760" w:type="dxa"/>
            <w:vAlign w:val="bottom"/>
            <w:gridSpan w:val="2"/>
          </w:tcPr>
          <w:p>
            <w:pPr>
              <w:ind w:left="220"/>
              <w:spacing w:after="0"/>
              <w:rPr>
                <w:sz w:val="20"/>
                <w:szCs w:val="20"/>
                <w:color w:val="auto"/>
              </w:rPr>
            </w:pPr>
            <w:r>
              <w:rPr>
                <w:rFonts w:ascii="Arial" w:cs="Arial" w:eastAsia="Arial" w:hAnsi="Arial"/>
                <w:sz w:val="18"/>
                <w:szCs w:val="18"/>
                <w:color w:val="auto"/>
              </w:rPr>
              <w:t>Income tax benefit</w:t>
            </w:r>
          </w:p>
        </w:tc>
        <w:tc>
          <w:tcPr>
            <w:tcW w:w="3940" w:type="dxa"/>
            <w:vAlign w:val="bottom"/>
            <w:gridSpan w:val="2"/>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(2,468,016)</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(68,445)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94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(9,197,532)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(311,097)</w:t>
            </w:r>
          </w:p>
        </w:tc>
        <w:tc>
          <w:tcPr>
            <w:tcW w:w="0" w:type="dxa"/>
            <w:vAlign w:val="bottom"/>
          </w:tcPr>
          <w:p>
            <w:pPr>
              <w:spacing w:after="0"/>
              <w:rPr>
                <w:sz w:val="1"/>
                <w:szCs w:val="1"/>
                <w:color w:val="auto"/>
              </w:rPr>
            </w:pPr>
          </w:p>
        </w:tc>
      </w:tr>
      <w:tr>
        <w:trPr>
          <w:trHeight w:val="209"/>
        </w:trPr>
        <w:tc>
          <w:tcPr>
            <w:tcW w:w="13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1320" w:type="dxa"/>
            <w:vAlign w:val="bottom"/>
            <w:shd w:val="clear" w:color="auto" w:fill="CCEEFF"/>
          </w:tcPr>
          <w:p>
            <w:pPr>
              <w:spacing w:after="0"/>
              <w:rPr>
                <w:sz w:val="5"/>
                <w:szCs w:val="5"/>
                <w:color w:val="auto"/>
              </w:rPr>
            </w:pPr>
          </w:p>
        </w:tc>
        <w:tc>
          <w:tcPr>
            <w:tcW w:w="3440" w:type="dxa"/>
            <w:vAlign w:val="bottom"/>
            <w:shd w:val="clear" w:color="auto" w:fill="CCEEFF"/>
          </w:tcPr>
          <w:p>
            <w:pPr>
              <w:spacing w:after="0"/>
              <w:rPr>
                <w:sz w:val="5"/>
                <w:szCs w:val="5"/>
                <w:color w:val="auto"/>
              </w:rPr>
            </w:pPr>
          </w:p>
        </w:tc>
        <w:tc>
          <w:tcPr>
            <w:tcW w:w="3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Gross change in unrealized losses on available-for-sale-securities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(9,865,777)</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(3,823,279)</w:t>
            </w:r>
          </w:p>
        </w:tc>
      </w:tr>
      <w:tr>
        <w:trPr>
          <w:trHeight w:val="216"/>
        </w:trPr>
        <w:tc>
          <w:tcPr>
            <w:tcW w:w="8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Reclassification adjustment for losses (gains) included in net loss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41,324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(394,297)</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losses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(9,824,453)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(4,217,576)</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Income tax benefit related to items of other comprehensive loss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2,063,136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885,692</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(7,761,317)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(3,331,884)</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(16,958,849)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(3,642,981)</w:t>
            </w:r>
          </w:p>
        </w:tc>
      </w:tr>
      <w:tr>
        <w:trPr>
          <w:trHeight w:val="196"/>
        </w:trPr>
        <w:tc>
          <w:tcPr>
            <w:tcW w:w="87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common share: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(0.87)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r>
      <w:tr>
        <w:trPr>
          <w:trHeight w:val="20"/>
        </w:trPr>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(0.87)</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(0.03)</w:t>
            </w:r>
          </w:p>
        </w:tc>
      </w:tr>
      <w:tr>
        <w:trPr>
          <w:trHeight w:val="196"/>
        </w:trPr>
        <w:tc>
          <w:tcPr>
            <w:tcW w:w="87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10,630,450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10,676,298</w:t>
            </w:r>
          </w:p>
        </w:tc>
      </w:tr>
      <w:tr>
        <w:trPr>
          <w:trHeight w:val="20"/>
        </w:trPr>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10,630,450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9"/>
              </w:rPr>
              <w:t>10,676,298</w:t>
            </w:r>
          </w:p>
        </w:tc>
      </w:tr>
      <w:tr>
        <w:trPr>
          <w:trHeight w:val="197"/>
        </w:trPr>
        <w:tc>
          <w:tcPr>
            <w:tcW w:w="87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and paid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left="680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Accumulated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8"/>
                <w:szCs w:val="18"/>
                <w:color w:val="auto"/>
                <w:w w:val="97"/>
              </w:rPr>
              <w:t>Preferred Stock</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4"/>
            <w:vMerge w:val="restart"/>
          </w:tcPr>
          <w:p>
            <w:pPr>
              <w:jc w:val="right"/>
              <w:ind w:right="520"/>
              <w:spacing w:after="0"/>
              <w:rPr>
                <w:sz w:val="20"/>
                <w:szCs w:val="20"/>
                <w:color w:val="auto"/>
              </w:rPr>
            </w:pPr>
            <w:r>
              <w:rPr>
                <w:rFonts w:ascii="Arial" w:cs="Arial" w:eastAsia="Arial" w:hAnsi="Arial"/>
                <w:sz w:val="18"/>
                <w:szCs w:val="18"/>
                <w:color w:val="auto"/>
              </w:rPr>
              <w:t>Common Stock</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Capital</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4"/>
            <w:vMerge w:val="restart"/>
          </w:tcPr>
          <w:p>
            <w:pPr>
              <w:jc w:val="right"/>
              <w:ind w:right="500"/>
              <w:spacing w:after="0"/>
              <w:rPr>
                <w:sz w:val="20"/>
                <w:szCs w:val="20"/>
                <w:color w:val="auto"/>
              </w:rPr>
            </w:pPr>
            <w:r>
              <w:rPr>
                <w:rFonts w:ascii="Arial" w:cs="Arial" w:eastAsia="Arial" w:hAnsi="Arial"/>
                <w:sz w:val="18"/>
                <w:szCs w:val="18"/>
                <w:color w:val="auto"/>
              </w:rPr>
              <w:t>Treasury Stock</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in Excess</w:t>
            </w:r>
          </w:p>
        </w:tc>
        <w:tc>
          <w:tcPr>
            <w:tcW w:w="60" w:type="dxa"/>
            <w:vAlign w:val="bottom"/>
          </w:tcPr>
          <w:p>
            <w:pPr>
              <w:spacing w:after="0"/>
              <w:rPr>
                <w:sz w:val="18"/>
                <w:szCs w:val="18"/>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Comprehensive</w:t>
            </w:r>
          </w:p>
        </w:tc>
        <w:tc>
          <w:tcPr>
            <w:tcW w:w="1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Retained</w:t>
            </w:r>
          </w:p>
        </w:tc>
        <w:tc>
          <w:tcPr>
            <w:tcW w:w="198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70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87"/>
              </w:rPr>
              <w:t>Shares</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Amount</w:t>
            </w:r>
          </w:p>
        </w:tc>
        <w:tc>
          <w:tcPr>
            <w:tcW w:w="160" w:type="dxa"/>
            <w:vAlign w:val="bottom"/>
          </w:tcPr>
          <w:p>
            <w:pPr>
              <w:spacing w:after="0"/>
              <w:rPr>
                <w:sz w:val="18"/>
                <w:szCs w:val="18"/>
                <w:color w:val="auto"/>
              </w:rPr>
            </w:pPr>
          </w:p>
        </w:tc>
        <w:tc>
          <w:tcPr>
            <w:tcW w:w="106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Shares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of Par</w:t>
            </w:r>
          </w:p>
        </w:tc>
        <w:tc>
          <w:tcPr>
            <w:tcW w:w="60" w:type="dxa"/>
            <w:vAlign w:val="bottom"/>
          </w:tcPr>
          <w:p>
            <w:pPr>
              <w:spacing w:after="0"/>
              <w:rPr>
                <w:sz w:val="18"/>
                <w:szCs w:val="18"/>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Income (Loss)</w:t>
            </w:r>
          </w:p>
        </w:tc>
        <w:tc>
          <w:tcPr>
            <w:tcW w:w="1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Earnings</w:t>
            </w:r>
          </w:p>
        </w:tc>
        <w:tc>
          <w:tcPr>
            <w:tcW w:w="9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Shares</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11,871,307</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$ 118,713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$70,769,165</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9,880,062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15,928,345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1,254,492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 (3,895,883)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$92,800,402</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494,998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494,998</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85,922</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stock awards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 payment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of</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withholding</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taxes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(21,908)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(146,387)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(146,606)</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of treasury</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(65,915)</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(65,915)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Dividends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(427,217)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(427,217)</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(311,097)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(311,097)</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unrealized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losses 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available-for-</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sale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5"/>
              </w:rPr>
              <w:t>securities, net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(3,331,884)</w:t>
            </w:r>
          </w:p>
        </w:tc>
        <w:tc>
          <w:tcPr>
            <w:tcW w:w="140" w:type="dxa"/>
            <w:vAlign w:val="bottom"/>
          </w:tcPr>
          <w:p>
            <w:pPr>
              <w:spacing w:after="0"/>
              <w:rPr>
                <w:sz w:val="18"/>
                <w:szCs w:val="18"/>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(3,331,884)</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20"/>
                <w:szCs w:val="20"/>
                <w:color w:val="auto"/>
              </w:rPr>
            </w:pPr>
            <w:r>
              <w:rPr>
                <w:rFonts w:ascii="Arial" w:cs="Arial" w:eastAsia="Arial" w:hAnsi="Arial"/>
                <w:sz w:val="18"/>
                <w:szCs w:val="18"/>
                <w:color w:val="auto"/>
              </w:rPr>
              <w:t>of tax</w:t>
            </w:r>
          </w:p>
        </w:tc>
        <w:tc>
          <w:tcPr>
            <w:tcW w:w="7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March 31,</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5"/>
              </w:rPr>
              <w:t>11,935,321</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89"/>
              </w:rPr>
              <w:t>$ 119,353</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5"/>
              </w:rPr>
              <w:t>$ 71,116,917</w:t>
            </w:r>
          </w:p>
        </w:tc>
        <w:tc>
          <w:tcPr>
            <w:tcW w:w="28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6,548,178</w:t>
            </w: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5"/>
              </w:rPr>
              <w:t>15,190,031</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9"/>
              </w:rPr>
              <w:t>1,262,527</w:t>
            </w: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(3,961,798)</w:t>
            </w:r>
          </w:p>
        </w:tc>
        <w:tc>
          <w:tcPr>
            <w:tcW w:w="10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89,012,681</w:t>
            </w: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2021</w:t>
            </w:r>
          </w:p>
        </w:tc>
        <w:tc>
          <w:tcPr>
            <w:tcW w:w="70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8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4"/>
        </w:trPr>
        <w:tc>
          <w:tcPr>
            <w:tcW w:w="108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88"/>
              </w:rPr>
              <w:t>Retained</w:t>
            </w:r>
          </w:p>
        </w:tc>
        <w:tc>
          <w:tcPr>
            <w:tcW w:w="16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Capital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Earnings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w w:val="94"/>
              </w:rPr>
              <w:t>Preferred Stock</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4"/>
          </w:tcPr>
          <w:p>
            <w:pPr>
              <w:jc w:val="right"/>
              <w:ind w:right="520"/>
              <w:spacing w:after="0"/>
              <w:rPr>
                <w:sz w:val="20"/>
                <w:szCs w:val="20"/>
                <w:color w:val="auto"/>
              </w:rPr>
            </w:pPr>
            <w:r>
              <w:rPr>
                <w:rFonts w:ascii="Arial" w:cs="Arial" w:eastAsia="Arial" w:hAnsi="Arial"/>
                <w:sz w:val="18"/>
                <w:szCs w:val="18"/>
                <w:color w:val="auto"/>
              </w:rPr>
              <w:t>Common Stock</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in Excess</w:t>
            </w:r>
          </w:p>
        </w:tc>
        <w:tc>
          <w:tcPr>
            <w:tcW w:w="60" w:type="dxa"/>
            <w:vAlign w:val="bottom"/>
          </w:tcPr>
          <w:p>
            <w:pPr>
              <w:spacing w:after="0"/>
              <w:rPr>
                <w:sz w:val="20"/>
                <w:szCs w:val="20"/>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Comprehensive</w:t>
            </w:r>
          </w:p>
        </w:tc>
        <w:tc>
          <w:tcPr>
            <w:tcW w:w="118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1980" w:type="dxa"/>
            <w:vAlign w:val="bottom"/>
            <w:gridSpan w:val="4"/>
          </w:tcPr>
          <w:p>
            <w:pPr>
              <w:jc w:val="right"/>
              <w:ind w:right="460"/>
              <w:spacing w:after="0"/>
              <w:rPr>
                <w:sz w:val="20"/>
                <w:szCs w:val="20"/>
                <w:color w:val="auto"/>
              </w:rPr>
            </w:pPr>
            <w:r>
              <w:rPr>
                <w:rFonts w:ascii="Arial" w:cs="Arial" w:eastAsia="Arial" w:hAnsi="Arial"/>
                <w:sz w:val="18"/>
                <w:szCs w:val="18"/>
                <w:color w:val="auto"/>
              </w:rPr>
              <w:t>Treasury Stock</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Shares</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Amount</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Shares</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of Par</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Deficit)</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Shares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Balance,</w:t>
            </w:r>
          </w:p>
        </w:tc>
        <w:tc>
          <w:tcPr>
            <w:tcW w:w="70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0"/>
              <w:spacing w:after="0" w:line="205" w:lineRule="exact"/>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line="205" w:lineRule="exact"/>
              <w:rPr>
                <w:sz w:val="20"/>
                <w:szCs w:val="20"/>
                <w:color w:val="auto"/>
              </w:rPr>
            </w:pPr>
            <w:r>
              <w:rPr>
                <w:rFonts w:ascii="Arial" w:cs="Arial" w:eastAsia="Arial" w:hAnsi="Arial"/>
                <w:sz w:val="18"/>
                <w:szCs w:val="18"/>
                <w:color w:val="auto"/>
                <w:w w:val="95"/>
              </w:rPr>
              <w:t>11,955,660</w:t>
            </w:r>
          </w:p>
        </w:tc>
        <w:tc>
          <w:tcPr>
            <w:tcW w:w="920" w:type="dxa"/>
            <w:vAlign w:val="bottom"/>
            <w:gridSpan w:val="2"/>
            <w:shd w:val="clear" w:color="auto" w:fill="CCEEFF"/>
          </w:tcPr>
          <w:p>
            <w:pPr>
              <w:jc w:val="right"/>
              <w:ind w:right="180"/>
              <w:spacing w:after="0" w:line="205" w:lineRule="exact"/>
              <w:rPr>
                <w:sz w:val="20"/>
                <w:szCs w:val="20"/>
                <w:color w:val="auto"/>
              </w:rPr>
            </w:pPr>
            <w:r>
              <w:rPr>
                <w:rFonts w:ascii="Arial" w:cs="Arial" w:eastAsia="Arial" w:hAnsi="Arial"/>
                <w:sz w:val="18"/>
                <w:szCs w:val="18"/>
                <w:color w:val="auto"/>
                <w:w w:val="89"/>
              </w:rPr>
              <w:t>$ 119,557</w:t>
            </w:r>
          </w:p>
        </w:tc>
        <w:tc>
          <w:tcPr>
            <w:tcW w:w="104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w w:val="89"/>
              </w:rPr>
              <w:t>$72,467,483</w:t>
            </w:r>
          </w:p>
        </w:tc>
        <w:tc>
          <w:tcPr>
            <w:tcW w:w="280" w:type="dxa"/>
            <w:vAlign w:val="bottom"/>
            <w:gridSpan w:val="2"/>
            <w:shd w:val="clear" w:color="auto" w:fill="CCEEFF"/>
          </w:tcPr>
          <w:p>
            <w:pPr>
              <w:jc w:val="right"/>
              <w:ind w:right="50"/>
              <w:spacing w:after="0" w:line="205"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line="205" w:lineRule="exact"/>
              <w:rPr>
                <w:sz w:val="20"/>
                <w:szCs w:val="20"/>
                <w:color w:val="auto"/>
              </w:rPr>
            </w:pPr>
            <w:r>
              <w:rPr>
                <w:rFonts w:ascii="Arial" w:cs="Arial" w:eastAsia="Arial" w:hAnsi="Arial"/>
                <w:sz w:val="18"/>
                <w:szCs w:val="18"/>
                <w:color w:val="auto"/>
              </w:rPr>
              <w:t>1,796,739</w:t>
            </w:r>
          </w:p>
        </w:tc>
        <w:tc>
          <w:tcPr>
            <w:tcW w:w="1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rPr>
              <w:t>6,855,896</w:t>
            </w:r>
          </w:p>
        </w:tc>
        <w:tc>
          <w:tcPr>
            <w:tcW w:w="98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w w:val="99"/>
              </w:rPr>
              <w:t>1,471,406</w:t>
            </w:r>
          </w:p>
        </w:tc>
        <w:tc>
          <w:tcPr>
            <w:tcW w:w="100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w w:val="87"/>
              </w:rPr>
              <w:t>$ (5,567,481)</w:t>
            </w:r>
          </w:p>
        </w:tc>
        <w:tc>
          <w:tcPr>
            <w:tcW w:w="1080" w:type="dxa"/>
            <w:vAlign w:val="bottom"/>
            <w:gridSpan w:val="3"/>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w w:val="95"/>
              </w:rPr>
              <w:t>$75,672,194</w:t>
            </w:r>
          </w:p>
        </w:tc>
        <w:tc>
          <w:tcPr>
            <w:tcW w:w="0" w:type="dxa"/>
            <w:vAlign w:val="bottom"/>
          </w:tcPr>
          <w:p>
            <w:pPr>
              <w:spacing w:after="0"/>
              <w:rPr>
                <w:sz w:val="1"/>
                <w:szCs w:val="1"/>
                <w:color w:val="auto"/>
              </w:rPr>
            </w:pPr>
          </w:p>
        </w:tc>
      </w:tr>
    </w:tbl>
    <w:p>
      <w:pPr>
        <w:sectPr>
          <w:pgSz w:w="11900" w:h="16900" w:orient="portrait"/>
          <w:cols w:equalWidth="0" w:num="1">
            <w:col w:w="11240"/>
          </w:cols>
          <w:pgMar w:left="320" w:top="140" w:right="3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540" w:type="dxa"/>
            <w:vAlign w:val="bottom"/>
          </w:tcPr>
          <w:p>
            <w:pPr>
              <w:ind w:left="4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530,414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530,414</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540" w:type="dxa"/>
            <w:vAlign w:val="bottom"/>
            <w:shd w:val="clear" w:color="auto" w:fill="CCEEFF"/>
          </w:tcPr>
          <w:p>
            <w:pPr>
              <w:ind w:left="48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222,070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(2,221)</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stock awards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 payment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of</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withholding</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taxes</w:t>
            </w:r>
          </w:p>
        </w:tc>
        <w:tc>
          <w:tcPr>
            <w:tcW w:w="540" w:type="dxa"/>
            <w:vAlign w:val="bottom"/>
          </w:tcPr>
          <w:p>
            <w:pPr>
              <w:ind w:left="4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(68,423)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(685)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(357,390)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(358,075)</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540" w:type="dxa"/>
            <w:vAlign w:val="bottom"/>
            <w:shd w:val="clear" w:color="auto" w:fill="CCEEFF"/>
          </w:tcPr>
          <w:p>
            <w:pPr>
              <w:ind w:left="48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(425,490)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(425,490)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ind w:left="4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(9,197,532)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(9,197,532)</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unrealized</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losses on</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available-for-</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5"/>
              </w:rPr>
              <w:t>securities, net</w:t>
            </w:r>
          </w:p>
        </w:tc>
        <w:tc>
          <w:tcPr>
            <w:tcW w:w="540" w:type="dxa"/>
            <w:vAlign w:val="bottom"/>
            <w:vMerge w:val="restart"/>
            <w:shd w:val="clear" w:color="auto" w:fill="CCEEFF"/>
          </w:tcPr>
          <w:p>
            <w:pPr>
              <w:ind w:left="48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(7,761,317)</w:t>
            </w:r>
          </w:p>
        </w:tc>
        <w:tc>
          <w:tcPr>
            <w:tcW w:w="16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(7,761,317)</w:t>
            </w:r>
          </w:p>
        </w:tc>
        <w:tc>
          <w:tcPr>
            <w:tcW w:w="0" w:type="dxa"/>
            <w:vAlign w:val="bottom"/>
          </w:tcPr>
          <w:p>
            <w:pPr>
              <w:spacing w:after="0"/>
              <w:rPr>
                <w:sz w:val="1"/>
                <w:szCs w:val="1"/>
                <w:color w:val="auto"/>
              </w:rPr>
            </w:pPr>
          </w:p>
        </w:tc>
      </w:tr>
      <w:tr>
        <w:trPr>
          <w:trHeight w:val="217"/>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of tax</w:t>
            </w:r>
          </w:p>
        </w:tc>
        <w:tc>
          <w:tcPr>
            <w:tcW w:w="5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Balance,</w:t>
            </w:r>
          </w:p>
        </w:tc>
        <w:tc>
          <w:tcPr>
            <w:tcW w:w="5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March 31,</w:t>
            </w:r>
          </w:p>
        </w:tc>
        <w:tc>
          <w:tcPr>
            <w:tcW w:w="1060" w:type="dxa"/>
            <w:vAlign w:val="bottom"/>
            <w:gridSpan w:val="3"/>
            <w:vMerge w:val="restart"/>
          </w:tcPr>
          <w:p>
            <w:pPr>
              <w:ind w:left="480"/>
              <w:spacing w:after="0"/>
              <w:rPr>
                <w:sz w:val="20"/>
                <w:szCs w:val="20"/>
                <w:color w:val="auto"/>
              </w:rPr>
            </w:pPr>
            <w:r>
              <w:rPr>
                <w:rFonts w:ascii="Arial" w:cs="Arial" w:eastAsia="Arial" w:hAnsi="Arial"/>
                <w:sz w:val="18"/>
                <w:szCs w:val="18"/>
                <w:color w:val="auto"/>
              </w:rPr>
              <w:t>-  $</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5"/>
              </w:rPr>
              <w:t>12,109,307</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89"/>
              </w:rPr>
              <w:t>$ 121,093</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72,638,286</w:t>
            </w: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(5,964,578) $</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7"/>
              </w:rPr>
              <w:t>(2,767,126)</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9"/>
              </w:rPr>
              <w:t>1,471,406</w:t>
            </w: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(5,567,481)</w:t>
            </w:r>
          </w:p>
        </w:tc>
        <w:tc>
          <w:tcPr>
            <w:tcW w:w="1080" w:type="dxa"/>
            <w:vAlign w:val="bottom"/>
            <w:gridSpan w:val="3"/>
            <w:vMerge w:val="restart"/>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58,460,194</w:t>
            </w:r>
          </w:p>
        </w:tc>
        <w:tc>
          <w:tcPr>
            <w:tcW w:w="0" w:type="dxa"/>
            <w:vAlign w:val="bottom"/>
          </w:tcPr>
          <w:p>
            <w:pPr>
              <w:spacing w:after="0"/>
              <w:rPr>
                <w:sz w:val="1"/>
                <w:szCs w:val="1"/>
                <w:color w:val="auto"/>
              </w:rPr>
            </w:pPr>
          </w:p>
        </w:tc>
      </w:tr>
      <w:tr>
        <w:trPr>
          <w:trHeight w:val="190"/>
        </w:trPr>
        <w:tc>
          <w:tcPr>
            <w:tcW w:w="1080" w:type="dxa"/>
            <w:vAlign w:val="bottom"/>
          </w:tcPr>
          <w:p>
            <w:pPr>
              <w:spacing w:after="0" w:line="190" w:lineRule="exact"/>
              <w:rPr>
                <w:sz w:val="20"/>
                <w:szCs w:val="20"/>
                <w:color w:val="auto"/>
              </w:rPr>
            </w:pPr>
            <w:r>
              <w:rPr>
                <w:rFonts w:ascii="Arial" w:cs="Arial" w:eastAsia="Arial" w:hAnsi="Arial"/>
                <w:sz w:val="18"/>
                <w:szCs w:val="18"/>
                <w:color w:val="auto"/>
              </w:rPr>
              <w:t>2022</w:t>
            </w:r>
          </w:p>
        </w:tc>
        <w:tc>
          <w:tcPr>
            <w:tcW w:w="1060" w:type="dxa"/>
            <w:vAlign w:val="bottom"/>
            <w:gridSpan w:val="3"/>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1320" w:type="dxa"/>
            <w:vAlign w:val="bottom"/>
            <w:tcBorders>
              <w:top w:val="single" w:sz="8" w:color="0000EE"/>
            </w:tcBorders>
          </w:tcPr>
          <w:p>
            <w:pPr>
              <w:spacing w:after="0"/>
              <w:rPr>
                <w:sz w:val="24"/>
                <w:szCs w:val="24"/>
                <w:color w:val="auto"/>
              </w:rPr>
            </w:pPr>
          </w:p>
        </w:tc>
        <w:tc>
          <w:tcPr>
            <w:tcW w:w="5440" w:type="dxa"/>
            <w:vAlign w:val="bottom"/>
          </w:tcPr>
          <w:p>
            <w:pPr>
              <w:spacing w:after="0"/>
              <w:rPr>
                <w:sz w:val="24"/>
                <w:szCs w:val="24"/>
                <w:color w:val="auto"/>
              </w:rPr>
            </w:pPr>
          </w:p>
        </w:tc>
        <w:tc>
          <w:tcPr>
            <w:tcW w:w="4480" w:type="dxa"/>
            <w:vAlign w:val="bottom"/>
            <w:gridSpan w:val="7"/>
          </w:tcPr>
          <w:p>
            <w:pPr>
              <w:jc w:val="right"/>
              <w:spacing w:after="0"/>
              <w:rPr>
                <w:sz w:val="20"/>
                <w:szCs w:val="20"/>
                <w:color w:val="auto"/>
              </w:rPr>
            </w:pPr>
            <w:r>
              <w:rPr>
                <w:rFonts w:ascii="Arial" w:cs="Arial" w:eastAsia="Arial" w:hAnsi="Arial"/>
                <w:sz w:val="18"/>
                <w:szCs w:val="18"/>
                <w:b w:val="1"/>
                <w:bCs w:val="1"/>
                <w:color w:val="auto"/>
              </w:rPr>
              <w:t>KINGSTONE COMPANIES, INC. AND SUBSIDIARIES</w:t>
            </w:r>
          </w:p>
        </w:tc>
      </w:tr>
      <w:tr>
        <w:trPr>
          <w:trHeight w:val="432"/>
        </w:trPr>
        <w:tc>
          <w:tcPr>
            <w:tcW w:w="6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Condensed Consolidated Statements of Cash Flows (Unaudited)</w:t>
            </w:r>
          </w:p>
        </w:tc>
        <w:tc>
          <w:tcPr>
            <w:tcW w:w="1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Three months ended March 31,</w:t>
            </w:r>
          </w:p>
        </w:tc>
        <w:tc>
          <w:tcPr>
            <w:tcW w:w="1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425"/>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(9,197,532)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(311,097)</w:t>
            </w: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w w:val="91"/>
              </w:rPr>
              <w:t>Adjustments to reconcile net loss to net cash flows (used in) provided by operating activities: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gains on investments</w:t>
            </w:r>
          </w:p>
        </w:tc>
        <w:tc>
          <w:tcPr>
            <w:tcW w:w="3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(77,761)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(1,127,234)</w:t>
            </w:r>
          </w:p>
        </w:tc>
      </w:tr>
      <w:tr>
        <w:trPr>
          <w:trHeight w:val="216"/>
        </w:trPr>
        <w:tc>
          <w:tcPr>
            <w:tcW w:w="6760" w:type="dxa"/>
            <w:vAlign w:val="bottom"/>
            <w:gridSpan w:val="2"/>
          </w:tcPr>
          <w:p>
            <w:pPr>
              <w:ind w:left="220"/>
              <w:spacing w:after="0"/>
              <w:rPr>
                <w:sz w:val="20"/>
                <w:szCs w:val="20"/>
                <w:color w:val="auto"/>
              </w:rPr>
            </w:pPr>
            <w:r>
              <w:rPr>
                <w:rFonts w:ascii="Arial" w:cs="Arial" w:eastAsia="Arial" w:hAnsi="Arial"/>
                <w:sz w:val="18"/>
                <w:szCs w:val="18"/>
                <w:color w:val="auto"/>
              </w:rPr>
              <w:t>Net unrealized losses (gains) on equity investments</w:t>
            </w:r>
          </w:p>
        </w:tc>
        <w:tc>
          <w:tcPr>
            <w:tcW w:w="3260" w:type="dxa"/>
            <w:vAlign w:val="bottom"/>
            <w:gridSpan w:val="4"/>
          </w:tcPr>
          <w:p>
            <w:pPr>
              <w:jc w:val="right"/>
              <w:ind w:right="220"/>
              <w:spacing w:after="0"/>
              <w:rPr>
                <w:sz w:val="20"/>
                <w:szCs w:val="20"/>
                <w:color w:val="auto"/>
              </w:rPr>
            </w:pPr>
            <w:r>
              <w:rPr>
                <w:rFonts w:ascii="Arial" w:cs="Arial" w:eastAsia="Arial" w:hAnsi="Arial"/>
                <w:sz w:val="18"/>
                <w:szCs w:val="18"/>
                <w:color w:val="auto"/>
              </w:rPr>
              <w:t>3,560,634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(1,003,209)</w:t>
            </w:r>
          </w:p>
        </w:tc>
      </w:tr>
      <w:tr>
        <w:trPr>
          <w:trHeight w:val="21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unrealized losses (gains) on other investments</w:t>
            </w:r>
          </w:p>
        </w:tc>
        <w:tc>
          <w:tcPr>
            <w:tcW w:w="3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915,532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(829,964)</w:t>
            </w:r>
          </w:p>
        </w:tc>
      </w:tr>
      <w:tr>
        <w:trPr>
          <w:trHeight w:val="216"/>
        </w:trPr>
        <w:tc>
          <w:tcPr>
            <w:tcW w:w="676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3260" w:type="dxa"/>
            <w:vAlign w:val="bottom"/>
            <w:gridSpan w:val="4"/>
          </w:tcPr>
          <w:p>
            <w:pPr>
              <w:jc w:val="right"/>
              <w:ind w:right="220"/>
              <w:spacing w:after="0"/>
              <w:rPr>
                <w:sz w:val="20"/>
                <w:szCs w:val="20"/>
                <w:color w:val="auto"/>
              </w:rPr>
            </w:pPr>
            <w:r>
              <w:rPr>
                <w:rFonts w:ascii="Arial" w:cs="Arial" w:eastAsia="Arial" w:hAnsi="Arial"/>
                <w:sz w:val="18"/>
                <w:szCs w:val="18"/>
                <w:color w:val="auto"/>
              </w:rPr>
              <w:t>770,110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822,340</w:t>
            </w:r>
          </w:p>
        </w:tc>
      </w:tr>
      <w:tr>
        <w:trPr>
          <w:trHeight w:val="21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Bad debt expense</w:t>
            </w:r>
          </w:p>
        </w:tc>
        <w:tc>
          <w:tcPr>
            <w:tcW w:w="3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38,817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59,876</w:t>
            </w:r>
          </w:p>
        </w:tc>
      </w:tr>
      <w:tr>
        <w:trPr>
          <w:trHeight w:val="216"/>
        </w:trPr>
        <w:tc>
          <w:tcPr>
            <w:tcW w:w="6760" w:type="dxa"/>
            <w:vAlign w:val="bottom"/>
            <w:gridSpan w:val="2"/>
          </w:tcPr>
          <w:p>
            <w:pPr>
              <w:ind w:left="220"/>
              <w:spacing w:after="0"/>
              <w:rPr>
                <w:sz w:val="20"/>
                <w:szCs w:val="20"/>
                <w:color w:val="auto"/>
              </w:rPr>
            </w:pPr>
            <w:r>
              <w:rPr>
                <w:rFonts w:ascii="Arial" w:cs="Arial" w:eastAsia="Arial" w:hAnsi="Arial"/>
                <w:sz w:val="18"/>
                <w:szCs w:val="18"/>
                <w:color w:val="auto"/>
              </w:rPr>
              <w:t>Amortization of bond premium, net</w:t>
            </w:r>
          </w:p>
        </w:tc>
        <w:tc>
          <w:tcPr>
            <w:tcW w:w="3260" w:type="dxa"/>
            <w:vAlign w:val="bottom"/>
            <w:gridSpan w:val="4"/>
          </w:tcPr>
          <w:p>
            <w:pPr>
              <w:jc w:val="right"/>
              <w:ind w:right="220"/>
              <w:spacing w:after="0"/>
              <w:rPr>
                <w:sz w:val="20"/>
                <w:szCs w:val="20"/>
                <w:color w:val="auto"/>
              </w:rPr>
            </w:pPr>
            <w:r>
              <w:rPr>
                <w:rFonts w:ascii="Arial" w:cs="Arial" w:eastAsia="Arial" w:hAnsi="Arial"/>
                <w:sz w:val="18"/>
                <w:szCs w:val="18"/>
                <w:color w:val="auto"/>
              </w:rPr>
              <w:t>46,777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31,639</w:t>
            </w:r>
          </w:p>
        </w:tc>
      </w:tr>
      <w:tr>
        <w:trPr>
          <w:trHeight w:val="21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discount and issuance costs on debt</w:t>
            </w:r>
          </w:p>
        </w:tc>
        <w:tc>
          <w:tcPr>
            <w:tcW w:w="3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44,045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44,045</w:t>
            </w:r>
          </w:p>
        </w:tc>
      </w:tr>
      <w:tr>
        <w:trPr>
          <w:trHeight w:val="216"/>
        </w:trPr>
        <w:tc>
          <w:tcPr>
            <w:tcW w:w="676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w:t>
            </w:r>
          </w:p>
        </w:tc>
        <w:tc>
          <w:tcPr>
            <w:tcW w:w="3260" w:type="dxa"/>
            <w:vAlign w:val="bottom"/>
            <w:gridSpan w:val="4"/>
          </w:tcPr>
          <w:p>
            <w:pPr>
              <w:jc w:val="right"/>
              <w:ind w:right="220"/>
              <w:spacing w:after="0"/>
              <w:rPr>
                <w:sz w:val="20"/>
                <w:szCs w:val="20"/>
                <w:color w:val="auto"/>
              </w:rPr>
            </w:pPr>
            <w:r>
              <w:rPr>
                <w:rFonts w:ascii="Arial" w:cs="Arial" w:eastAsia="Arial" w:hAnsi="Arial"/>
                <w:sz w:val="18"/>
                <w:szCs w:val="18"/>
                <w:color w:val="auto"/>
              </w:rPr>
              <w:t>530,414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494,998</w:t>
            </w:r>
          </w:p>
        </w:tc>
      </w:tr>
      <w:tr>
        <w:trPr>
          <w:trHeight w:val="21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income tax benefit</w:t>
            </w:r>
          </w:p>
        </w:tc>
        <w:tc>
          <w:tcPr>
            <w:tcW w:w="3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(2,112,244)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(132,990)</w:t>
            </w: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Decrease (increase) in operating assets: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Premiums receivable, net</w:t>
            </w:r>
          </w:p>
        </w:tc>
        <w:tc>
          <w:tcPr>
            <w:tcW w:w="3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1,250,311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874,142</w:t>
            </w:r>
          </w:p>
        </w:tc>
      </w:tr>
      <w:tr>
        <w:trPr>
          <w:trHeight w:val="216"/>
        </w:trPr>
        <w:tc>
          <w:tcPr>
            <w:tcW w:w="6760" w:type="dxa"/>
            <w:vAlign w:val="bottom"/>
            <w:gridSpan w:val="2"/>
          </w:tcPr>
          <w:p>
            <w:pPr>
              <w:ind w:left="220"/>
              <w:spacing w:after="0"/>
              <w:rPr>
                <w:sz w:val="20"/>
                <w:szCs w:val="20"/>
                <w:color w:val="auto"/>
              </w:rPr>
            </w:pPr>
            <w:r>
              <w:rPr>
                <w:rFonts w:ascii="Arial" w:cs="Arial" w:eastAsia="Arial" w:hAnsi="Arial"/>
                <w:sz w:val="18"/>
                <w:szCs w:val="18"/>
                <w:color w:val="auto"/>
              </w:rPr>
              <w:t>Reinsurance receivables, net</w:t>
            </w:r>
          </w:p>
        </w:tc>
        <w:tc>
          <w:tcPr>
            <w:tcW w:w="3260" w:type="dxa"/>
            <w:vAlign w:val="bottom"/>
            <w:gridSpan w:val="4"/>
          </w:tcPr>
          <w:p>
            <w:pPr>
              <w:jc w:val="right"/>
              <w:ind w:right="160"/>
              <w:spacing w:after="0"/>
              <w:rPr>
                <w:sz w:val="20"/>
                <w:szCs w:val="20"/>
                <w:color w:val="auto"/>
              </w:rPr>
            </w:pPr>
            <w:r>
              <w:rPr>
                <w:rFonts w:ascii="Arial" w:cs="Arial" w:eastAsia="Arial" w:hAnsi="Arial"/>
                <w:sz w:val="18"/>
                <w:szCs w:val="18"/>
                <w:color w:val="auto"/>
              </w:rPr>
              <w:t>(9,049,252)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8,093,987</w:t>
            </w:r>
          </w:p>
        </w:tc>
      </w:tr>
      <w:tr>
        <w:trPr>
          <w:trHeight w:val="21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policy acquisition costs</w:t>
            </w:r>
          </w:p>
        </w:tc>
        <w:tc>
          <w:tcPr>
            <w:tcW w:w="3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582,406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790,526</w:t>
            </w:r>
          </w:p>
        </w:tc>
      </w:tr>
      <w:tr>
        <w:trPr>
          <w:trHeight w:val="216"/>
        </w:trPr>
        <w:tc>
          <w:tcPr>
            <w:tcW w:w="6760" w:type="dxa"/>
            <w:vAlign w:val="bottom"/>
            <w:gridSpan w:val="2"/>
          </w:tcPr>
          <w:p>
            <w:pPr>
              <w:ind w:left="220"/>
              <w:spacing w:after="0"/>
              <w:rPr>
                <w:sz w:val="20"/>
                <w:szCs w:val="20"/>
                <w:color w:val="auto"/>
              </w:rPr>
            </w:pPr>
            <w:r>
              <w:rPr>
                <w:rFonts w:ascii="Arial" w:cs="Arial" w:eastAsia="Arial" w:hAnsi="Arial"/>
                <w:sz w:val="18"/>
                <w:szCs w:val="18"/>
                <w:color w:val="auto"/>
              </w:rPr>
              <w:t>Other assets</w:t>
            </w:r>
          </w:p>
        </w:tc>
        <w:tc>
          <w:tcPr>
            <w:tcW w:w="3260" w:type="dxa"/>
            <w:vAlign w:val="bottom"/>
            <w:gridSpan w:val="4"/>
          </w:tcPr>
          <w:p>
            <w:pPr>
              <w:jc w:val="right"/>
              <w:ind w:right="220"/>
              <w:spacing w:after="0"/>
              <w:rPr>
                <w:sz w:val="20"/>
                <w:szCs w:val="20"/>
                <w:color w:val="auto"/>
              </w:rPr>
            </w:pPr>
            <w:r>
              <w:rPr>
                <w:rFonts w:ascii="Arial" w:cs="Arial" w:eastAsia="Arial" w:hAnsi="Arial"/>
                <w:sz w:val="18"/>
                <w:szCs w:val="18"/>
                <w:color w:val="auto"/>
              </w:rPr>
              <w:t>1,555,843</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(478,564)</w:t>
            </w: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operating liabilities: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3260" w:type="dxa"/>
            <w:vAlign w:val="bottom"/>
            <w:gridSpan w:val="4"/>
          </w:tcPr>
          <w:p>
            <w:pPr>
              <w:jc w:val="right"/>
              <w:ind w:right="220"/>
              <w:spacing w:after="0"/>
              <w:rPr>
                <w:sz w:val="20"/>
                <w:szCs w:val="20"/>
                <w:color w:val="auto"/>
              </w:rPr>
            </w:pPr>
            <w:r>
              <w:rPr>
                <w:rFonts w:ascii="Arial" w:cs="Arial" w:eastAsia="Arial" w:hAnsi="Arial"/>
                <w:sz w:val="18"/>
                <w:szCs w:val="18"/>
                <w:color w:val="auto"/>
              </w:rPr>
              <w:t>3,968,253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1,655,831</w:t>
            </w:r>
          </w:p>
        </w:tc>
      </w:tr>
      <w:tr>
        <w:trPr>
          <w:trHeight w:val="21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Unearned premiums</w:t>
            </w:r>
          </w:p>
        </w:tc>
        <w:tc>
          <w:tcPr>
            <w:tcW w:w="3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(2,392,728)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(3,789,477)</w:t>
            </w:r>
          </w:p>
        </w:tc>
      </w:tr>
      <w:tr>
        <w:trPr>
          <w:trHeight w:val="216"/>
        </w:trPr>
        <w:tc>
          <w:tcPr>
            <w:tcW w:w="6760" w:type="dxa"/>
            <w:vAlign w:val="bottom"/>
            <w:gridSpan w:val="2"/>
          </w:tcPr>
          <w:p>
            <w:pPr>
              <w:ind w:left="220"/>
              <w:spacing w:after="0"/>
              <w:rPr>
                <w:sz w:val="20"/>
                <w:szCs w:val="20"/>
                <w:color w:val="auto"/>
              </w:rPr>
            </w:pPr>
            <w:r>
              <w:rPr>
                <w:rFonts w:ascii="Arial" w:cs="Arial" w:eastAsia="Arial" w:hAnsi="Arial"/>
                <w:sz w:val="18"/>
                <w:szCs w:val="18"/>
                <w:color w:val="auto"/>
              </w:rPr>
              <w:t>Advance premiums</w:t>
            </w:r>
          </w:p>
        </w:tc>
        <w:tc>
          <w:tcPr>
            <w:tcW w:w="3260" w:type="dxa"/>
            <w:vAlign w:val="bottom"/>
            <w:gridSpan w:val="4"/>
          </w:tcPr>
          <w:p>
            <w:pPr>
              <w:jc w:val="right"/>
              <w:ind w:right="220"/>
              <w:spacing w:after="0"/>
              <w:rPr>
                <w:sz w:val="20"/>
                <w:szCs w:val="20"/>
                <w:color w:val="auto"/>
              </w:rPr>
            </w:pPr>
            <w:r>
              <w:rPr>
                <w:rFonts w:ascii="Arial" w:cs="Arial" w:eastAsia="Arial" w:hAnsi="Arial"/>
                <w:sz w:val="18"/>
                <w:szCs w:val="18"/>
                <w:color w:val="auto"/>
              </w:rPr>
              <w:t>2,539,061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1,485,491</w:t>
            </w:r>
          </w:p>
        </w:tc>
      </w:tr>
      <w:tr>
        <w:trPr>
          <w:trHeight w:val="21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Reinsurance balances payable</w:t>
            </w:r>
          </w:p>
        </w:tc>
        <w:tc>
          <w:tcPr>
            <w:tcW w:w="3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(7,870,498)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(4,643,237)</w:t>
            </w:r>
          </w:p>
        </w:tc>
      </w:tr>
      <w:tr>
        <w:trPr>
          <w:trHeight w:val="216"/>
        </w:trPr>
        <w:tc>
          <w:tcPr>
            <w:tcW w:w="6760" w:type="dxa"/>
            <w:vAlign w:val="bottom"/>
            <w:gridSpan w:val="2"/>
          </w:tcPr>
          <w:p>
            <w:pPr>
              <w:ind w:left="220"/>
              <w:spacing w:after="0"/>
              <w:rPr>
                <w:sz w:val="20"/>
                <w:szCs w:val="20"/>
                <w:color w:val="auto"/>
              </w:rPr>
            </w:pPr>
            <w:r>
              <w:rPr>
                <w:rFonts w:ascii="Arial" w:cs="Arial" w:eastAsia="Arial" w:hAnsi="Arial"/>
                <w:sz w:val="18"/>
                <w:szCs w:val="18"/>
                <w:color w:val="auto"/>
              </w:rPr>
              <w:t>Deferred ceding commission revenue</w:t>
            </w:r>
          </w:p>
        </w:tc>
        <w:tc>
          <w:tcPr>
            <w:tcW w:w="3260" w:type="dxa"/>
            <w:vAlign w:val="bottom"/>
            <w:gridSpan w:val="4"/>
          </w:tcPr>
          <w:p>
            <w:pPr>
              <w:jc w:val="right"/>
              <w:ind w:right="160"/>
              <w:spacing w:after="0"/>
              <w:rPr>
                <w:sz w:val="20"/>
                <w:szCs w:val="20"/>
                <w:color w:val="auto"/>
              </w:rPr>
            </w:pPr>
            <w:r>
              <w:rPr>
                <w:rFonts w:ascii="Arial" w:cs="Arial" w:eastAsia="Arial" w:hAnsi="Arial"/>
                <w:sz w:val="18"/>
                <w:szCs w:val="18"/>
                <w:color w:val="auto"/>
              </w:rPr>
              <w:t>(268,996)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r>
      <w:tr>
        <w:trPr>
          <w:trHeight w:val="21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194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(2,221,270)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(644,102)</w:t>
            </w:r>
          </w:p>
        </w:tc>
      </w:tr>
      <w:tr>
        <w:trPr>
          <w:trHeight w:val="20"/>
        </w:trPr>
        <w:tc>
          <w:tcPr>
            <w:tcW w:w="132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provided by operating activities</w:t>
            </w:r>
          </w:p>
        </w:tc>
        <w:tc>
          <w:tcPr>
            <w:tcW w:w="1940" w:type="dxa"/>
            <w:vAlign w:val="bottom"/>
            <w:gridSpan w:val="2"/>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(17,388,078)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1,392,800</w:t>
            </w:r>
          </w:p>
        </w:tc>
      </w:tr>
      <w:tr>
        <w:trPr>
          <w:trHeight w:val="209"/>
        </w:trPr>
        <w:tc>
          <w:tcPr>
            <w:tcW w:w="132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 fixed-maturity securities held-to-maturity</w:t>
            </w:r>
          </w:p>
        </w:tc>
        <w:tc>
          <w:tcPr>
            <w:tcW w:w="3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(1,827,425)</w:t>
            </w: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Purchase - fixed-maturity securities available-for-sale</w:t>
            </w:r>
          </w:p>
        </w:tc>
        <w:tc>
          <w:tcPr>
            <w:tcW w:w="3260" w:type="dxa"/>
            <w:vAlign w:val="bottom"/>
            <w:gridSpan w:val="4"/>
          </w:tcPr>
          <w:p>
            <w:pPr>
              <w:jc w:val="right"/>
              <w:ind w:right="160"/>
              <w:spacing w:after="0"/>
              <w:rPr>
                <w:sz w:val="20"/>
                <w:szCs w:val="20"/>
                <w:color w:val="auto"/>
              </w:rPr>
            </w:pPr>
            <w:r>
              <w:rPr>
                <w:rFonts w:ascii="Arial" w:cs="Arial" w:eastAsia="Arial" w:hAnsi="Arial"/>
                <w:sz w:val="18"/>
                <w:szCs w:val="18"/>
                <w:color w:val="auto"/>
              </w:rPr>
              <w:t>(13,890,402)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(5,424,374)</w:t>
            </w: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 equity securities</w:t>
            </w:r>
          </w:p>
        </w:tc>
        <w:tc>
          <w:tcPr>
            <w:tcW w:w="3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(506,081)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(5,732,648)</w:t>
            </w: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Purchase - other investments</w:t>
            </w:r>
          </w:p>
        </w:tc>
        <w:tc>
          <w:tcPr>
            <w:tcW w:w="32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(2,000,000)</w:t>
            </w: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Redemption - fixed-maturity securities held-to-maturity</w:t>
            </w:r>
          </w:p>
        </w:tc>
        <w:tc>
          <w:tcPr>
            <w:tcW w:w="3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Sale and maturity - fixed-maturity securities available-for-sale</w:t>
            </w:r>
          </w:p>
        </w:tc>
        <w:tc>
          <w:tcPr>
            <w:tcW w:w="3260" w:type="dxa"/>
            <w:vAlign w:val="bottom"/>
            <w:gridSpan w:val="4"/>
          </w:tcPr>
          <w:p>
            <w:pPr>
              <w:jc w:val="right"/>
              <w:ind w:right="220"/>
              <w:spacing w:after="0"/>
              <w:rPr>
                <w:sz w:val="20"/>
                <w:szCs w:val="20"/>
                <w:color w:val="auto"/>
              </w:rPr>
            </w:pPr>
            <w:r>
              <w:rPr>
                <w:rFonts w:ascii="Arial" w:cs="Arial" w:eastAsia="Arial" w:hAnsi="Arial"/>
                <w:sz w:val="18"/>
                <w:szCs w:val="18"/>
                <w:color w:val="auto"/>
              </w:rPr>
              <w:t>10,181,658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11,548,405</w:t>
            </w: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 equity securities</w:t>
            </w:r>
          </w:p>
        </w:tc>
        <w:tc>
          <w:tcPr>
            <w:tcW w:w="3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4,994,884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6,433,262</w:t>
            </w: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Acquisition of property and equipment</w:t>
            </w:r>
          </w:p>
        </w:tc>
        <w:tc>
          <w:tcPr>
            <w:tcW w:w="3260" w:type="dxa"/>
            <w:vAlign w:val="bottom"/>
            <w:gridSpan w:val="4"/>
          </w:tcPr>
          <w:p>
            <w:pPr>
              <w:jc w:val="right"/>
              <w:ind w:right="160"/>
              <w:spacing w:after="0"/>
              <w:rPr>
                <w:sz w:val="20"/>
                <w:szCs w:val="20"/>
                <w:color w:val="auto"/>
              </w:rPr>
            </w:pPr>
            <w:r>
              <w:rPr>
                <w:rFonts w:ascii="Arial" w:cs="Arial" w:eastAsia="Arial" w:hAnsi="Arial"/>
                <w:sz w:val="18"/>
                <w:szCs w:val="18"/>
                <w:color w:val="auto"/>
              </w:rPr>
              <w:t>(1,565,128)</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(1,034,064)</w:t>
            </w:r>
          </w:p>
        </w:tc>
      </w:tr>
      <w:tr>
        <w:trPr>
          <w:trHeight w:val="70"/>
        </w:trPr>
        <w:tc>
          <w:tcPr>
            <w:tcW w:w="1320" w:type="dxa"/>
            <w:vAlign w:val="bottom"/>
            <w:shd w:val="clear" w:color="auto" w:fill="CCEEFF"/>
          </w:tcPr>
          <w:p>
            <w:pPr>
              <w:spacing w:after="0"/>
              <w:rPr>
                <w:sz w:val="6"/>
                <w:szCs w:val="6"/>
                <w:color w:val="auto"/>
              </w:rPr>
            </w:pPr>
          </w:p>
        </w:tc>
        <w:tc>
          <w:tcPr>
            <w:tcW w:w="54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tcBorders>
              <w:top w:val="single" w:sz="8" w:color="auto"/>
            </w:tcBorders>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920" w:type="dxa"/>
            <w:vAlign w:val="bottom"/>
            <w:tcBorders>
              <w:top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r>
    </w:tbl>
    <w:p>
      <w:pPr>
        <w:sectPr>
          <w:pgSz w:w="11900" w:h="16900" w:orient="portrait"/>
          <w:cols w:equalWidth="0" w:num="1">
            <w:col w:w="11240"/>
          </w:cols>
          <w:pgMar w:left="320" w:top="134" w:right="339" w:bottom="0" w:gutter="0" w:footer="0" w:header="0"/>
        </w:sectPr>
      </w:pPr>
    </w:p>
    <w:bookmarkStart w:id="5" w:name="page6"/>
    <w:bookmarkEnd w:id="5"/>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provided by investing activities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(285,069)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1,963,156</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Withholding taxes paid on vested retricted stock awards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(358,075)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(146,606)</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(65,915)</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(425,490)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(427,217)</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financing activities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(783,565)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(639,738)</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(18,456,712)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2,716,218</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24,290,598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19,463,742</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5,833,886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22,179,960</w:t>
            </w:r>
          </w:p>
        </w:tc>
      </w:tr>
      <w:tr>
        <w:trPr>
          <w:trHeight w:val="197"/>
        </w:trPr>
        <w:tc>
          <w:tcPr>
            <w:tcW w:w="87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Kingstone Companies, Inc. (referred to herein as “Kingstone” or the “Company”), through its wholly owned subsidiary, Kingstone Insurance Company (“KICO”), underwrites property and casualty insurance exclusively through retail and wholesale agents and brokers. KICO is a licensed insurance company in the States of New York, New Jersey, Rhode Island, Massachusetts, Pennsylvania, Connecticut, Maine and New Hampshire. KICO is currently offering its property and casualty insurance products in New York, New Jersey, Rhode Island, Massachusetts, and Connecticut. Although New Jersey, Rhode Island, Massachusetts and Connecticut continue to be growing markets for the Company, 80.6% and 81.1% of KICO’s direct written premiums for the three months ended March 31, 2022 and 2021, respectively, came from the New York policies. Kingstone, through its wholly owned subsidiary, Cosi Agency, Inc. (“Cosi”), a multi-state licensed general agency, accesses alternate forms of distribution outside of the independent agent and broker network, through which KICO currently distributes its various products.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2021 and notes thereto included in the Company’s Annual Report on Form 10-K filed with the Securities and Exchange Commission (the “SEC”) on April 4, 2022.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three months ended March 31, 2022 may not be indicative of the results that may be expected for the year ending December 31, 2022.</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year balances were reclassified to conform with the current year presentation. The reclassification had no effect on the Company’s previously reported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 the Company’s Annual Report on Form 10-K for the year ended December 31, 2021 for further information.</w:t>
      </w:r>
    </w:p>
    <w:p>
      <w:pPr>
        <w:spacing w:after="0" w:line="3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$30,000,000 5.5% Senior Unsecured Notes (the “Notes”) are due on December 30, 2022. The Company’s continuation as a going concern is dependent on its ability to obtain financing and/or other funds to satisfy such obligation. Management believes that KICO’s insurance operations would be able to continue in the unlikely event that financing is not obtained.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Accounting Standards Update (“ASU”) 2014-15, Presentation of Financial Statements—Going Concern (Subtopic 205-40) (“ASC 205-40”), the Company has the responsibility to evaluate whether conditions and/or events raise substantial doubt about its ability to meet its future financial obligations as they become due within one year after the date that the financial statements are issued. This evaluation requires management to perform two steps. First, management must evaluate whether there are conditions and events that raise substantial doubt about the entity’s ability to continue as a going concern. Second, if management concludes that substantial doubt is raised, management is required to consider whether it has plans in place to alleviate that doubt. Disclosures in the notes to the consolidated financial statements are required if management concludes that substantial doubt exists and if its plans alleviate the substantial doubt that was raised.</w:t>
      </w:r>
    </w:p>
    <w:p>
      <w:pPr>
        <w:sectPr>
          <w:pgSz w:w="11900" w:h="16858" w:orient="portrait"/>
          <w:cols w:equalWidth="0" w:num="1">
            <w:col w:w="11240"/>
          </w:cols>
          <w:pgMar w:left="320" w:top="140" w:right="339" w:bottom="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GAAP assuming that the Company will continue as a going concern. The financial statements do not include any adjustments to reflect the possible future effects on the recoverability and classification of assets or the amounts and classification of liabilities that may result should the Company be unable to continue as a going concern.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Plan Related to Going Concern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order to continue as a going concern, the Company will need to obtain financing and/or other funds to satisfy its debt obligation due on December 30, 2022. Management plans to refinance the Notes with a new issue of investment grade debt securities of similar or longer maturity that would result in net proceeds equal to or greater than the principal amount of the Notes. In connection therewith, the Company has engaged an investment banker to serve as exclusive placement agent for a proposed offering by the Company of its securities (including debt, equity and/or preferred securities). The engagement letter indicates that the offering would be of such size as to generate proceeds to the Company of no less than $30,000,000. The Company also will receive dividends paid to it by KICO, its insurance subsidiary, that could be utilized to repay the Notes. As of March 31, 2022, the maximum distribution that KICO could pay the Company without prior regulatory approval was approximately $1,122,000. Further, the Company plans to use available invested assets and cash to repay the Notes. As of March 31, 2022, invested assets and cash was approximately $3,812,000.</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ability of the Company to continue as a going concern is dependent upon its ability to successfully accomplish the plan described above. The Company believes that its plan is probable of being implemented and that such plan would alleviate any adverse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(which include the reserves for losses and LAE), which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condensed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condensed consolidated financial statements include the accounts of Kingstone and its wholly owned subsidiaries: (1) KICO and its wholly owned subsidiaries, CMIC Properties, Inc. (“Properties”) and 15 Joys Lane, LLC (“15 Joys Lane”), which together own the land and building from which KICO operates, and (2) Cosi. All significant inter-company account balances and transactions have been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18"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In June 2016, the Financial Accounting Standards Board (the “FASB”) issued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for the Company on January 1, 2023. The Company is currently evaluating the effect the updated guidance will have on its condensed consolidated financial statements.</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Fixed-Maturity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estimated fair value, and unrealized gains and losses on investments in fixed-maturity securities classified as available-for-sale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December 31, 2021 are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 2022</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412"/>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Cost or</w:t>
            </w:r>
          </w:p>
        </w:tc>
        <w:tc>
          <w:tcPr>
            <w:tcW w:w="2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Gross</w:t>
            </w:r>
          </w:p>
        </w:tc>
        <w:tc>
          <w:tcPr>
            <w:tcW w:w="2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Gross Unrealized Losses</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Net</w:t>
            </w:r>
          </w:p>
        </w:tc>
      </w:tr>
      <w:tr>
        <w:trPr>
          <w:trHeight w:val="191"/>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7"/>
              </w:rPr>
              <w:t>Less than 12</w:t>
            </w:r>
          </w:p>
        </w:tc>
        <w:tc>
          <w:tcPr>
            <w:tcW w:w="12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12</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Months</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Months</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Losses</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Fixed-Maturity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Political subdivisions of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31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3185"/>
                    </a:xfrm>
                    <a:prstGeom prst="rect">
                      <a:avLst/>
                    </a:prstGeom>
                    <a:noFill/>
                  </pic:spPr>
                </pic:pic>
              </a:graphicData>
            </a:graphic>
          </wp:anchor>
        </w:drawing>
      </w:r>
    </w:p>
    <w:p>
      <w:pPr>
        <w:sectPr>
          <w:pgSz w:w="11900" w:h="16838" w:orient="portrait"/>
          <w:cols w:equalWidth="0" w:num="1">
            <w:col w:w="11240"/>
          </w:cols>
          <w:pgMar w:left="320" w:top="341" w:right="3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17,227,562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(1,614,463)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15,618,791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(1,608,771)</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85,566,044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336,272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(3,143,378)</w:t>
            </w:r>
          </w:p>
        </w:tc>
        <w:tc>
          <w:tcPr>
            <w:tcW w:w="2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82,758,938</w:t>
            </w: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(2,807,106)</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tcPr>
          <w:p>
            <w:pPr>
              <w:spacing w:after="0" w:line="201" w:lineRule="exact"/>
              <w:rPr>
                <w:sz w:val="20"/>
                <w:szCs w:val="20"/>
                <w:color w:val="auto"/>
              </w:rPr>
            </w:pPr>
            <w:r>
              <w:rPr>
                <w:rFonts w:ascii="Arial" w:cs="Arial" w:eastAsia="Arial" w:hAnsi="Arial"/>
                <w:sz w:val="18"/>
                <w:szCs w:val="18"/>
                <w:color w:val="auto"/>
              </w:rPr>
              <w:t>Residential mortgage and other asset backed</w:t>
            </w:r>
          </w:p>
        </w:tc>
        <w:tc>
          <w:tcPr>
            <w:tcW w:w="100" w:type="dxa"/>
            <w:vAlign w:val="bottom"/>
          </w:tcPr>
          <w:p>
            <w:pPr>
              <w:spacing w:after="0"/>
              <w:rPr>
                <w:sz w:val="17"/>
                <w:szCs w:val="17"/>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7"/>
              </w:rPr>
              <w:t>56,656,711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289,836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7"/>
              </w:rPr>
              <w:t>(3,119,931)</w:t>
            </w:r>
          </w:p>
        </w:tc>
        <w:tc>
          <w:tcPr>
            <w:tcW w:w="240" w:type="dxa"/>
            <w:vAlign w:val="bottom"/>
          </w:tcPr>
          <w:p>
            <w:pPr>
              <w:spacing w:after="0"/>
              <w:rPr>
                <w:sz w:val="17"/>
                <w:szCs w:val="17"/>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(306,849)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9"/>
              </w:rPr>
              <w:t>53,519,767</w:t>
            </w:r>
          </w:p>
        </w:tc>
        <w:tc>
          <w:tcPr>
            <w:tcW w:w="140" w:type="dxa"/>
            <w:vAlign w:val="bottom"/>
          </w:tcPr>
          <w:p>
            <w:pPr>
              <w:spacing w:after="0"/>
              <w:rPr>
                <w:sz w:val="17"/>
                <w:szCs w:val="17"/>
                <w:color w:val="auto"/>
              </w:rPr>
            </w:pP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7"/>
              </w:rPr>
              <w:t>(3,136,944)</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159,450,317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631,800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(7,877,772)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(306,849)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151,897,496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(7,552,821)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b w:val="1"/>
                <w:bCs w:val="1"/>
                <w:color w:val="auto"/>
              </w:rPr>
              <w:t>December 31, 2021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Cost or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88"/>
              </w:rPr>
              <w:t>Gross Unrealized 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Estimated</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6"/>
                <w:szCs w:val="16"/>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11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rPr>
              <w:t>Less than 12</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rPr>
              <w:t>Fair</w:t>
            </w:r>
          </w:p>
        </w:tc>
        <w:tc>
          <w:tcPr>
            <w:tcW w:w="14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Gains/</w:t>
            </w:r>
          </w:p>
        </w:tc>
        <w:tc>
          <w:tcPr>
            <w:tcW w:w="0" w:type="dxa"/>
            <w:vAlign w:val="bottom"/>
          </w:tcPr>
          <w:p>
            <w:pPr>
              <w:spacing w:after="0"/>
              <w:rPr>
                <w:sz w:val="1"/>
                <w:szCs w:val="1"/>
                <w:color w:val="auto"/>
              </w:rPr>
            </w:pPr>
          </w:p>
        </w:tc>
      </w:tr>
      <w:tr>
        <w:trPr>
          <w:trHeight w:val="126"/>
        </w:trPr>
        <w:tc>
          <w:tcPr>
            <w:tcW w:w="1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Months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Fixed-Maturity Securities:</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spacing w:after="0"/>
              <w:rPr>
                <w:sz w:val="20"/>
                <w:szCs w:val="20"/>
                <w:color w:val="auto"/>
              </w:rPr>
            </w:pPr>
            <w:r>
              <w:rPr>
                <w:rFonts w:ascii="Arial" w:cs="Arial" w:eastAsia="Arial" w:hAnsi="Arial"/>
                <w:sz w:val="18"/>
                <w:szCs w:val="18"/>
                <w:color w:val="auto"/>
              </w:rPr>
              <w:t>Political subdivisions of States,</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17,236,750</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246,748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(197,984)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17,285,514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48,764</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Industrial and miscellaneous</w:t>
            </w: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80,534,769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2,603,411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(126,926)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83,011,254</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2,476,485</w:t>
            </w: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gridSpan w:val="3"/>
          </w:tcPr>
          <w:p>
            <w:pPr>
              <w:spacing w:after="0" w:line="201" w:lineRule="exact"/>
              <w:rPr>
                <w:sz w:val="20"/>
                <w:szCs w:val="20"/>
                <w:color w:val="auto"/>
              </w:rPr>
            </w:pPr>
            <w:r>
              <w:rPr>
                <w:rFonts w:ascii="Arial" w:cs="Arial" w:eastAsia="Arial" w:hAnsi="Arial"/>
                <w:sz w:val="18"/>
                <w:szCs w:val="18"/>
                <w:color w:val="auto"/>
              </w:rPr>
              <w:t>Residential mortgage and other asset backed</w:t>
            </w:r>
          </w:p>
        </w:tc>
        <w:tc>
          <w:tcPr>
            <w:tcW w:w="80" w:type="dxa"/>
            <w:vAlign w:val="bottom"/>
          </w:tcPr>
          <w:p>
            <w:pPr>
              <w:spacing w:after="0"/>
              <w:rPr>
                <w:sz w:val="17"/>
                <w:szCs w:val="17"/>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9"/>
              </w:rPr>
              <w:t>58,036,959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355,985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(489,258)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(120,344)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9"/>
              </w:rPr>
              <w:t>57,783,342</w:t>
            </w:r>
          </w:p>
        </w:tc>
        <w:tc>
          <w:tcPr>
            <w:tcW w:w="140" w:type="dxa"/>
            <w:vAlign w:val="bottom"/>
          </w:tcPr>
          <w:p>
            <w:pPr>
              <w:spacing w:after="0"/>
              <w:rPr>
                <w:sz w:val="17"/>
                <w:szCs w:val="17"/>
                <w:color w:val="auto"/>
              </w:rPr>
            </w:pP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(253,617)</w:t>
            </w:r>
          </w:p>
        </w:tc>
        <w:tc>
          <w:tcPr>
            <w:tcW w:w="0" w:type="dxa"/>
            <w:vAlign w:val="bottom"/>
          </w:tcPr>
          <w:p>
            <w:pPr>
              <w:spacing w:after="0"/>
              <w:rPr>
                <w:sz w:val="1"/>
                <w:szCs w:val="1"/>
                <w:color w:val="auto"/>
              </w:rPr>
            </w:pPr>
          </w:p>
        </w:tc>
      </w:tr>
      <w:tr>
        <w:trPr>
          <w:trHeight w:val="217"/>
        </w:trPr>
        <w:tc>
          <w:tcPr>
            <w:tcW w:w="4040" w:type="dxa"/>
            <w:vAlign w:val="bottom"/>
            <w:gridSpan w:val="3"/>
          </w:tcPr>
          <w:p>
            <w:pPr>
              <w:spacing w:after="0"/>
              <w:rPr>
                <w:sz w:val="20"/>
                <w:szCs w:val="20"/>
                <w:color w:val="auto"/>
              </w:rPr>
            </w:pPr>
            <w:r>
              <w:rPr>
                <w:rFonts w:ascii="Arial" w:cs="Arial" w:eastAsia="Arial" w:hAnsi="Arial"/>
                <w:sz w:val="18"/>
                <w:szCs w:val="18"/>
                <w:color w:val="auto"/>
              </w:rPr>
              <w:t>securities</w:t>
            </w: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155,808,478</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3,206,144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(814,168)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158,080,110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2,271,632</w:t>
            </w:r>
          </w:p>
        </w:tc>
        <w:tc>
          <w:tcPr>
            <w:tcW w:w="0" w:type="dxa"/>
            <w:vAlign w:val="bottom"/>
          </w:tcPr>
          <w:p>
            <w:pPr>
              <w:spacing w:after="0"/>
              <w:rPr>
                <w:sz w:val="1"/>
                <w:szCs w:val="1"/>
                <w:color w:val="auto"/>
              </w:rPr>
            </w:pPr>
          </w:p>
        </w:tc>
      </w:tr>
      <w:tr>
        <w:trPr>
          <w:trHeight w:val="628"/>
        </w:trPr>
        <w:tc>
          <w:tcPr>
            <w:tcW w:w="1320" w:type="dxa"/>
            <w:vAlign w:val="bottom"/>
            <w:tcBorders>
              <w:top w:val="single" w:sz="8" w:color="CCEEFF"/>
              <w:bottom w:val="single" w:sz="8" w:color="auto"/>
            </w:tcBorders>
          </w:tcPr>
          <w:p>
            <w:pPr>
              <w:spacing w:after="0"/>
              <w:rPr>
                <w:sz w:val="24"/>
                <w:szCs w:val="24"/>
                <w:color w:val="auto"/>
              </w:rPr>
            </w:pPr>
          </w:p>
        </w:tc>
        <w:tc>
          <w:tcPr>
            <w:tcW w:w="26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32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27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summary of the amortized cost and estimated fair value of the Company’s investments in available-for-sale fixed-maturity securities by contractual maturity as of March 31, 2022 and December 31, 2021 is shown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2021</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5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496,511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503,090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1,153,099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1,156,636</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46,504,448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46,284,000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43,007,110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44,914,759</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29,499,983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27,743,070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26,808,853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27,332,581</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26,292,664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23,847,569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26,802,457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26,892,792</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56,656,711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53,519,767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58,036,959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57,783,342</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159,450,317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151,897,496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155,808,478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158,080,110</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cost and estimated fair value of, and gross unrealized gains and losses on, investments in equity securities as of March 31, 2022 and December 31,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6"/>
                <w:szCs w:val="16"/>
                <w:color w:val="auto"/>
              </w:rPr>
            </w:pPr>
          </w:p>
        </w:tc>
        <w:tc>
          <w:tcPr>
            <w:tcW w:w="112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6"/>
                <w:szCs w:val="16"/>
                <w:color w:val="auto"/>
              </w:rPr>
            </w:pPr>
          </w:p>
        </w:tc>
        <w:tc>
          <w:tcPr>
            <w:tcW w:w="100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Estimated</w:t>
            </w:r>
          </w:p>
        </w:tc>
        <w:tc>
          <w:tcPr>
            <w:tcW w:w="100" w:type="dxa"/>
            <w:vAlign w:val="bottom"/>
          </w:tcPr>
          <w:p>
            <w:pPr>
              <w:spacing w:after="0"/>
              <w:rPr>
                <w:sz w:val="16"/>
                <w:szCs w:val="16"/>
                <w:color w:val="auto"/>
              </w:rPr>
            </w:pPr>
          </w:p>
        </w:tc>
      </w:tr>
      <w:tr>
        <w:trPr>
          <w:trHeight w:val="234"/>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425"/>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19,944,128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333,811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(1,793,476)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18,484,463</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Common stocks, mutual funds, and exchange traded funds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13,145,504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837,696</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(702,254)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13,280,946</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33,089,632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1,171,507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(2,495,730)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31,765,409</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6"/>
                <w:szCs w:val="16"/>
                <w:color w:val="auto"/>
              </w:rPr>
            </w:pPr>
          </w:p>
        </w:tc>
        <w:tc>
          <w:tcPr>
            <w:tcW w:w="112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6"/>
                <w:szCs w:val="16"/>
                <w:color w:val="auto"/>
              </w:rPr>
            </w:pPr>
          </w:p>
        </w:tc>
        <w:tc>
          <w:tcPr>
            <w:tcW w:w="100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Estimated</w:t>
            </w:r>
          </w:p>
        </w:tc>
        <w:tc>
          <w:tcPr>
            <w:tcW w:w="100" w:type="dxa"/>
            <w:vAlign w:val="bottom"/>
          </w:tcPr>
          <w:p>
            <w:pPr>
              <w:spacing w:after="0"/>
              <w:rPr>
                <w:sz w:val="16"/>
                <w:szCs w:val="16"/>
                <w:color w:val="auto"/>
              </w:rPr>
            </w:pPr>
          </w:p>
        </w:tc>
      </w:tr>
      <w:tr>
        <w:trPr>
          <w:trHeight w:val="234"/>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425"/>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22,019,509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1,007,009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(184,617)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22,841,901</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Common stocks, mutual funds, and exchange traded funds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15,451,160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1,573,653</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(179,712)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16,845,101</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37,470,669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2,580,662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(364,329)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39,687,002</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40" w:right="339" w:bottom="96" w:gutter="0" w:footer="0" w:header="0"/>
        </w:sectPr>
      </w:pPr>
    </w:p>
    <w:bookmarkStart w:id="8" w:name="page9"/>
    <w:bookmarkEnd w:id="8"/>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cost and estimated fair value of, and gross gains on, the Company’s other investments as of March 31, 2022 and December 31, 2021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March 31, 2022</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December 31, 2021</w:t>
            </w:r>
          </w:p>
        </w:tc>
      </w:tr>
      <w:tr>
        <w:trPr>
          <w:trHeight w:val="191"/>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r>
      <w:tr>
        <w:trPr>
          <w:trHeight w:val="234"/>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425"/>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Hedge fund</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$ 3,999,381</w:t>
            </w:r>
          </w:p>
        </w:tc>
        <w:tc>
          <w:tcPr>
            <w:tcW w:w="12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$ 2,626,502</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$ 6,625,883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$ 3,999,381</w:t>
            </w:r>
          </w:p>
        </w:tc>
        <w:tc>
          <w:tcPr>
            <w:tcW w:w="10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$ 3,562,034</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$ 7,561,415</w:t>
            </w: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Held-to-Maturity Securities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cost or amortized cost and estimated fair value of, and unrealized gross gains and losses on, investments in held-to-maturity fixed-maturity securities as of March 31, 2022 and December 31, 2021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 2022</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87"/>
              </w:rPr>
              <w:t>Gross Unrealized Losses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Cost or</w:t>
            </w:r>
          </w:p>
        </w:tc>
        <w:tc>
          <w:tcPr>
            <w:tcW w:w="180" w:type="dxa"/>
            <w:vAlign w:val="bottom"/>
          </w:tcPr>
          <w:p>
            <w:pPr>
              <w:spacing w:after="0"/>
              <w:rPr>
                <w:sz w:val="19"/>
                <w:szCs w:val="19"/>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Estimated</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Amortized</w:t>
            </w: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9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Gains/</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Gains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Months</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202,788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(1,177)</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931,265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201,611</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Territories and Possessions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498,249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8,421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506,670</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8,421</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Exchange traded debt</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304,111</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(21,611)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282,500</w:t>
            </w: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(21,611)</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Corporate and other bonds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6,233,124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(380,860)</w:t>
            </w:r>
          </w:p>
        </w:tc>
        <w:tc>
          <w:tcPr>
            <w:tcW w:w="9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5,908,865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(324,259)</w:t>
            </w: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7,765,138</w:t>
            </w:r>
          </w:p>
        </w:tc>
        <w:tc>
          <w:tcPr>
            <w:tcW w:w="2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267,810</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(403,648)</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7,629,300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(135,838)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2021</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Cost or</w:t>
            </w:r>
          </w:p>
        </w:tc>
        <w:tc>
          <w:tcPr>
            <w:tcW w:w="180" w:type="dxa"/>
            <w:vAlign w:val="bottom"/>
          </w:tcPr>
          <w:p>
            <w:pPr>
              <w:spacing w:after="0"/>
              <w:rPr>
                <w:sz w:val="20"/>
                <w:szCs w:val="20"/>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Gross Unrealized Losses</w:t>
            </w: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Estimated</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3"/>
              </w:rPr>
              <w:t>Amortized</w:t>
            </w:r>
          </w:p>
        </w:tc>
        <w:tc>
          <w:tcPr>
            <w:tcW w:w="120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12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Less than 12</w:t>
            </w: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4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Gains/</w:t>
            </w:r>
          </w:p>
        </w:tc>
        <w:tc>
          <w:tcPr>
            <w:tcW w:w="0" w:type="dxa"/>
            <w:vAlign w:val="bottom"/>
          </w:tcPr>
          <w:p>
            <w:pPr>
              <w:spacing w:after="0"/>
              <w:rPr>
                <w:sz w:val="1"/>
                <w:szCs w:val="1"/>
                <w:color w:val="auto"/>
              </w:rPr>
            </w:pPr>
          </w:p>
        </w:tc>
      </w:tr>
      <w:tr>
        <w:trPr>
          <w:trHeight w:val="126"/>
        </w:trPr>
        <w:tc>
          <w:tcPr>
            <w:tcW w:w="3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92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89"/>
              </w:rPr>
              <w:t>12</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Gains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Months</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209,633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939,275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209,633</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Territories and Possessions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998,239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22,856</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1,021,095</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22,856</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Exchange traded debt</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304,111</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(13,921)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290,275</w:t>
            </w: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(13,836)</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Corporate and other bonds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6,234,342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(12,779)</w:t>
            </w:r>
          </w:p>
        </w:tc>
        <w:tc>
          <w:tcPr>
            <w:tcW w:w="9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6,502,514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268,172</w:t>
            </w: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8,266,334</w:t>
            </w:r>
          </w:p>
        </w:tc>
        <w:tc>
          <w:tcPr>
            <w:tcW w:w="2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513,525</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(26,700)</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8,753,159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486,825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funds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amortized cost and estimated fair value of the Company’s investments in held-to-maturity securities by contractual maturity as of March 31, 2022 and December 31, 2021 is shown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2021</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5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494,595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501,795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994,712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1,008,180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1,206,159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1,262,780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1,205,829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1,290,465</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1,516,810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1,494,773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1,513,942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1,648,808</w:t>
            </w: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4,547,574</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4,369,952</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4,551,851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4,805,706</w:t>
            </w:r>
          </w:p>
        </w:tc>
      </w:tr>
    </w:tbl>
    <w:p>
      <w:pPr>
        <w:sectPr>
          <w:pgSz w:w="11900" w:h="16919" w:orient="portrait"/>
          <w:cols w:equalWidth="0" w:num="1">
            <w:col w:w="11240"/>
          </w:cols>
          <w:pgMar w:left="320" w:top="125" w:right="339" w:bottom="0" w:gutter="0" w:footer="0" w:header="0"/>
        </w:sectPr>
      </w:pPr>
    </w:p>
    <w:bookmarkStart w:id="9" w:name="page10"/>
    <w:bookmarkEnd w:id="9"/>
    <w:p>
      <w:pPr>
        <w:spacing w:after="0"/>
        <w:tabs>
          <w:tab w:leader="none" w:pos="6040" w:val="left"/>
          <w:tab w:leader="none" w:pos="6420" w:val="left"/>
          <w:tab w:leader="none" w:pos="7360" w:val="left"/>
          <w:tab w:leader="none" w:pos="7740" w:val="left"/>
          <w:tab w:leader="none" w:pos="8680" w:val="left"/>
          <w:tab w:leader="none" w:pos="9060" w:val="left"/>
          <w:tab w:leader="none" w:pos="10000" w:val="left"/>
          <w:tab w:leader="none" w:pos="1040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7,765,138</w:t>
        <w:tab/>
        <w:t>$</w:t>
      </w:r>
      <w:r>
        <w:rPr>
          <w:sz w:val="20"/>
          <w:szCs w:val="20"/>
          <w:color w:val="auto"/>
        </w:rPr>
        <w:tab/>
      </w:r>
      <w:r>
        <w:rPr>
          <w:rFonts w:ascii="Arial" w:cs="Arial" w:eastAsia="Arial" w:hAnsi="Arial"/>
          <w:sz w:val="18"/>
          <w:szCs w:val="18"/>
          <w:u w:val="single" w:color="auto"/>
          <w:color w:val="auto"/>
        </w:rPr>
        <w:t>7,629,300</w:t>
        <w:tab/>
        <w:t>$</w:t>
      </w:r>
      <w:r>
        <w:rPr>
          <w:sz w:val="20"/>
          <w:szCs w:val="20"/>
          <w:color w:val="auto"/>
        </w:rPr>
        <w:tab/>
      </w:r>
      <w:r>
        <w:rPr>
          <w:rFonts w:ascii="Arial" w:cs="Arial" w:eastAsia="Arial" w:hAnsi="Arial"/>
          <w:sz w:val="18"/>
          <w:szCs w:val="18"/>
          <w:u w:val="single" w:color="auto"/>
          <w:color w:val="auto"/>
        </w:rPr>
        <w:t>8,266,334</w:t>
        <w:tab/>
        <w:t>$</w:t>
      </w:r>
      <w:r>
        <w:rPr>
          <w:sz w:val="20"/>
          <w:szCs w:val="20"/>
          <w:color w:val="auto"/>
        </w:rPr>
        <w:tab/>
      </w:r>
      <w:r>
        <w:rPr>
          <w:rFonts w:ascii="Arial" w:cs="Arial" w:eastAsia="Arial" w:hAnsi="Arial"/>
          <w:sz w:val="16"/>
          <w:szCs w:val="16"/>
          <w:u w:val="single" w:color="auto"/>
          <w:color w:val="auto"/>
        </w:rPr>
        <w:t>8,753,159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Investment Income</w:t>
            </w:r>
          </w:p>
        </w:tc>
        <w:tc>
          <w:tcPr>
            <w:tcW w:w="5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7240" w:type="dxa"/>
            <w:vAlign w:val="bottom"/>
            <w:gridSpan w:val="3"/>
          </w:tcPr>
          <w:p>
            <w:pPr>
              <w:spacing w:after="0"/>
              <w:rPr>
                <w:sz w:val="20"/>
                <w:szCs w:val="20"/>
                <w:color w:val="auto"/>
              </w:rPr>
            </w:pPr>
            <w:r>
              <w:rPr>
                <w:rFonts w:ascii="Arial" w:cs="Arial" w:eastAsia="Arial" w:hAnsi="Arial"/>
                <w:sz w:val="18"/>
                <w:szCs w:val="18"/>
                <w:color w:val="auto"/>
              </w:rPr>
              <w:t>Major categories of the Company’s net investment income are summarized as follows:</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Three months ended</w:t>
            </w:r>
          </w:p>
        </w:tc>
      </w:tr>
      <w:tr>
        <w:trPr>
          <w:trHeight w:val="234"/>
        </w:trPr>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6"/>
              </w:rPr>
              <w:t>March 31,</w:t>
            </w:r>
          </w:p>
        </w:tc>
      </w:tr>
      <w:tr>
        <w:trPr>
          <w:trHeight w:val="209"/>
        </w:trPr>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412"/>
        </w:trPr>
        <w:tc>
          <w:tcPr>
            <w:tcW w:w="7240" w:type="dxa"/>
            <w:vAlign w:val="bottom"/>
            <w:gridSpan w:val="3"/>
          </w:tcPr>
          <w:p>
            <w:pPr>
              <w:ind w:left="860"/>
              <w:spacing w:after="0"/>
              <w:rPr>
                <w:sz w:val="20"/>
                <w:szCs w:val="20"/>
                <w:color w:val="auto"/>
              </w:rPr>
            </w:pPr>
            <w:r>
              <w:rPr>
                <w:rFonts w:ascii="Arial" w:cs="Arial" w:eastAsia="Arial" w:hAnsi="Arial"/>
                <w:sz w:val="18"/>
                <w:szCs w:val="18"/>
                <w:b w:val="1"/>
                <w:bCs w:val="1"/>
                <w:color w:val="auto"/>
              </w:rPr>
              <w:t>Income:</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Fixed-maturity securities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1,140,189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1,491,127</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345,168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357,311</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1,485,540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1,849,362</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Investment expenses</w:t>
            </w:r>
          </w:p>
        </w:tc>
        <w:tc>
          <w:tcPr>
            <w:tcW w:w="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126,440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66,166</w:t>
            </w:r>
          </w:p>
        </w:tc>
        <w:tc>
          <w:tcPr>
            <w:tcW w:w="100" w:type="dxa"/>
            <w:vAlign w:val="bottom"/>
          </w:tcPr>
          <w:p>
            <w:pPr>
              <w:spacing w:after="0"/>
              <w:rPr>
                <w:sz w:val="18"/>
                <w:szCs w:val="18"/>
                <w:color w:val="auto"/>
              </w:rPr>
            </w:pPr>
          </w:p>
        </w:tc>
      </w:tr>
      <w:tr>
        <w:trPr>
          <w:trHeight w:val="229"/>
        </w:trPr>
        <w:tc>
          <w:tcPr>
            <w:tcW w:w="860" w:type="dxa"/>
            <w:vAlign w:val="bottom"/>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1,359,100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1,783,196</w:t>
            </w:r>
          </w:p>
        </w:tc>
        <w:tc>
          <w:tcPr>
            <w:tcW w:w="100" w:type="dxa"/>
            <w:vAlign w:val="bottom"/>
            <w:shd w:val="clear" w:color="auto" w:fill="CCEEFF"/>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Proceeds from the redemption of fixed-maturity securities held-to-maturity were $500,000 and $-0- for the three months ended March 31, 2022 and 2021, respectively.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Proceeds from the sale or maturity of fixed-maturity securities available-for-sale were $10,181,658 and $11,548,405 for the three months ended March 31,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sale of equity securities were $4,994,884 and $6,433,262 for the three months ended March 31, 2022 and 2021, respectively.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7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8700" w:type="dxa"/>
            <w:vAlign w:val="bottom"/>
            <w:gridSpan w:val="3"/>
          </w:tcPr>
          <w:p>
            <w:pPr>
              <w:spacing w:after="0"/>
              <w:rPr>
                <w:sz w:val="20"/>
                <w:szCs w:val="20"/>
                <w:color w:val="auto"/>
              </w:rPr>
            </w:pPr>
            <w:r>
              <w:rPr>
                <w:rFonts w:ascii="Arial" w:cs="Arial" w:eastAsia="Arial" w:hAnsi="Arial"/>
                <w:sz w:val="18"/>
                <w:szCs w:val="18"/>
                <w:color w:val="auto"/>
              </w:rPr>
              <w:t>The Company’s net (losses) gains on investments are summarized as follows: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Realized Gains (Losses)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Fixed-maturity securities: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410,311</w:t>
            </w: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Gross realized losses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(126,424)</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(15,986)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(41,324)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394,325</w:t>
            </w:r>
          </w:p>
        </w:tc>
        <w:tc>
          <w:tcPr>
            <w:tcW w:w="0" w:type="dxa"/>
            <w:vAlign w:val="bottom"/>
          </w:tcPr>
          <w:p>
            <w:pPr>
              <w:spacing w:after="0"/>
              <w:rPr>
                <w:sz w:val="1"/>
                <w:szCs w:val="1"/>
                <w:color w:val="auto"/>
              </w:rPr>
            </w:pPr>
          </w:p>
        </w:tc>
      </w:tr>
      <w:tr>
        <w:trPr>
          <w:trHeight w:val="196"/>
        </w:trPr>
        <w:tc>
          <w:tcPr>
            <w:tcW w:w="1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Gross realized gains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448,306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933,122</w:t>
            </w: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(329,221)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(200,213)</w:t>
            </w:r>
          </w:p>
        </w:tc>
        <w:tc>
          <w:tcPr>
            <w:tcW w:w="0" w:type="dxa"/>
            <w:vAlign w:val="bottom"/>
          </w:tcPr>
          <w:p>
            <w:pPr>
              <w:spacing w:after="0"/>
              <w:rPr>
                <w:sz w:val="1"/>
                <w:szCs w:val="1"/>
                <w:color w:val="auto"/>
              </w:rPr>
            </w:pPr>
          </w:p>
        </w:tc>
      </w:tr>
      <w:tr>
        <w:trPr>
          <w:trHeight w:val="20"/>
        </w:trPr>
        <w:tc>
          <w:tcPr>
            <w:tcW w:w="1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119,085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732,909</w:t>
            </w:r>
          </w:p>
        </w:tc>
        <w:tc>
          <w:tcPr>
            <w:tcW w:w="0" w:type="dxa"/>
            <w:vAlign w:val="bottom"/>
          </w:tcPr>
          <w:p>
            <w:pPr>
              <w:spacing w:after="0"/>
              <w:rPr>
                <w:sz w:val="1"/>
                <w:szCs w:val="1"/>
                <w:color w:val="auto"/>
              </w:rPr>
            </w:pPr>
          </w:p>
        </w:tc>
      </w:tr>
      <w:tr>
        <w:trPr>
          <w:trHeight w:val="196"/>
        </w:trPr>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ind w:left="220"/>
              <w:spacing w:after="0"/>
              <w:rPr>
                <w:sz w:val="20"/>
                <w:szCs w:val="20"/>
                <w:color w:val="auto"/>
              </w:rPr>
            </w:pPr>
            <w:r>
              <w:rPr>
                <w:rFonts w:ascii="Arial" w:cs="Arial" w:eastAsia="Arial" w:hAnsi="Arial"/>
                <w:sz w:val="18"/>
                <w:szCs w:val="18"/>
                <w:color w:val="auto"/>
              </w:rPr>
              <w:t>Net realized gains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77,761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1,127,234</w:t>
            </w:r>
          </w:p>
        </w:tc>
        <w:tc>
          <w:tcPr>
            <w:tcW w:w="0" w:type="dxa"/>
            <w:vAlign w:val="bottom"/>
          </w:tcPr>
          <w:p>
            <w:pPr>
              <w:spacing w:after="0"/>
              <w:rPr>
                <w:sz w:val="1"/>
                <w:szCs w:val="1"/>
                <w:color w:val="auto"/>
              </w:rPr>
            </w:pPr>
          </w:p>
        </w:tc>
      </w:tr>
      <w:tr>
        <w:trPr>
          <w:trHeight w:val="196"/>
        </w:trPr>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Unrealized (Losses) Gains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gains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1,003,209</w:t>
            </w: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Gross losses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(3,560,634)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(3,560,634)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1,003,209</w:t>
            </w:r>
          </w:p>
        </w:tc>
        <w:tc>
          <w:tcPr>
            <w:tcW w:w="0" w:type="dxa"/>
            <w:vAlign w:val="bottom"/>
          </w:tcPr>
          <w:p>
            <w:pPr>
              <w:spacing w:after="0"/>
              <w:rPr>
                <w:sz w:val="1"/>
                <w:szCs w:val="1"/>
                <w:color w:val="auto"/>
              </w:rPr>
            </w:pPr>
          </w:p>
        </w:tc>
      </w:tr>
      <w:tr>
        <w:trPr>
          <w:trHeight w:val="196"/>
        </w:trPr>
        <w:tc>
          <w:tcPr>
            <w:tcW w:w="1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Other Investments: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Gross gains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829,964</w:t>
            </w: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losses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(915,532)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(915,532)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829,964</w:t>
            </w:r>
          </w:p>
        </w:tc>
        <w:tc>
          <w:tcPr>
            <w:tcW w:w="0" w:type="dxa"/>
            <w:vAlign w:val="bottom"/>
          </w:tcPr>
          <w:p>
            <w:pPr>
              <w:spacing w:after="0"/>
              <w:rPr>
                <w:sz w:val="1"/>
                <w:szCs w:val="1"/>
                <w:color w:val="auto"/>
              </w:rPr>
            </w:pPr>
          </w:p>
        </w:tc>
      </w:tr>
      <w:tr>
        <w:trPr>
          <w:trHeight w:val="196"/>
        </w:trPr>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ind w:left="220"/>
              <w:spacing w:after="0"/>
              <w:rPr>
                <w:sz w:val="20"/>
                <w:szCs w:val="20"/>
                <w:color w:val="auto"/>
              </w:rPr>
            </w:pPr>
            <w:r>
              <w:rPr>
                <w:rFonts w:ascii="Arial" w:cs="Arial" w:eastAsia="Arial" w:hAnsi="Arial"/>
                <w:sz w:val="18"/>
                <w:szCs w:val="18"/>
                <w:color w:val="auto"/>
              </w:rPr>
              <w:t>Net unrealized (losses) gains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(4,476,166)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1,833,173</w:t>
            </w:r>
          </w:p>
        </w:tc>
        <w:tc>
          <w:tcPr>
            <w:tcW w:w="0" w:type="dxa"/>
            <w:vAlign w:val="bottom"/>
          </w:tcPr>
          <w:p>
            <w:pPr>
              <w:spacing w:after="0"/>
              <w:rPr>
                <w:sz w:val="1"/>
                <w:szCs w:val="1"/>
                <w:color w:val="auto"/>
              </w:rPr>
            </w:pPr>
          </w:p>
        </w:tc>
      </w:tr>
      <w:tr>
        <w:trPr>
          <w:trHeight w:val="196"/>
        </w:trPr>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Net (losses) gains on investments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(4,398,405)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2,960,407</w:t>
            </w:r>
          </w:p>
        </w:tc>
        <w:tc>
          <w:tcPr>
            <w:tcW w:w="0" w:type="dxa"/>
            <w:vAlign w:val="bottom"/>
          </w:tcPr>
          <w:p>
            <w:pPr>
              <w:spacing w:after="0"/>
              <w:rPr>
                <w:sz w:val="1"/>
                <w:szCs w:val="1"/>
                <w:color w:val="auto"/>
              </w:rPr>
            </w:pPr>
          </w:p>
        </w:tc>
      </w:tr>
      <w:tr>
        <w:trPr>
          <w:trHeight w:val="20"/>
        </w:trPr>
        <w:tc>
          <w:tcPr>
            <w:tcW w:w="8700" w:type="dxa"/>
            <w:vAlign w:val="bottom"/>
            <w:gridSpan w:val="3"/>
            <w:vMerge w:val="restart"/>
          </w:tcPr>
          <w:p>
            <w:pPr>
              <w:spacing w:after="0"/>
              <w:rPr>
                <w:sz w:val="20"/>
                <w:szCs w:val="20"/>
                <w:color w:val="auto"/>
              </w:rPr>
            </w:pPr>
            <w:r>
              <w:rPr>
                <w:rFonts w:ascii="Arial" w:cs="Arial" w:eastAsia="Arial" w:hAnsi="Arial"/>
                <w:sz w:val="18"/>
                <w:szCs w:val="18"/>
                <w:color w:val="auto"/>
              </w:rPr>
              <w:t>Impairment Review</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7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Impairment of investment securities results in a charge to operations when a market decline below cost is deemed to be other-than-temporary. The Company regularly reviews its fixed-maturity securities to evaluate the necessity of recording impairment losses for other-than-temporary declines in the estimated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w:t>
      </w:r>
    </w:p>
    <w:p>
      <w:pPr>
        <w:sectPr>
          <w:pgSz w:w="11900" w:h="16838" w:orient="portrait"/>
          <w:cols w:equalWidth="0" w:num="1">
            <w:col w:w="11240"/>
          </w:cols>
          <w:pgMar w:left="320" w:top="125" w:right="339" w:bottom="0" w:gutter="0" w:footer="0" w:header="0"/>
        </w:sectPr>
      </w:pPr>
    </w:p>
    <w:bookmarkStart w:id="10" w:name="page11"/>
    <w:bookmarkEnd w:id="10"/>
    <w:p>
      <w:pPr>
        <w:jc w:val="both"/>
        <w:spacing w:after="0" w:line="273" w:lineRule="auto"/>
        <w:rPr>
          <w:sz w:val="20"/>
          <w:szCs w:val="20"/>
          <w:color w:val="auto"/>
        </w:rPr>
      </w:pPr>
      <w:r>
        <w:rPr>
          <w:rFonts w:ascii="Arial" w:cs="Arial" w:eastAsia="Arial" w:hAnsi="Arial"/>
          <w:sz w:val="17"/>
          <w:szCs w:val="17"/>
          <w:color w:val="auto"/>
        </w:rPr>
        <w:t>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loss. The credit loss component recognized in earnings is identified as the amount of principal cash flows not expected to be received over the remaining term of the security based on cash flow projections. For held-to-maturity fixed-maturity securities, the amount of OTTI recorded in comprehensive loss for the noncredit portion of a previous OTTI is amortized prospectively over the remaining life of the security based on timing of future estimated cash flows of the security.</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OTTI losses are recorded in the consolidated statements of operations and comprehensive loss as net realized losses on investments and result in a permanent reduction of the cost basis of the underlying investment. The determination of OTTI is a subjective process and different judgments and assumptions could affect the timing of loss realization. At March 31, 2022 and December 31, 2021, there were 100 and 48 fixed-maturity securities, respectively, that accounted for the gross unrealized losses. The Company determined that none of the unrealized losses were deemed to be OTTI for its portfolio of investments for the three months ended March 31, 2022 and 2021. Significant factors influencing the Company’s determination that unrealized losses were temporary included the magnitude of the unrealized losses in relation to each security’s cost, the nature of the investment and management’s intent and ability to hold the investment for a period of time sufficient to allow for an anticipated recovery of estimated fair value to the Company’s cost basis.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March 31, 2022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8"/>
                <w:szCs w:val="18"/>
                <w:b w:val="1"/>
                <w:bCs w:val="1"/>
                <w:color w:val="auto"/>
              </w:rPr>
              <w:t>March 31, 2022</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6"/>
          </w:tcPr>
          <w:p>
            <w:pPr>
              <w:ind w:left="660"/>
              <w:spacing w:after="0"/>
              <w:rPr>
                <w:sz w:val="20"/>
                <w:szCs w:val="20"/>
                <w:color w:val="auto"/>
              </w:rPr>
            </w:pPr>
            <w:r>
              <w:rPr>
                <w:rFonts w:ascii="Arial" w:cs="Arial" w:eastAsia="Arial" w:hAnsi="Arial"/>
                <w:sz w:val="18"/>
                <w:szCs w:val="18"/>
                <w:b w:val="1"/>
                <w:bCs w:val="1"/>
                <w:color w:val="auto"/>
                <w:w w:val="88"/>
              </w:rPr>
              <w:t>Less than 12 months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8"/>
          </w:tcPr>
          <w:p>
            <w:pPr>
              <w:ind w:left="60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8"/>
              </w:rPr>
              <w:t>Estimated</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1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1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4"/>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0"/>
              </w:rPr>
              <w:t>Losses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Losses</w:t>
            </w:r>
          </w:p>
        </w:tc>
        <w:tc>
          <w:tcPr>
            <w:tcW w:w="0" w:type="dxa"/>
            <w:vAlign w:val="bottom"/>
          </w:tcPr>
          <w:p>
            <w:pPr>
              <w:spacing w:after="0"/>
              <w:rPr>
                <w:sz w:val="1"/>
                <w:szCs w:val="1"/>
                <w:color w:val="auto"/>
              </w:rPr>
            </w:pPr>
          </w:p>
        </w:tc>
      </w:tr>
      <w:tr>
        <w:trPr>
          <w:trHeight w:val="412"/>
        </w:trPr>
        <w:tc>
          <w:tcPr>
            <w:tcW w:w="2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14,959,121</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(1,614,463)</w:t>
            </w:r>
          </w:p>
        </w:tc>
        <w:tc>
          <w:tcPr>
            <w:tcW w:w="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14,959,121</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(1,614,463)</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51,973,548</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(3,143,378)</w:t>
            </w:r>
          </w:p>
        </w:tc>
        <w:tc>
          <w:tcPr>
            <w:tcW w:w="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51,973,548</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(3,143,378)</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Residential mortgage and other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7"/>
              </w:rPr>
              <w:t>40,310,519</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1"/>
              </w:rPr>
              <w:t>(3,119,931)</w:t>
            </w:r>
          </w:p>
        </w:tc>
        <w:tc>
          <w:tcPr>
            <w:tcW w:w="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9"/>
              </w:rPr>
              <w:t>2,733,402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5"/>
              </w:rPr>
              <w:t>(306,849)</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7"/>
              </w:rPr>
              <w:t>43,043,921</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1"/>
              </w:rPr>
              <w:t>(3,426,780)</w:t>
            </w:r>
          </w:p>
        </w:tc>
        <w:tc>
          <w:tcPr>
            <w:tcW w:w="0" w:type="dxa"/>
            <w:vAlign w:val="bottom"/>
          </w:tcPr>
          <w:p>
            <w:pPr>
              <w:spacing w:after="0"/>
              <w:rPr>
                <w:sz w:val="1"/>
                <w:szCs w:val="1"/>
                <w:color w:val="auto"/>
              </w:rPr>
            </w:pPr>
          </w:p>
        </w:tc>
      </w:tr>
      <w:tr>
        <w:trPr>
          <w:trHeight w:val="217"/>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2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107,243,188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(7,877,772)</w:t>
            </w:r>
          </w:p>
        </w:tc>
        <w:tc>
          <w:tcPr>
            <w:tcW w:w="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2,733,402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(306,849)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109,976,590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(8,184,621)</w:t>
            </w:r>
          </w:p>
        </w:tc>
        <w:tc>
          <w:tcPr>
            <w:tcW w:w="0" w:type="dxa"/>
            <w:vAlign w:val="bottom"/>
          </w:tcPr>
          <w:p>
            <w:pPr>
              <w:spacing w:after="0"/>
              <w:rPr>
                <w:sz w:val="1"/>
                <w:szCs w:val="1"/>
                <w:color w:val="auto"/>
              </w:rPr>
            </w:pPr>
          </w:p>
        </w:tc>
      </w:tr>
      <w:tr>
        <w:trPr>
          <w:trHeight w:val="628"/>
        </w:trPr>
        <w:tc>
          <w:tcPr>
            <w:tcW w:w="132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32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held available-for-sale securities with unrealized losses representing declines that were considered temporary at December 31, 2021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8"/>
                <w:szCs w:val="18"/>
                <w:b w:val="1"/>
                <w:bCs w:val="1"/>
                <w:color w:val="auto"/>
                <w:w w:val="94"/>
              </w:rPr>
              <w:t>December 31, 2021</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8"/>
          </w:tcPr>
          <w:p>
            <w:pPr>
              <w:jc w:val="right"/>
              <w:ind w:right="78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8"/>
          </w:tcPr>
          <w:p>
            <w:pPr>
              <w:ind w:left="60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ind w:left="68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4"/>
          </w:tcPr>
          <w:p>
            <w:pPr>
              <w:ind w:left="120"/>
              <w:spacing w:after="0"/>
              <w:rPr>
                <w:sz w:val="20"/>
                <w:szCs w:val="20"/>
                <w:color w:val="auto"/>
              </w:rPr>
            </w:pPr>
            <w:r>
              <w:rPr>
                <w:rFonts w:ascii="Arial" w:cs="Arial" w:eastAsia="Arial" w:hAnsi="Arial"/>
                <w:sz w:val="18"/>
                <w:szCs w:val="18"/>
                <w:b w:val="1"/>
                <w:bCs w:val="1"/>
                <w:color w:val="auto"/>
              </w:rPr>
              <w:t>Unrealized</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Fair</w:t>
            </w:r>
          </w:p>
        </w:tc>
        <w:tc>
          <w:tcPr>
            <w:tcW w:w="11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3"/>
              </w:rPr>
              <w:t>Losses</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3"/>
              </w:rPr>
              <w:t>Losses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3"/>
              </w:rPr>
              <w:t>Losses</w:t>
            </w:r>
          </w:p>
        </w:tc>
        <w:tc>
          <w:tcPr>
            <w:tcW w:w="0" w:type="dxa"/>
            <w:vAlign w:val="bottom"/>
          </w:tcPr>
          <w:p>
            <w:pPr>
              <w:spacing w:after="0"/>
              <w:rPr>
                <w:sz w:val="1"/>
                <w:szCs w:val="1"/>
                <w:color w:val="auto"/>
              </w:rPr>
            </w:pPr>
          </w:p>
        </w:tc>
      </w:tr>
      <w:tr>
        <w:trPr>
          <w:trHeight w:val="412"/>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Fixed-Maturity Securities: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6,768,123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(197,984)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6,768,123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(197,984)</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Corporate and other bonds industrial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and miscellaneous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17,593,707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(126,926)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17,593,707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(126,926)</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Residential mortgage and other asset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8"/>
              </w:rPr>
              <w:t>45,399,451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5"/>
              </w:rPr>
              <w:t>(489,258)</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9"/>
              </w:rPr>
              <w:t>2,923,182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5"/>
              </w:rPr>
              <w:t>(120,344)</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8"/>
              </w:rPr>
              <w:t>48,322,633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5"/>
              </w:rPr>
              <w:t>(609,602)</w:t>
            </w:r>
          </w:p>
        </w:tc>
        <w:tc>
          <w:tcPr>
            <w:tcW w:w="0" w:type="dxa"/>
            <w:vAlign w:val="bottom"/>
          </w:tcPr>
          <w:p>
            <w:pPr>
              <w:spacing w:after="0"/>
              <w:rPr>
                <w:sz w:val="1"/>
                <w:szCs w:val="1"/>
                <w:color w:val="auto"/>
              </w:rPr>
            </w:pPr>
          </w:p>
        </w:tc>
      </w:tr>
      <w:tr>
        <w:trPr>
          <w:trHeight w:val="21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backed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69,761,281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(814,168)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2,923,182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(120,344)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72,684,463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(934,512)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5" w:right="339" w:bottom="123" w:gutter="0" w:footer="0" w:header="0"/>
        </w:sectPr>
      </w:pPr>
    </w:p>
    <w:bookmarkStart w:id="11" w:name="page12"/>
    <w:bookmarkEnd w:id="11"/>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about the Company’s investments that are measured at fair value on a recurring basis at March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indicating the fair value hierarchy of the valuation inputs the Company utilized to determine such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March 31, 2022</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412"/>
        </w:trPr>
        <w:tc>
          <w:tcPr>
            <w:tcW w:w="6060" w:type="dxa"/>
            <w:vAlign w:val="bottom"/>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 U.S. government corporations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15,618,791</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15,618,791</w:t>
            </w:r>
          </w:p>
        </w:tc>
      </w:tr>
      <w:tr>
        <w:trPr>
          <w:trHeight w:val="203"/>
        </w:trPr>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82,255,848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503,090</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82,758,938</w:t>
            </w:r>
          </w:p>
        </w:tc>
      </w:tr>
      <w:tr>
        <w:trPr>
          <w:trHeight w:val="203"/>
        </w:trPr>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53,519,767</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53,519,767</w:t>
            </w:r>
          </w:p>
        </w:tc>
      </w:tr>
      <w:tr>
        <w:trPr>
          <w:trHeight w:val="20"/>
        </w:trPr>
        <w:tc>
          <w:tcPr>
            <w:tcW w:w="6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Total fixed maturities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82,255,848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69,641,648</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151,897,496</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31,765,409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31,765,409</w:t>
            </w:r>
          </w:p>
        </w:tc>
      </w:tr>
      <w:tr>
        <w:trPr>
          <w:trHeight w:val="20"/>
        </w:trPr>
        <w:tc>
          <w:tcPr>
            <w:tcW w:w="6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114,021,257</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69,641,648</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183,662,905</w:t>
            </w: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 U.S. government corporations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17,285,514</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17,285,514</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82,500,779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510,475</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83,011,254</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57,783,342</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57,783,342</w:t>
            </w:r>
          </w:p>
        </w:tc>
        <w:tc>
          <w:tcPr>
            <w:tcW w:w="0" w:type="dxa"/>
            <w:vAlign w:val="bottom"/>
          </w:tcPr>
          <w:p>
            <w:pPr>
              <w:spacing w:after="0"/>
              <w:rPr>
                <w:sz w:val="1"/>
                <w:szCs w:val="1"/>
                <w:color w:val="auto"/>
              </w:rPr>
            </w:pPr>
          </w:p>
        </w:tc>
      </w:tr>
      <w:tr>
        <w:trPr>
          <w:trHeight w:val="20"/>
        </w:trPr>
        <w:tc>
          <w:tcPr>
            <w:tcW w:w="1320" w:type="dxa"/>
            <w:vAlign w:val="bottom"/>
            <w:shd w:val="clear" w:color="auto" w:fill="CCEEFF"/>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Total fixed maturities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82,500,779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75,579,331</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158,080,110</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39,687,002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39,687,002</w:t>
            </w:r>
          </w:p>
        </w:tc>
        <w:tc>
          <w:tcPr>
            <w:tcW w:w="0" w:type="dxa"/>
            <w:vAlign w:val="bottom"/>
          </w:tcPr>
          <w:p>
            <w:pPr>
              <w:spacing w:after="0"/>
              <w:rPr>
                <w:sz w:val="1"/>
                <w:szCs w:val="1"/>
                <w:color w:val="auto"/>
              </w:rPr>
            </w:pPr>
          </w:p>
        </w:tc>
      </w:tr>
      <w:tr>
        <w:trPr>
          <w:trHeight w:val="20"/>
        </w:trPr>
        <w:tc>
          <w:tcPr>
            <w:tcW w:w="1320" w:type="dxa"/>
            <w:vAlign w:val="bottom"/>
            <w:shd w:val="clear" w:color="auto" w:fill="CCEEFF"/>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122,187,781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75,579,331</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197,767,112</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ind w:left="5540"/>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060" w:type="dxa"/>
            <w:vAlign w:val="bottom"/>
            <w:tcBorders>
              <w:bottom w:val="single" w:sz="8" w:color="auto"/>
            </w:tcBorders>
            <w:gridSpan w:val="2"/>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32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following table sets forth the Company’s investment in a hedge fund measured at Net Asset Value (“NAV”) per share as of March 31, 2022 and December 31, 2021. The Company measures this investment at fair value on a recurring basis. Fair value using NAV per share is as follows as of the dates indicated:</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7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March 31,</w:t>
            </w:r>
          </w:p>
        </w:tc>
        <w:tc>
          <w:tcPr>
            <w:tcW w:w="11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7"/>
              </w:rPr>
              <w:t>31,</w:t>
            </w:r>
          </w:p>
        </w:tc>
        <w:tc>
          <w:tcPr>
            <w:tcW w:w="100" w:type="dxa"/>
            <w:vAlign w:val="bottom"/>
          </w:tcPr>
          <w:p>
            <w:pPr>
              <w:spacing w:after="0"/>
              <w:rPr>
                <w:sz w:val="18"/>
                <w:szCs w:val="18"/>
                <w:color w:val="auto"/>
              </w:rPr>
            </w:pPr>
          </w:p>
        </w:tc>
      </w:t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412"/>
        </w:trPr>
        <w:tc>
          <w:tcPr>
            <w:tcW w:w="7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Other Investments</w:t>
            </w:r>
          </w:p>
        </w:tc>
        <w:tc>
          <w:tcPr>
            <w:tcW w:w="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Hedge fund</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6,625,883</w:t>
            </w:r>
          </w:p>
        </w:tc>
        <w:tc>
          <w:tcPr>
            <w:tcW w:w="11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3"/>
              </w:rPr>
              <w:t>$  7,561,415</w:t>
            </w:r>
          </w:p>
        </w:tc>
        <w:tc>
          <w:tcPr>
            <w:tcW w:w="100" w:type="dxa"/>
            <w:vAlign w:val="bottom"/>
            <w:shd w:val="clear" w:color="auto" w:fill="CCEEFF"/>
          </w:tcPr>
          <w:p>
            <w:pPr>
              <w:spacing w:after="0"/>
              <w:rPr>
                <w:sz w:val="20"/>
                <w:szCs w:val="20"/>
                <w:color w:val="auto"/>
              </w:rPr>
            </w:pPr>
          </w:p>
        </w:tc>
      </w:tr>
      <w:tr>
        <w:trPr>
          <w:trHeight w:val="20"/>
        </w:trPr>
        <w:tc>
          <w:tcPr>
            <w:tcW w:w="7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condensed consolidated statements of operations and comprehensive loss within net (losses) gains on investments.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 and the level of the fair value hierarchy of the Company’s long-term debt as of March 31, 2022 and December 31, 2021 not measured at fair value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March 31, 2022</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Debt</w:t>
            </w:r>
          </w:p>
        </w:tc>
        <w:tc>
          <w:tcPr>
            <w:tcW w:w="940" w:type="dxa"/>
            <w:vAlign w:val="bottom"/>
          </w:tcPr>
          <w:p>
            <w:pPr>
              <w:jc w:val="right"/>
              <w:ind w:right="38"/>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2022</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28,819,199</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28,819,199</w:t>
            </w:r>
          </w:p>
        </w:tc>
        <w:tc>
          <w:tcPr>
            <w:tcW w:w="0" w:type="dxa"/>
            <w:vAlign w:val="bottom"/>
          </w:tcPr>
          <w:p>
            <w:pPr>
              <w:spacing w:after="0"/>
              <w:rPr>
                <w:sz w:val="1"/>
                <w:szCs w:val="1"/>
                <w:color w:val="auto"/>
              </w:rPr>
            </w:pPr>
          </w:p>
        </w:tc>
      </w:tr>
      <w:tr>
        <w:trPr>
          <w:trHeight w:val="419"/>
        </w:trPr>
        <w:tc>
          <w:tcPr>
            <w:tcW w:w="60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2021</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Debt</w:t>
            </w:r>
          </w:p>
        </w:tc>
        <w:tc>
          <w:tcPr>
            <w:tcW w:w="940" w:type="dxa"/>
            <w:vAlign w:val="bottom"/>
          </w:tcPr>
          <w:p>
            <w:pPr>
              <w:jc w:val="right"/>
              <w:ind w:right="38"/>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2022</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28,436,019</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28,436,019</w:t>
            </w:r>
          </w:p>
        </w:tc>
        <w:tc>
          <w:tcPr>
            <w:tcW w:w="0" w:type="dxa"/>
            <w:vAlign w:val="bottom"/>
          </w:tcPr>
          <w:p>
            <w:pPr>
              <w:spacing w:after="0"/>
              <w:rPr>
                <w:sz w:val="1"/>
                <w:szCs w:val="1"/>
                <w:color w:val="auto"/>
              </w:rPr>
            </w:pPr>
          </w:p>
        </w:tc>
      </w:tr>
    </w:tbl>
    <w:p>
      <w:pPr>
        <w:sectPr>
          <w:pgSz w:w="11900" w:h="16878" w:orient="portrait"/>
          <w:cols w:equalWidth="0" w:num="1">
            <w:col w:w="11240"/>
          </w:cols>
          <w:pgMar w:left="320" w:top="125" w:right="33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5 - Fair Value of Financial Instruments and Real Estate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the Company’s financial instruments and real estate as of March 31, 2022 and December 31, 2021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March 31, 2022</w:t>
            </w:r>
          </w:p>
        </w:tc>
        <w:tc>
          <w:tcPr>
            <w:tcW w:w="140" w:type="dxa"/>
            <w:vAlign w:val="bottom"/>
          </w:tcPr>
          <w:p>
            <w:pPr>
              <w:spacing w:after="0"/>
              <w:rPr>
                <w:sz w:val="20"/>
                <w:szCs w:val="20"/>
                <w:color w:val="auto"/>
              </w:rPr>
            </w:pPr>
          </w:p>
        </w:tc>
        <w:tc>
          <w:tcPr>
            <w:tcW w:w="2400" w:type="dxa"/>
            <w:vAlign w:val="bottom"/>
            <w:gridSpan w:val="5"/>
          </w:tcPr>
          <w:p>
            <w:pPr>
              <w:ind w:left="360"/>
              <w:spacing w:after="0"/>
              <w:rPr>
                <w:sz w:val="20"/>
                <w:szCs w:val="20"/>
                <w:color w:val="auto"/>
              </w:rPr>
            </w:pPr>
            <w:r>
              <w:rPr>
                <w:rFonts w:ascii="Arial" w:cs="Arial" w:eastAsia="Arial" w:hAnsi="Arial"/>
                <w:sz w:val="18"/>
                <w:szCs w:val="18"/>
                <w:b w:val="1"/>
                <w:bCs w:val="1"/>
                <w:color w:val="auto"/>
              </w:rPr>
              <w:t>December 31, 2021</w:t>
            </w:r>
          </w:p>
        </w:tc>
      </w:tr>
      <w:tr>
        <w:trPr>
          <w:trHeight w:val="191"/>
        </w:trPr>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7"/>
              </w:rPr>
              <w:t>Carrying</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196"/>
        </w:trPr>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Fixed-maturity securities-held-to maturity</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7,765,138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7,629,300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8,266,334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8,753,159</w:t>
            </w: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5,833,886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5,833,886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24,290,598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24,290,598</w:t>
            </w: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receivable, net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11,029,208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11,029,208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12,318,336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12,318,336</w:t>
            </w: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Reinsurance receivables, net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49,341,690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49,341,690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40,292,438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40,292,438</w:t>
            </w: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net of accumulated depreciation</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2,126,029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2,144,464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3,025,000</w:t>
            </w:r>
          </w:p>
        </w:tc>
      </w:t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Reinsurance balances payable</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5,091,070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5,091,070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12,961,568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12,961,568</w:t>
            </w:r>
          </w:p>
        </w:tc>
      </w:tr>
      <w:tr>
        <w:trPr>
          <w:trHeight w:val="850"/>
        </w:trPr>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2"/>
        </w:trPr>
        <w:tc>
          <w:tcPr>
            <w:tcW w:w="1320" w:type="dxa"/>
            <w:vAlign w:val="bottom"/>
            <w:tcBorders>
              <w:bottom w:val="single" w:sz="8" w:color="0000EE"/>
            </w:tcBorders>
            <w:gridSpan w:val="2"/>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3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Note 6 – Property and Casualty Insurance Activity</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Premiums Earned</w:t>
            </w:r>
          </w:p>
        </w:tc>
        <w:tc>
          <w:tcPr>
            <w:tcW w:w="3420" w:type="dxa"/>
            <w:vAlign w:val="bottom"/>
            <w:gridSpan w:val="2"/>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20" w:type="dxa"/>
            <w:vAlign w:val="bottom"/>
            <w:gridSpan w:val="3"/>
          </w:tcPr>
          <w:p>
            <w:pPr>
              <w:spacing w:after="0"/>
              <w:rPr>
                <w:sz w:val="20"/>
                <w:szCs w:val="20"/>
                <w:color w:val="auto"/>
              </w:rPr>
            </w:pPr>
            <w:r>
              <w:rPr>
                <w:rFonts w:ascii="Arial" w:cs="Arial" w:eastAsia="Arial" w:hAnsi="Arial"/>
                <w:sz w:val="18"/>
                <w:szCs w:val="18"/>
                <w:color w:val="auto"/>
              </w:rPr>
              <w:t>Premiums written, ceded and earned are as follows: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Direct</w:t>
            </w:r>
          </w:p>
        </w:tc>
        <w:tc>
          <w:tcPr>
            <w:tcW w:w="12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Assumed</w:t>
            </w:r>
          </w:p>
        </w:tc>
        <w:tc>
          <w:tcPr>
            <w:tcW w:w="1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Ceded</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Net</w:t>
            </w:r>
          </w:p>
        </w:tc>
      </w:tr>
      <w:tr>
        <w:trPr>
          <w:trHeight w:val="412"/>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 March 31, 2022</w:t>
            </w:r>
          </w:p>
        </w:tc>
        <w:tc>
          <w:tcPr>
            <w:tcW w:w="1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written</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42,983,897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(18,065,709)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24,918,188</w:t>
            </w: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Change in unearned premiums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2,392,727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(637,535)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1,755,192</w:t>
            </w:r>
          </w:p>
        </w:tc>
      </w:tr>
      <w:tr>
        <w:trPr>
          <w:trHeight w:val="20"/>
        </w:trPr>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45,376,624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(18,703,244)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26,673,380</w:t>
            </w:r>
          </w:p>
        </w:tc>
      </w:tr>
      <w:tr>
        <w:trPr>
          <w:trHeight w:val="183"/>
        </w:trPr>
        <w:tc>
          <w:tcPr>
            <w:tcW w:w="13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40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Premiums written</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38,129,117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(7,329,507)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30,799,610</w:t>
            </w: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unearned premiums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3,789,478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3,789,608</w:t>
            </w:r>
          </w:p>
        </w:tc>
      </w:tr>
      <w:tr>
        <w:trPr>
          <w:trHeight w:val="20"/>
        </w:trPr>
        <w:tc>
          <w:tcPr>
            <w:tcW w:w="1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20" w:type="dxa"/>
            <w:vAlign w:val="bottom"/>
            <w:gridSpan w:val="3"/>
          </w:tcPr>
          <w:p>
            <w:pPr>
              <w:spacing w:after="0"/>
              <w:rPr>
                <w:sz w:val="20"/>
                <w:szCs w:val="20"/>
                <w:color w:val="auto"/>
              </w:rPr>
            </w:pPr>
            <w:r>
              <w:rPr>
                <w:rFonts w:ascii="Arial" w:cs="Arial" w:eastAsia="Arial" w:hAnsi="Arial"/>
                <w:sz w:val="18"/>
                <w:szCs w:val="18"/>
                <w:color w:val="auto"/>
              </w:rPr>
              <w:t>Premiums earned</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41,918,595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(7,329,377)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34,589,218</w:t>
            </w:r>
          </w:p>
        </w:tc>
      </w:tr>
      <w:tr>
        <w:trPr>
          <w:trHeight w:val="20"/>
        </w:trPr>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Premium receipts in advance of the policy effective date are recorded as advance premiums. The balance of advance premiums as of March 31, 2022 and December 31, 2021 was $5,232,527 and $2,693,466,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Loss Adjustment Expense Reserves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beginning and ending balances for unpaid losses and loss adjustment expense (“LAE”) reserves:</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$ 94,948,745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$ 82,801,228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Less reinsurance recoverables</w:t>
            </w:r>
          </w:p>
        </w:tc>
        <w:tc>
          <w:tcPr>
            <w:tcW w:w="24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(10,637,679)</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(20,154,251)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 beginning of period</w:t>
            </w:r>
          </w:p>
        </w:tc>
        <w:tc>
          <w:tcPr>
            <w:tcW w:w="2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84,311,066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62,646,977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2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Current year</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22,944,869</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22,571,727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Prior years</w:t>
            </w:r>
          </w:p>
        </w:tc>
        <w:tc>
          <w:tcPr>
            <w:tcW w:w="2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(3,671)</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incurred</w:t>
            </w:r>
          </w:p>
        </w:tc>
        <w:tc>
          <w:tcPr>
            <w:tcW w:w="248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22,941,198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22,560,672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Paid related to:</w:t>
            </w:r>
          </w:p>
        </w:tc>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9,283,972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7,749,998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Prior years</w:t>
            </w:r>
          </w:p>
        </w:tc>
        <w:tc>
          <w:tcPr>
            <w:tcW w:w="24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14,918,035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10,059,577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paid</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24,202,007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17,809,575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20" w:type="dxa"/>
            <w:vAlign w:val="bottom"/>
            <w:tcBorders>
              <w:top w:val="single" w:sz="8" w:color="CCEEFF"/>
            </w:tcBorders>
          </w:tcPr>
          <w:p>
            <w:pPr>
              <w:spacing w:after="0"/>
              <w:rPr>
                <w:sz w:val="17"/>
                <w:szCs w:val="17"/>
                <w:color w:val="auto"/>
              </w:rPr>
            </w:pPr>
          </w:p>
        </w:tc>
        <w:tc>
          <w:tcPr>
            <w:tcW w:w="248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end of period</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83,050,257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67,398,074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Add reinsurance recoverables</w:t>
            </w:r>
          </w:p>
        </w:tc>
        <w:tc>
          <w:tcPr>
            <w:tcW w:w="24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15,866,741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17,058,985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$ 98,916,998</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$ 84,457,059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Incurred losses and LAE are net of reinsurance recoveries under reinsurance contracts of $10,404,866 and $823,856 for the three months ended March 31, 2022 and 2021, respectively.</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Prior year incurred loss and LAE development is based upon estimates by line of business and accident year. Prior year loss and LAE development incurred during the three months ended March 31, 2022 and 2021 was $3,671 favorable and $11,055 favorable, respectively. Management, on a quarterly basis,</w:t>
      </w:r>
    </w:p>
    <w:p>
      <w:pPr>
        <w:sectPr>
          <w:pgSz w:w="11900" w:h="16838" w:orient="portrait"/>
          <w:cols w:equalWidth="0" w:num="1">
            <w:col w:w="11240"/>
          </w:cols>
          <w:pgMar w:left="320" w:top="337" w:right="339" w:bottom="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performs a review of open liability claims to assess carried case and incurred but not reported (“IBNR”) reserve levels, giving consideration to both Company and industry trends.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LAE reserves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9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i w:val="1"/>
          <w:iCs w:val="1"/>
          <w:color w:val="auto"/>
        </w:rPr>
        <w:t xml:space="preserve">Paid Loss Development </w:t>
      </w:r>
      <w:r>
        <w:rPr>
          <w:rFonts w:ascii="Arial" w:cs="Arial" w:eastAsia="Arial" w:hAnsi="Arial"/>
          <w:sz w:val="18"/>
          <w:szCs w:val="18"/>
          <w:color w:val="auto"/>
        </w:rPr>
        <w:t>– historical patterns of paid loss development are used to project future paid loss emergence in order to estimate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Incurred Loss Development </w:t>
      </w:r>
      <w:r>
        <w:rPr>
          <w:rFonts w:ascii="Arial" w:cs="Arial" w:eastAsia="Arial" w:hAnsi="Arial"/>
          <w:sz w:val="18"/>
          <w:szCs w:val="18"/>
          <w:color w:val="auto"/>
        </w:rPr>
        <w:t>– historical patterns of incurred loss development, reflecting both paid losses and changes in case reserves, are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future incurred loss emergence in order to estimate required reserves.</w:t>
      </w:r>
    </w:p>
    <w:p>
      <w:pPr>
        <w:spacing w:after="0" w:line="170"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5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Incurred Bornhuetter-Ferguson (“BF”) </w:t>
      </w:r>
      <w:r>
        <w:rPr>
          <w:rFonts w:ascii="Arial" w:cs="Arial" w:eastAsia="Arial" w:hAnsi="Arial"/>
          <w:sz w:val="18"/>
          <w:szCs w:val="18"/>
          <w:color w:val="auto"/>
        </w:rPr>
        <w:t>- an estimated loss ratio for a particular accident year is determined, and is weighted against the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Incremental Claim-Based Methods </w:t>
      </w:r>
      <w:r>
        <w:rPr>
          <w:rFonts w:ascii="Arial" w:cs="Arial" w:eastAsia="Arial" w:hAnsi="Arial"/>
          <w:sz w:val="18"/>
          <w:szCs w:val="18"/>
          <w:color w:val="auto"/>
        </w:rPr>
        <w:t>– historical patterns of incremental incurred losses and paid LAE during various stages of development are</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8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i w:val="1"/>
          <w:iCs w:val="1"/>
          <w:color w:val="auto"/>
        </w:rPr>
        <w:t xml:space="preserve">Frequency / Severity Based Methods </w:t>
      </w:r>
      <w:r>
        <w:rPr>
          <w:rFonts w:ascii="Arial" w:cs="Arial" w:eastAsia="Arial" w:hAnsi="Arial"/>
          <w:sz w:val="17"/>
          <w:szCs w:val="17"/>
          <w:color w:val="auto"/>
        </w:rPr>
        <w:t>– historical measurements of claim frequency and average paid claim size (severity) are reviewed for more</w:t>
      </w:r>
      <w:r>
        <w:rPr>
          <w:rFonts w:ascii="Arial" w:cs="Arial" w:eastAsia="Arial" w:hAnsi="Arial"/>
          <w:sz w:val="17"/>
          <w:szCs w:val="17"/>
          <w:i w:val="1"/>
          <w:iCs w:val="1"/>
          <w:color w:val="auto"/>
        </w:rPr>
        <w:t xml:space="preserve"> </w:t>
      </w:r>
      <w:r>
        <w:rPr>
          <w:rFonts w:ascii="Arial" w:cs="Arial" w:eastAsia="Arial" w:hAnsi="Arial"/>
          <w:sz w:val="17"/>
          <w:szCs w:val="17"/>
          <w:color w:val="auto"/>
        </w:rPr>
        <w:t>mature 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ectPr>
          <w:pgSz w:w="11900" w:h="16838" w:orient="portrait"/>
          <w:cols w:equalWidth="0" w:num="1">
            <w:col w:w="11240"/>
          </w:cols>
          <w:pgMar w:left="320" w:top="125" w:right="339" w:bottom="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COVID-19 has introduced additional uncertainty to recent claim trends. The Company reviews the carried reserves levels on a regular basis as additional information becomes available and makes adjustments in the periods in which such adjustments are determined to be necessary. The Company is not aware of any other claim trends that have emerged or that would cause future adverse development that have not already been contemplated in setting current carried reserves levels.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March 31, 2019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information about incurred and paid claims development as of March 31, 2022, net of reinsurance, as well as the cumulative reported claims by accident year and total IBNR reserves as of March 31, 2022 included in the net incurred loss and allocated expense amounts. The historical information regarding incurred and paid claims development for the years ended December 31, 2013 to December 31, 2021 is presented as supplementary unaudited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Lines of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reported claims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40" w:type="dxa"/>
            <w:vAlign w:val="bottom"/>
            <w:gridSpan w:val="61"/>
          </w:tcPr>
          <w:p>
            <w:pPr>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20" w:type="dxa"/>
            <w:vAlign w:val="bottom"/>
            <w:gridSpan w:val="37"/>
          </w:tcPr>
          <w:p>
            <w:pPr>
              <w:jc w:val="right"/>
              <w:ind w:right="240"/>
              <w:spacing w:after="0"/>
              <w:rPr>
                <w:sz w:val="20"/>
                <w:szCs w:val="20"/>
                <w:color w:val="auto"/>
              </w:rPr>
            </w:pPr>
            <w:r>
              <w:rPr>
                <w:rFonts w:ascii="Arial" w:cs="Arial" w:eastAsia="Arial" w:hAnsi="Arial"/>
                <w:sz w:val="18"/>
                <w:szCs w:val="18"/>
                <w:b w:val="1"/>
                <w:bCs w:val="1"/>
                <w:color w:val="auto"/>
                <w:w w:val="95"/>
              </w:rPr>
              <w:t>Incurred Loss and Allocated Loss Adjustment Expenses, Net of Reinsurance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3"/>
              </w:rPr>
              <w:t>March 31, 2022</w:t>
            </w:r>
          </w:p>
        </w:tc>
        <w:tc>
          <w:tcPr>
            <w:tcW w:w="0" w:type="dxa"/>
            <w:vAlign w:val="bottom"/>
          </w:tcPr>
          <w:p>
            <w:pPr>
              <w:spacing w:after="0"/>
              <w:rPr>
                <w:sz w:val="1"/>
                <w:szCs w:val="1"/>
                <w:color w:val="auto"/>
              </w:rPr>
            </w:pPr>
          </w:p>
        </w:tc>
      </w:tr>
      <w:tr>
        <w:trPr>
          <w:trHeight w:val="191"/>
        </w:trPr>
        <w:tc>
          <w:tcPr>
            <w:tcW w:w="780" w:type="dxa"/>
            <w:vAlign w:val="bottom"/>
            <w:gridSpan w:val="2"/>
          </w:tcPr>
          <w:p>
            <w:pPr>
              <w:spacing w:after="0"/>
              <w:rPr>
                <w:sz w:val="16"/>
                <w:szCs w:val="16"/>
                <w:color w:val="auto"/>
              </w:rPr>
            </w:pPr>
          </w:p>
        </w:tc>
        <w:tc>
          <w:tcPr>
            <w:tcW w:w="8320" w:type="dxa"/>
            <w:vAlign w:val="bottom"/>
            <w:tcBorders>
              <w:top w:val="single" w:sz="8" w:color="auto"/>
            </w:tcBorders>
            <w:gridSpan w:val="47"/>
          </w:tcPr>
          <w:p>
            <w:pPr>
              <w:spacing w:after="0"/>
              <w:rPr>
                <w:sz w:val="20"/>
                <w:szCs w:val="20"/>
                <w:color w:val="auto"/>
              </w:rPr>
            </w:pPr>
            <w:r>
              <w:rPr>
                <w:rFonts w:ascii="Arial" w:cs="Arial" w:eastAsia="Arial" w:hAnsi="Arial"/>
                <w:sz w:val="18"/>
                <w:szCs w:val="18"/>
                <w:b w:val="1"/>
                <w:bCs w:val="1"/>
                <w:color w:val="auto"/>
              </w:rPr>
              <w:t>Three</w:t>
            </w:r>
          </w:p>
        </w:tc>
        <w:tc>
          <w:tcPr>
            <w:tcW w:w="220" w:type="dxa"/>
            <w:vAlign w:val="bottom"/>
            <w:gridSpan w:val="3"/>
          </w:tcPr>
          <w:p>
            <w:pPr>
              <w:spacing w:after="0"/>
              <w:rPr>
                <w:sz w:val="16"/>
                <w:szCs w:val="16"/>
                <w:color w:val="auto"/>
              </w:rPr>
            </w:pPr>
          </w:p>
        </w:tc>
        <w:tc>
          <w:tcPr>
            <w:tcW w:w="1820" w:type="dxa"/>
            <w:vAlign w:val="bottom"/>
            <w:tcBorders>
              <w:top w:val="single" w:sz="8" w:color="auto"/>
            </w:tcBorders>
            <w:gridSpan w:val="8"/>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40" w:type="dxa"/>
            <w:vAlign w:val="bottom"/>
            <w:gridSpan w:val="61"/>
          </w:tcPr>
          <w:p>
            <w:pPr>
              <w:spacing w:after="0"/>
              <w:rPr>
                <w:sz w:val="20"/>
                <w:szCs w:val="20"/>
                <w:color w:val="auto"/>
              </w:rPr>
            </w:pPr>
            <w:r>
              <w:rPr>
                <w:rFonts w:ascii="Arial" w:cs="Arial" w:eastAsia="Arial" w:hAnsi="Arial"/>
                <w:sz w:val="18"/>
                <w:szCs w:val="18"/>
                <w:b w:val="1"/>
                <w:bCs w:val="1"/>
                <w:color w:val="auto"/>
              </w:rPr>
              <w:t>Months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60" w:type="dxa"/>
            <w:vAlign w:val="bottom"/>
            <w:gridSpan w:val="20"/>
            <w:vMerge w:val="restart"/>
          </w:tcPr>
          <w:p>
            <w:pPr>
              <w:jc w:val="center"/>
              <w:ind w:right="580"/>
              <w:spacing w:after="0"/>
              <w:rPr>
                <w:sz w:val="20"/>
                <w:szCs w:val="20"/>
                <w:color w:val="auto"/>
              </w:rPr>
            </w:pPr>
            <w:r>
              <w:rPr>
                <w:rFonts w:ascii="Arial" w:cs="Arial" w:eastAsia="Arial" w:hAnsi="Arial"/>
                <w:sz w:val="18"/>
                <w:szCs w:val="18"/>
                <w:b w:val="1"/>
                <w:bCs w:val="1"/>
                <w:color w:val="auto"/>
                <w:w w:val="90"/>
              </w:rPr>
              <w:t>For the Years Ended December 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20"/>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191"/>
        </w:trPr>
        <w:tc>
          <w:tcPr>
            <w:tcW w:w="10140" w:type="dxa"/>
            <w:vAlign w:val="bottom"/>
            <w:gridSpan w:val="57"/>
          </w:tcPr>
          <w:p>
            <w:pPr>
              <w:spacing w:after="0"/>
              <w:rPr>
                <w:sz w:val="16"/>
                <w:szCs w:val="16"/>
                <w:color w:val="auto"/>
              </w:rPr>
            </w:pPr>
          </w:p>
        </w:tc>
        <w:tc>
          <w:tcPr>
            <w:tcW w:w="11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40" w:type="dxa"/>
            <w:vAlign w:val="bottom"/>
            <w:gridSpan w:val="61"/>
          </w:tcPr>
          <w:p>
            <w:pPr>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11240" w:type="dxa"/>
            <w:vAlign w:val="bottom"/>
            <w:gridSpan w:val="61"/>
          </w:tcPr>
          <w:p>
            <w:pPr>
              <w:spacing w:after="0"/>
              <w:rPr>
                <w:sz w:val="20"/>
                <w:szCs w:val="20"/>
                <w:color w:val="auto"/>
              </w:rPr>
            </w:pPr>
            <w:r>
              <w:rPr>
                <w:rFonts w:ascii="Arial" w:cs="Arial" w:eastAsia="Arial" w:hAnsi="Arial"/>
                <w:sz w:val="18"/>
                <w:szCs w:val="18"/>
                <w:b w:val="1"/>
                <w:bCs w:val="1"/>
                <w:color w:val="auto"/>
              </w:rPr>
              <w:t>Reported</w:t>
            </w:r>
          </w:p>
        </w:tc>
        <w:tc>
          <w:tcPr>
            <w:tcW w:w="0" w:type="dxa"/>
            <w:vAlign w:val="bottom"/>
          </w:tcPr>
          <w:p>
            <w:pPr>
              <w:spacing w:after="0"/>
              <w:rPr>
                <w:sz w:val="1"/>
                <w:szCs w:val="1"/>
                <w:color w:val="auto"/>
              </w:rPr>
            </w:pPr>
          </w:p>
        </w:tc>
      </w:tr>
      <w:tr>
        <w:trPr>
          <w:trHeight w:val="216"/>
        </w:trPr>
        <w:tc>
          <w:tcPr>
            <w:tcW w:w="11240" w:type="dxa"/>
            <w:vAlign w:val="bottom"/>
            <w:gridSpan w:val="61"/>
          </w:tcPr>
          <w:p>
            <w:pPr>
              <w:spacing w:after="0"/>
              <w:rPr>
                <w:sz w:val="20"/>
                <w:szCs w:val="20"/>
                <w:color w:val="auto"/>
              </w:rPr>
            </w:pPr>
            <w:r>
              <w:rPr>
                <w:rFonts w:ascii="Arial" w:cs="Arial" w:eastAsia="Arial" w:hAnsi="Arial"/>
                <w:sz w:val="18"/>
                <w:szCs w:val="18"/>
                <w:b w:val="1"/>
                <w:bCs w:val="1"/>
                <w:color w:val="auto"/>
              </w:rPr>
              <w:t>Claims by</w:t>
            </w:r>
          </w:p>
        </w:tc>
        <w:tc>
          <w:tcPr>
            <w:tcW w:w="0" w:type="dxa"/>
            <w:vAlign w:val="bottom"/>
          </w:tcPr>
          <w:p>
            <w:pPr>
              <w:spacing w:after="0"/>
              <w:rPr>
                <w:sz w:val="1"/>
                <w:szCs w:val="1"/>
                <w:color w:val="auto"/>
              </w:rPr>
            </w:pPr>
          </w:p>
        </w:tc>
      </w:tr>
      <w:tr>
        <w:trPr>
          <w:trHeight w:val="216"/>
        </w:trPr>
        <w:tc>
          <w:tcPr>
            <w:tcW w:w="10220" w:type="dxa"/>
            <w:vAlign w:val="bottom"/>
            <w:gridSpan w:val="58"/>
          </w:tcPr>
          <w:p>
            <w:pPr>
              <w:jc w:val="center"/>
              <w:ind w:right="9410"/>
              <w:spacing w:after="0"/>
              <w:rPr>
                <w:sz w:val="20"/>
                <w:szCs w:val="20"/>
                <w:color w:val="auto"/>
              </w:rPr>
            </w:pPr>
            <w:r>
              <w:rPr>
                <w:rFonts w:ascii="Arial" w:cs="Arial" w:eastAsia="Arial" w:hAnsi="Arial"/>
                <w:sz w:val="18"/>
                <w:szCs w:val="18"/>
                <w:b w:val="1"/>
                <w:bCs w:val="1"/>
                <w:color w:val="auto"/>
                <w:w w:val="89"/>
              </w:rPr>
              <w:t>Accident</w:t>
            </w:r>
          </w:p>
        </w:tc>
        <w:tc>
          <w:tcPr>
            <w:tcW w:w="10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Accident</w:t>
            </w:r>
          </w:p>
        </w:tc>
        <w:tc>
          <w:tcPr>
            <w:tcW w:w="0" w:type="dxa"/>
            <w:vAlign w:val="bottom"/>
          </w:tcPr>
          <w:p>
            <w:pPr>
              <w:spacing w:after="0"/>
              <w:rPr>
                <w:sz w:val="1"/>
                <w:szCs w:val="1"/>
                <w:color w:val="auto"/>
              </w:rPr>
            </w:pPr>
          </w:p>
        </w:tc>
      </w:tr>
      <w:tr>
        <w:trPr>
          <w:trHeight w:val="234"/>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w w:val="94"/>
              </w:rPr>
              <w:t>2013</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4"/>
              </w:rPr>
              <w:t>2014</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2015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6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IBNR</w:t>
            </w:r>
          </w:p>
        </w:tc>
        <w:tc>
          <w:tcPr>
            <w:tcW w:w="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12"/>
          </w:tcPr>
          <w:p>
            <w:pPr>
              <w:jc w:val="center"/>
              <w:ind w:right="180"/>
              <w:spacing w:after="0"/>
              <w:rPr>
                <w:sz w:val="20"/>
                <w:szCs w:val="20"/>
                <w:color w:val="auto"/>
              </w:rPr>
            </w:pPr>
            <w:r>
              <w:rPr>
                <w:rFonts w:ascii="Arial" w:cs="Arial" w:eastAsia="Arial" w:hAnsi="Arial"/>
                <w:sz w:val="18"/>
                <w:szCs w:val="18"/>
                <w:b w:val="1"/>
                <w:bCs w:val="1"/>
                <w:color w:val="auto"/>
                <w:w w:val="92"/>
              </w:rPr>
              <w:t>(Unaudited 2013 - 2021)</w:t>
            </w: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5"/>
              </w:rPr>
              <w:t>(Unaudited)</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40" w:type="dxa"/>
            <w:vAlign w:val="bottom"/>
            <w:gridSpan w:val="6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80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w w:val="94"/>
              </w:rPr>
              <w:t>$ 10,728</w:t>
            </w: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$ 9,745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9,621</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2"/>
              </w:rPr>
              <w:t>$ 10,061</w:t>
            </w:r>
          </w:p>
        </w:tc>
        <w:tc>
          <w:tcPr>
            <w:tcW w:w="8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$ 10,089</w:t>
            </w: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$ 10,607</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9"/>
              </w:rPr>
              <w:t>$ 10,495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2"/>
              </w:rPr>
              <w:t>$ 10,529</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10,507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14,193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7"/>
              </w:rPr>
              <w:t>14,260</w:t>
            </w:r>
          </w:p>
        </w:tc>
        <w:tc>
          <w:tcPr>
            <w:tcW w:w="60" w:type="dxa"/>
            <w:vAlign w:val="bottom"/>
          </w:tcPr>
          <w:p>
            <w:pPr>
              <w:spacing w:after="0"/>
              <w:rPr>
                <w:sz w:val="18"/>
                <w:szCs w:val="18"/>
                <w:color w:val="auto"/>
              </w:rPr>
            </w:pPr>
          </w:p>
        </w:tc>
        <w:tc>
          <w:tcPr>
            <w:tcW w:w="900" w:type="dxa"/>
            <w:vAlign w:val="bottom"/>
            <w:gridSpan w:val="5"/>
          </w:tcPr>
          <w:p>
            <w:pPr>
              <w:jc w:val="right"/>
              <w:ind w:right="220"/>
              <w:spacing w:after="0"/>
              <w:rPr>
                <w:sz w:val="20"/>
                <w:szCs w:val="20"/>
                <w:color w:val="auto"/>
              </w:rPr>
            </w:pPr>
            <w:r>
              <w:rPr>
                <w:rFonts w:ascii="Arial" w:cs="Arial" w:eastAsia="Arial" w:hAnsi="Arial"/>
                <w:sz w:val="18"/>
                <w:szCs w:val="18"/>
                <w:color w:val="auto"/>
              </w:rPr>
              <w:t>14,218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14,564</w:t>
            </w:r>
          </w:p>
        </w:tc>
        <w:tc>
          <w:tcPr>
            <w:tcW w:w="840" w:type="dxa"/>
            <w:vAlign w:val="bottom"/>
            <w:gridSpan w:val="6"/>
          </w:tcPr>
          <w:p>
            <w:pPr>
              <w:jc w:val="right"/>
              <w:ind w:right="20"/>
              <w:spacing w:after="0"/>
              <w:rPr>
                <w:sz w:val="20"/>
                <w:szCs w:val="20"/>
                <w:color w:val="auto"/>
              </w:rPr>
            </w:pPr>
            <w:r>
              <w:rPr>
                <w:rFonts w:ascii="Arial" w:cs="Arial" w:eastAsia="Arial" w:hAnsi="Arial"/>
                <w:sz w:val="18"/>
                <w:szCs w:val="18"/>
                <w:color w:val="auto"/>
              </w:rPr>
              <w:t>15,023</w:t>
            </w: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16,381</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16,428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16,434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16,422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22,340</w:t>
            </w:r>
          </w:p>
        </w:tc>
        <w:tc>
          <w:tcPr>
            <w:tcW w:w="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21,994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22,148</w:t>
            </w:r>
          </w:p>
        </w:tc>
        <w:tc>
          <w:tcPr>
            <w:tcW w:w="8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22,491</w:t>
            </w: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23,386</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23,291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23,528</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23,540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5"/>
          </w:tcPr>
          <w:p>
            <w:pPr>
              <w:jc w:val="right"/>
              <w:ind w:right="220"/>
              <w:spacing w:after="0"/>
              <w:rPr>
                <w:sz w:val="20"/>
                <w:szCs w:val="20"/>
                <w:color w:val="auto"/>
              </w:rPr>
            </w:pPr>
            <w:r>
              <w:rPr>
                <w:rFonts w:ascii="Arial" w:cs="Arial" w:eastAsia="Arial" w:hAnsi="Arial"/>
                <w:sz w:val="18"/>
                <w:szCs w:val="18"/>
                <w:color w:val="auto"/>
              </w:rPr>
              <w:t>26,062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24,941</w:t>
            </w:r>
          </w:p>
        </w:tc>
        <w:tc>
          <w:tcPr>
            <w:tcW w:w="840" w:type="dxa"/>
            <w:vAlign w:val="bottom"/>
            <w:gridSpan w:val="6"/>
          </w:tcPr>
          <w:p>
            <w:pPr>
              <w:jc w:val="right"/>
              <w:ind w:right="20"/>
              <w:spacing w:after="0"/>
              <w:rPr>
                <w:sz w:val="20"/>
                <w:szCs w:val="20"/>
                <w:color w:val="auto"/>
              </w:rPr>
            </w:pPr>
            <w:r>
              <w:rPr>
                <w:rFonts w:ascii="Arial" w:cs="Arial" w:eastAsia="Arial" w:hAnsi="Arial"/>
                <w:sz w:val="18"/>
                <w:szCs w:val="18"/>
                <w:color w:val="auto"/>
              </w:rPr>
              <w:t>24,789</w:t>
            </w: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27,887</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27,966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27,417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27,390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31,605</w:t>
            </w:r>
          </w:p>
        </w:tc>
        <w:tc>
          <w:tcPr>
            <w:tcW w:w="8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32,169</w:t>
            </w: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35,304</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36,160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36,532</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36,534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6"/>
          </w:tcPr>
          <w:p>
            <w:pPr>
              <w:jc w:val="right"/>
              <w:ind w:right="20"/>
              <w:spacing w:after="0"/>
              <w:rPr>
                <w:sz w:val="20"/>
                <w:szCs w:val="20"/>
                <w:color w:val="auto"/>
              </w:rPr>
            </w:pPr>
            <w:r>
              <w:rPr>
                <w:rFonts w:ascii="Arial" w:cs="Arial" w:eastAsia="Arial" w:hAnsi="Arial"/>
                <w:sz w:val="18"/>
                <w:szCs w:val="18"/>
                <w:color w:val="auto"/>
              </w:rPr>
              <w:t>54,455</w:t>
            </w: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56,351</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58,441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59,404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59,787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75,092</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72,368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71,544</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71,588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63,083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62,833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62,342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4,737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16"/>
        </w:trPr>
        <w:tc>
          <w:tcPr>
            <w:tcW w:w="7360" w:type="dxa"/>
            <w:vAlign w:val="bottom"/>
            <w:gridSpan w:val="42"/>
            <w:shd w:val="clear" w:color="auto" w:fill="CCEEFF"/>
          </w:tcPr>
          <w:p>
            <w:pPr>
              <w:jc w:val="center"/>
              <w:ind w:right="6640"/>
              <w:spacing w:after="0"/>
              <w:rPr>
                <w:sz w:val="20"/>
                <w:szCs w:val="20"/>
                <w:color w:val="auto"/>
              </w:rPr>
            </w:pPr>
            <w:r>
              <w:rPr>
                <w:rFonts w:ascii="Arial" w:cs="Arial" w:eastAsia="Arial" w:hAnsi="Arial"/>
                <w:sz w:val="18"/>
                <w:szCs w:val="18"/>
                <w:color w:val="auto"/>
                <w:w w:val="89"/>
              </w:rPr>
              <w:t>2021</w:t>
            </w:r>
          </w:p>
        </w:tc>
        <w:tc>
          <w:tcPr>
            <w:tcW w:w="880" w:type="dxa"/>
            <w:vAlign w:val="bottom"/>
            <w:tcBorders>
              <w:right w:val="single" w:sz="8" w:color="CCEEFF"/>
            </w:tcBorders>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96,425</w:t>
            </w:r>
          </w:p>
        </w:tc>
        <w:tc>
          <w:tcPr>
            <w:tcW w:w="1180" w:type="dxa"/>
            <w:vAlign w:val="bottom"/>
            <w:gridSpan w:val="7"/>
            <w:shd w:val="clear" w:color="auto" w:fill="CCEEFF"/>
          </w:tcPr>
          <w:p>
            <w:pPr>
              <w:jc w:val="right"/>
              <w:ind w:right="1090"/>
              <w:spacing w:after="0"/>
              <w:rPr>
                <w:sz w:val="20"/>
                <w:szCs w:val="20"/>
                <w:color w:val="auto"/>
              </w:rPr>
            </w:pPr>
            <w:r>
              <w:rPr>
                <w:rFonts w:ascii="Arial" w:cs="Arial" w:eastAsia="Arial" w:hAnsi="Arial"/>
                <w:sz w:val="18"/>
                <w:szCs w:val="18"/>
                <w:color w:val="auto"/>
              </w:rPr>
              <w:t>96,647</w:t>
            </w:r>
          </w:p>
        </w:tc>
        <w:tc>
          <w:tcPr>
            <w:tcW w:w="920" w:type="dxa"/>
            <w:vAlign w:val="bottom"/>
            <w:gridSpan w:val="6"/>
            <w:shd w:val="clear" w:color="auto" w:fill="CCEEFF"/>
          </w:tcPr>
          <w:p>
            <w:pPr>
              <w:jc w:val="right"/>
              <w:ind w:right="310"/>
              <w:spacing w:after="0"/>
              <w:rPr>
                <w:sz w:val="20"/>
                <w:szCs w:val="20"/>
                <w:color w:val="auto"/>
              </w:rPr>
            </w:pPr>
            <w:r>
              <w:rPr>
                <w:rFonts w:ascii="Arial" w:cs="Arial" w:eastAsia="Arial" w:hAnsi="Arial"/>
                <w:sz w:val="18"/>
                <w:szCs w:val="18"/>
                <w:color w:val="auto"/>
                <w:w w:val="90"/>
              </w:rPr>
              <w:t>12,276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16"/>
        </w:trPr>
        <w:tc>
          <w:tcPr>
            <w:tcW w:w="8340" w:type="dxa"/>
            <w:vAlign w:val="bottom"/>
            <w:gridSpan w:val="47"/>
          </w:tcPr>
          <w:p>
            <w:pPr>
              <w:jc w:val="center"/>
              <w:ind w:right="7530"/>
              <w:spacing w:after="0"/>
              <w:rPr>
                <w:sz w:val="20"/>
                <w:szCs w:val="20"/>
                <w:color w:val="auto"/>
              </w:rPr>
            </w:pPr>
            <w:r>
              <w:rPr>
                <w:rFonts w:ascii="Arial" w:cs="Arial" w:eastAsia="Arial" w:hAnsi="Arial"/>
                <w:sz w:val="18"/>
                <w:szCs w:val="18"/>
                <w:color w:val="auto"/>
                <w:w w:val="89"/>
              </w:rPr>
              <w:t>2022</w:t>
            </w:r>
          </w:p>
        </w:tc>
        <w:tc>
          <w:tcPr>
            <w:tcW w:w="1080" w:type="dxa"/>
            <w:vAlign w:val="bottom"/>
            <w:gridSpan w:val="6"/>
          </w:tcPr>
          <w:p>
            <w:pPr>
              <w:jc w:val="right"/>
              <w:ind w:right="230"/>
              <w:spacing w:after="0"/>
              <w:rPr>
                <w:sz w:val="20"/>
                <w:szCs w:val="20"/>
                <w:color w:val="auto"/>
              </w:rPr>
            </w:pPr>
            <w:r>
              <w:rPr>
                <w:rFonts w:ascii="Arial" w:cs="Arial" w:eastAsia="Arial" w:hAnsi="Arial"/>
                <w:sz w:val="18"/>
                <w:szCs w:val="18"/>
                <w:color w:val="auto"/>
              </w:rPr>
              <w:t>21,279</w:t>
            </w:r>
          </w:p>
        </w:tc>
        <w:tc>
          <w:tcPr>
            <w:tcW w:w="920" w:type="dxa"/>
            <w:vAlign w:val="bottom"/>
            <w:gridSpan w:val="6"/>
          </w:tcPr>
          <w:p>
            <w:pPr>
              <w:jc w:val="right"/>
              <w:ind w:right="310"/>
              <w:spacing w:after="0"/>
              <w:rPr>
                <w:sz w:val="20"/>
                <w:szCs w:val="20"/>
                <w:color w:val="auto"/>
              </w:rPr>
            </w:pPr>
            <w:r>
              <w:rPr>
                <w:rFonts w:ascii="Arial" w:cs="Arial" w:eastAsia="Arial" w:hAnsi="Arial"/>
                <w:sz w:val="18"/>
                <w:szCs w:val="18"/>
                <w:color w:val="auto"/>
              </w:rPr>
              <w:t>6,972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0"/>
        </w:trPr>
        <w:tc>
          <w:tcPr>
            <w:tcW w:w="8240" w:type="dxa"/>
            <w:vAlign w:val="bottom"/>
            <w:tcBorders>
              <w:right w:val="single" w:sz="8" w:color="auto"/>
            </w:tcBorders>
            <w:gridSpan w:val="46"/>
          </w:tcPr>
          <w:p>
            <w:pPr>
              <w:spacing w:after="0" w:line="20" w:lineRule="exact"/>
              <w:rPr>
                <w:sz w:val="1"/>
                <w:szCs w:val="1"/>
                <w:color w:val="auto"/>
              </w:rPr>
            </w:pPr>
          </w:p>
        </w:tc>
        <w:tc>
          <w:tcPr>
            <w:tcW w:w="3000" w:type="dxa"/>
            <w:vAlign w:val="bottom"/>
            <w:gridSpan w:val="15"/>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00" w:type="dxa"/>
            <w:vAlign w:val="bottom"/>
            <w:gridSpan w:val="45"/>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900" w:type="dxa"/>
            <w:vAlign w:val="bottom"/>
            <w:gridSpan w:val="14"/>
            <w:shd w:val="clear" w:color="auto" w:fill="CCEEFF"/>
          </w:tcPr>
          <w:p>
            <w:pPr>
              <w:jc w:val="right"/>
              <w:ind w:right="2140"/>
              <w:spacing w:after="0"/>
              <w:rPr>
                <w:sz w:val="20"/>
                <w:szCs w:val="20"/>
                <w:color w:val="auto"/>
              </w:rPr>
            </w:pPr>
            <w:r>
              <w:rPr>
                <w:rFonts w:ascii="Arial" w:cs="Arial" w:eastAsia="Arial" w:hAnsi="Arial"/>
                <w:sz w:val="18"/>
                <w:szCs w:val="18"/>
                <w:color w:val="auto"/>
              </w:rPr>
              <w:t>426,035</w:t>
            </w:r>
          </w:p>
        </w:tc>
        <w:tc>
          <w:tcPr>
            <w:tcW w:w="0" w:type="dxa"/>
            <w:vAlign w:val="bottom"/>
          </w:tcPr>
          <w:p>
            <w:pPr>
              <w:spacing w:after="0"/>
              <w:rPr>
                <w:sz w:val="1"/>
                <w:szCs w:val="1"/>
                <w:color w:val="auto"/>
              </w:rPr>
            </w:pPr>
          </w:p>
        </w:tc>
      </w:tr>
      <w:tr>
        <w:trPr>
          <w:trHeight w:val="627"/>
        </w:trPr>
        <w:tc>
          <w:tcPr>
            <w:tcW w:w="2320" w:type="dxa"/>
            <w:vAlign w:val="bottom"/>
            <w:tcBorders>
              <w:top w:val="single" w:sz="8" w:color="CCEEFF"/>
            </w:tcBorders>
            <w:gridSpan w:val="11"/>
          </w:tcPr>
          <w:p>
            <w:pPr>
              <w:spacing w:after="0"/>
              <w:rPr>
                <w:sz w:val="20"/>
                <w:szCs w:val="20"/>
                <w:color w:val="auto"/>
              </w:rPr>
            </w:pPr>
            <w:r>
              <w:rPr>
                <w:rFonts w:ascii="Arial" w:cs="Arial" w:eastAsia="Arial" w:hAnsi="Arial"/>
                <w:sz w:val="18"/>
                <w:szCs w:val="18"/>
                <w:b w:val="1"/>
                <w:bCs w:val="1"/>
                <w:color w:val="auto"/>
              </w:rPr>
              <w:t>All Lines of Business</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00" w:type="dxa"/>
            <w:vAlign w:val="bottom"/>
            <w:gridSpan w:val="7"/>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40" w:type="dxa"/>
            <w:vAlign w:val="bottom"/>
            <w:gridSpan w:val="38"/>
            <w:vMerge w:val="restart"/>
          </w:tcPr>
          <w:p>
            <w:pPr>
              <w:jc w:val="center"/>
              <w:ind w:right="240"/>
              <w:spacing w:after="0"/>
              <w:rPr>
                <w:sz w:val="20"/>
                <w:szCs w:val="20"/>
                <w:color w:val="auto"/>
              </w:rPr>
            </w:pPr>
            <w:r>
              <w:rPr>
                <w:rFonts w:ascii="Arial" w:cs="Arial" w:eastAsia="Arial" w:hAnsi="Arial"/>
                <w:sz w:val="18"/>
                <w:szCs w:val="18"/>
                <w:b w:val="1"/>
                <w:bCs w:val="1"/>
                <w:color w:val="auto"/>
                <w:w w:val="89"/>
              </w:rPr>
              <w:t>Cumulative Paid Loss and Allocated Loss Adjustment Expenses, Net of Reinsurance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740" w:type="dxa"/>
            <w:vAlign w:val="bottom"/>
            <w:tcBorders>
              <w:bottom w:val="single" w:sz="8" w:color="auto"/>
            </w:tcBorders>
            <w:gridSpan w:val="38"/>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240" w:type="dxa"/>
            <w:vAlign w:val="bottom"/>
            <w:gridSpan w:val="61"/>
          </w:tcPr>
          <w:p>
            <w:pPr>
              <w:spacing w:after="0"/>
              <w:rPr>
                <w:sz w:val="20"/>
                <w:szCs w:val="20"/>
                <w:color w:val="auto"/>
              </w:rPr>
            </w:pPr>
            <w:r>
              <w:rPr>
                <w:rFonts w:ascii="Arial" w:cs="Arial" w:eastAsia="Arial" w:hAnsi="Arial"/>
                <w:sz w:val="18"/>
                <w:szCs w:val="18"/>
                <w:b w:val="1"/>
                <w:bCs w:val="1"/>
                <w:color w:val="auto"/>
              </w:rPr>
              <w:t>Three</w:t>
            </w:r>
          </w:p>
        </w:tc>
        <w:tc>
          <w:tcPr>
            <w:tcW w:w="0" w:type="dxa"/>
            <w:vAlign w:val="bottom"/>
          </w:tcPr>
          <w:p>
            <w:pPr>
              <w:spacing w:after="0"/>
              <w:rPr>
                <w:sz w:val="1"/>
                <w:szCs w:val="1"/>
                <w:color w:val="auto"/>
              </w:rPr>
            </w:pPr>
          </w:p>
        </w:tc>
      </w:tr>
      <w:tr>
        <w:trPr>
          <w:trHeight w:val="216"/>
        </w:trPr>
        <w:tc>
          <w:tcPr>
            <w:tcW w:w="11240" w:type="dxa"/>
            <w:vAlign w:val="bottom"/>
            <w:gridSpan w:val="61"/>
          </w:tcPr>
          <w:p>
            <w:pPr>
              <w:spacing w:after="0"/>
              <w:rPr>
                <w:sz w:val="20"/>
                <w:szCs w:val="20"/>
                <w:color w:val="auto"/>
              </w:rPr>
            </w:pPr>
            <w:r>
              <w:rPr>
                <w:rFonts w:ascii="Arial" w:cs="Arial" w:eastAsia="Arial" w:hAnsi="Arial"/>
                <w:sz w:val="18"/>
                <w:szCs w:val="18"/>
                <w:b w:val="1"/>
                <w:bCs w:val="1"/>
                <w:color w:val="auto"/>
              </w:rPr>
              <w:t>Months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16"/>
            <w:vMerge w:val="restart"/>
          </w:tcPr>
          <w:p>
            <w:pPr>
              <w:jc w:val="center"/>
              <w:ind w:right="140"/>
              <w:spacing w:after="0"/>
              <w:rPr>
                <w:sz w:val="20"/>
                <w:szCs w:val="20"/>
                <w:color w:val="auto"/>
              </w:rPr>
            </w:pPr>
            <w:r>
              <w:rPr>
                <w:rFonts w:ascii="Arial" w:cs="Arial" w:eastAsia="Arial" w:hAnsi="Arial"/>
                <w:sz w:val="18"/>
                <w:szCs w:val="18"/>
                <w:b w:val="1"/>
                <w:bCs w:val="1"/>
                <w:color w:val="auto"/>
                <w:w w:val="90"/>
              </w:rPr>
              <w:t>For the Years Ended December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21"/>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16"/>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10"/>
        </w:trPr>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Accident Year</w:t>
            </w:r>
          </w:p>
        </w:tc>
        <w:tc>
          <w:tcPr>
            <w:tcW w:w="10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18"/>
                <w:szCs w:val="18"/>
                <w:color w:val="auto"/>
              </w:rPr>
            </w:pPr>
          </w:p>
        </w:tc>
        <w:tc>
          <w:tcPr>
            <w:tcW w:w="6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4"/>
              </w:rPr>
              <w:t>2013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2014</w:t>
            </w: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15"/>
          </w:tcPr>
          <w:p>
            <w:pPr>
              <w:jc w:val="center"/>
              <w:ind w:right="520"/>
              <w:spacing w:after="0"/>
              <w:rPr>
                <w:sz w:val="20"/>
                <w:szCs w:val="20"/>
                <w:color w:val="auto"/>
              </w:rPr>
            </w:pPr>
            <w:r>
              <w:rPr>
                <w:rFonts w:ascii="Arial" w:cs="Arial" w:eastAsia="Arial" w:hAnsi="Arial"/>
                <w:sz w:val="18"/>
                <w:szCs w:val="18"/>
                <w:b w:val="1"/>
                <w:bCs w:val="1"/>
                <w:color w:val="auto"/>
                <w:w w:val="92"/>
              </w:rPr>
              <w:t>(Unaudited 2013 - 2021)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40" w:type="dxa"/>
            <w:vAlign w:val="bottom"/>
            <w:gridSpan w:val="6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3"/>
            <w:shd w:val="clear" w:color="auto" w:fill="CCEEFF"/>
          </w:tcPr>
          <w:p>
            <w:pPr>
              <w:jc w:val="center"/>
              <w:ind w:left="290"/>
              <w:spacing w:after="0"/>
              <w:rPr>
                <w:sz w:val="20"/>
                <w:szCs w:val="20"/>
                <w:color w:val="auto"/>
              </w:rPr>
            </w:pPr>
            <w:r>
              <w:rPr>
                <w:rFonts w:ascii="Arial" w:cs="Arial" w:eastAsia="Arial" w:hAnsi="Arial"/>
                <w:sz w:val="18"/>
                <w:szCs w:val="18"/>
                <w:color w:val="auto"/>
                <w:w w:val="89"/>
              </w:rPr>
              <w:t>2013</w:t>
            </w: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3,405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5,303</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6,633</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7,591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8,407</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9,056</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10,016</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10,392</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10,397</w:t>
            </w:r>
          </w:p>
        </w:tc>
        <w:tc>
          <w:tcPr>
            <w:tcW w:w="0" w:type="dxa"/>
            <w:vAlign w:val="bottom"/>
          </w:tcPr>
          <w:p>
            <w:pPr>
              <w:spacing w:after="0"/>
              <w:rPr>
                <w:sz w:val="1"/>
                <w:szCs w:val="1"/>
                <w:color w:val="auto"/>
              </w:rPr>
            </w:pPr>
          </w:p>
        </w:tc>
      </w:tr>
      <w:tr>
        <w:trPr>
          <w:trHeight w:val="216"/>
        </w:trPr>
        <w:tc>
          <w:tcPr>
            <w:tcW w:w="86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2014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5,710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9,429</w:t>
            </w:r>
          </w:p>
        </w:tc>
        <w:tc>
          <w:tcPr>
            <w:tcW w:w="1060" w:type="dxa"/>
            <w:vAlign w:val="bottom"/>
            <w:gridSpan w:val="5"/>
          </w:tcPr>
          <w:p>
            <w:pPr>
              <w:jc w:val="right"/>
              <w:ind w:right="100"/>
              <w:spacing w:after="0"/>
              <w:rPr>
                <w:sz w:val="20"/>
                <w:szCs w:val="20"/>
                <w:color w:val="auto"/>
              </w:rPr>
            </w:pPr>
            <w:r>
              <w:rPr>
                <w:rFonts w:ascii="Arial" w:cs="Arial" w:eastAsia="Arial" w:hAnsi="Arial"/>
                <w:sz w:val="18"/>
                <w:szCs w:val="18"/>
                <w:color w:val="auto"/>
              </w:rPr>
              <w:t>10,738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11,770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13,819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14,901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15,491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15,770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15,833</w:t>
            </w:r>
          </w:p>
        </w:tc>
        <w:tc>
          <w:tcPr>
            <w:tcW w:w="0" w:type="dxa"/>
            <w:vAlign w:val="bottom"/>
          </w:tcPr>
          <w:p>
            <w:pPr>
              <w:spacing w:after="0"/>
              <w:rPr>
                <w:sz w:val="1"/>
                <w:szCs w:val="1"/>
                <w:color w:val="auto"/>
              </w:rPr>
            </w:pPr>
          </w:p>
        </w:tc>
      </w:tr>
      <w:tr>
        <w:trPr>
          <w:trHeight w:val="216"/>
        </w:trPr>
        <w:tc>
          <w:tcPr>
            <w:tcW w:w="860" w:type="dxa"/>
            <w:vAlign w:val="bottom"/>
            <w:gridSpan w:val="3"/>
            <w:shd w:val="clear" w:color="auto" w:fill="CCEEFF"/>
          </w:tcPr>
          <w:p>
            <w:pPr>
              <w:jc w:val="center"/>
              <w:ind w:left="290"/>
              <w:spacing w:after="0"/>
              <w:rPr>
                <w:sz w:val="20"/>
                <w:szCs w:val="20"/>
                <w:color w:val="auto"/>
              </w:rPr>
            </w:pPr>
            <w:r>
              <w:rPr>
                <w:rFonts w:ascii="Arial" w:cs="Arial" w:eastAsia="Arial" w:hAnsi="Arial"/>
                <w:sz w:val="18"/>
                <w:szCs w:val="18"/>
                <w:color w:val="auto"/>
                <w:w w:val="89"/>
              </w:rPr>
              <w:t>2015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12,295</w:t>
            </w: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16,181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18,266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19,984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21,067</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22,104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22,318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22,414</w:t>
            </w:r>
          </w:p>
        </w:tc>
        <w:tc>
          <w:tcPr>
            <w:tcW w:w="0" w:type="dxa"/>
            <w:vAlign w:val="bottom"/>
          </w:tcPr>
          <w:p>
            <w:pPr>
              <w:spacing w:after="0"/>
              <w:rPr>
                <w:sz w:val="1"/>
                <w:szCs w:val="1"/>
                <w:color w:val="auto"/>
              </w:rPr>
            </w:pPr>
          </w:p>
        </w:tc>
      </w:tr>
      <w:tr>
        <w:trPr>
          <w:trHeight w:val="216"/>
        </w:trPr>
        <w:tc>
          <w:tcPr>
            <w:tcW w:w="86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2016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5"/>
          </w:tcPr>
          <w:p>
            <w:pPr>
              <w:jc w:val="right"/>
              <w:ind w:right="100"/>
              <w:spacing w:after="0"/>
              <w:rPr>
                <w:sz w:val="20"/>
                <w:szCs w:val="20"/>
                <w:color w:val="auto"/>
              </w:rPr>
            </w:pPr>
            <w:r>
              <w:rPr>
                <w:rFonts w:ascii="Arial" w:cs="Arial" w:eastAsia="Arial" w:hAnsi="Arial"/>
                <w:sz w:val="18"/>
                <w:szCs w:val="18"/>
                <w:color w:val="auto"/>
              </w:rPr>
              <w:t>15,364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19,001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21,106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23,974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25,234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25,750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25,804</w:t>
            </w:r>
          </w:p>
        </w:tc>
        <w:tc>
          <w:tcPr>
            <w:tcW w:w="0" w:type="dxa"/>
            <w:vAlign w:val="bottom"/>
          </w:tcPr>
          <w:p>
            <w:pPr>
              <w:spacing w:after="0"/>
              <w:rPr>
                <w:sz w:val="1"/>
                <w:szCs w:val="1"/>
                <w:color w:val="auto"/>
              </w:rPr>
            </w:pPr>
          </w:p>
        </w:tc>
      </w:tr>
      <w:tr>
        <w:trPr>
          <w:trHeight w:val="216"/>
        </w:trPr>
        <w:tc>
          <w:tcPr>
            <w:tcW w:w="860" w:type="dxa"/>
            <w:vAlign w:val="bottom"/>
            <w:gridSpan w:val="3"/>
            <w:shd w:val="clear" w:color="auto" w:fill="CCEEFF"/>
          </w:tcPr>
          <w:p>
            <w:pPr>
              <w:jc w:val="center"/>
              <w:ind w:left="290"/>
              <w:spacing w:after="0"/>
              <w:rPr>
                <w:sz w:val="20"/>
                <w:szCs w:val="20"/>
                <w:color w:val="auto"/>
              </w:rPr>
            </w:pPr>
            <w:r>
              <w:rPr>
                <w:rFonts w:ascii="Arial" w:cs="Arial" w:eastAsia="Arial" w:hAnsi="Arial"/>
                <w:sz w:val="18"/>
                <w:szCs w:val="18"/>
                <w:color w:val="auto"/>
                <w:w w:val="89"/>
              </w:rPr>
              <w:t>2017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16,704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24,820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28,693</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31,393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32,529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32,590</w:t>
            </w:r>
          </w:p>
        </w:tc>
        <w:tc>
          <w:tcPr>
            <w:tcW w:w="0" w:type="dxa"/>
            <w:vAlign w:val="bottom"/>
          </w:tcPr>
          <w:p>
            <w:pPr>
              <w:spacing w:after="0"/>
              <w:rPr>
                <w:sz w:val="1"/>
                <w:szCs w:val="1"/>
                <w:color w:val="auto"/>
              </w:rPr>
            </w:pPr>
          </w:p>
        </w:tc>
      </w:tr>
      <w:tr>
        <w:trPr>
          <w:trHeight w:val="216"/>
        </w:trPr>
        <w:tc>
          <w:tcPr>
            <w:tcW w:w="86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2018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32,383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44,516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50,553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52,025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52,250</w:t>
            </w:r>
          </w:p>
        </w:tc>
        <w:tc>
          <w:tcPr>
            <w:tcW w:w="0" w:type="dxa"/>
            <w:vAlign w:val="bottom"/>
          </w:tcPr>
          <w:p>
            <w:pPr>
              <w:spacing w:after="0"/>
              <w:rPr>
                <w:sz w:val="1"/>
                <w:szCs w:val="1"/>
                <w:color w:val="auto"/>
              </w:rPr>
            </w:pPr>
          </w:p>
        </w:tc>
      </w:tr>
      <w:tr>
        <w:trPr>
          <w:trHeight w:val="216"/>
        </w:trPr>
        <w:tc>
          <w:tcPr>
            <w:tcW w:w="860" w:type="dxa"/>
            <w:vAlign w:val="bottom"/>
            <w:gridSpan w:val="3"/>
            <w:shd w:val="clear" w:color="auto" w:fill="CCEEFF"/>
          </w:tcPr>
          <w:p>
            <w:pPr>
              <w:jc w:val="center"/>
              <w:ind w:left="290"/>
              <w:spacing w:after="0"/>
              <w:rPr>
                <w:sz w:val="20"/>
                <w:szCs w:val="20"/>
                <w:color w:val="auto"/>
              </w:rPr>
            </w:pPr>
            <w:r>
              <w:rPr>
                <w:rFonts w:ascii="Arial" w:cs="Arial" w:eastAsia="Arial" w:hAnsi="Arial"/>
                <w:sz w:val="18"/>
                <w:szCs w:val="18"/>
                <w:color w:val="auto"/>
                <w:w w:val="89"/>
              </w:rPr>
              <w:t>2019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40,933</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54,897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58,055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58,916</w:t>
            </w:r>
          </w:p>
        </w:tc>
        <w:tc>
          <w:tcPr>
            <w:tcW w:w="0" w:type="dxa"/>
            <w:vAlign w:val="bottom"/>
          </w:tcPr>
          <w:p>
            <w:pPr>
              <w:spacing w:after="0"/>
              <w:rPr>
                <w:sz w:val="1"/>
                <w:szCs w:val="1"/>
                <w:color w:val="auto"/>
              </w:rPr>
            </w:pPr>
          </w:p>
        </w:tc>
      </w:tr>
      <w:tr>
        <w:trPr>
          <w:trHeight w:val="216"/>
        </w:trPr>
        <w:tc>
          <w:tcPr>
            <w:tcW w:w="86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2020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39,045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50,719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51,670</w:t>
            </w:r>
          </w:p>
        </w:tc>
        <w:tc>
          <w:tcPr>
            <w:tcW w:w="0" w:type="dxa"/>
            <w:vAlign w:val="bottom"/>
          </w:tcPr>
          <w:p>
            <w:pPr>
              <w:spacing w:after="0"/>
              <w:rPr>
                <w:sz w:val="1"/>
                <w:szCs w:val="1"/>
                <w:color w:val="auto"/>
              </w:rPr>
            </w:pPr>
          </w:p>
        </w:tc>
      </w:tr>
      <w:tr>
        <w:trPr>
          <w:trHeight w:val="216"/>
        </w:trPr>
        <w:tc>
          <w:tcPr>
            <w:tcW w:w="8240" w:type="dxa"/>
            <w:vAlign w:val="bottom"/>
            <w:tcBorders>
              <w:right w:val="single" w:sz="8" w:color="CCEEFF"/>
            </w:tcBorders>
            <w:gridSpan w:val="46"/>
            <w:shd w:val="clear" w:color="auto" w:fill="CCEEFF"/>
          </w:tcPr>
          <w:p>
            <w:pPr>
              <w:jc w:val="center"/>
              <w:ind w:right="6910"/>
              <w:spacing w:after="0"/>
              <w:rPr>
                <w:sz w:val="20"/>
                <w:szCs w:val="20"/>
                <w:color w:val="auto"/>
              </w:rPr>
            </w:pPr>
            <w:r>
              <w:rPr>
                <w:rFonts w:ascii="Arial" w:cs="Arial" w:eastAsia="Arial" w:hAnsi="Arial"/>
                <w:sz w:val="18"/>
                <w:szCs w:val="18"/>
                <w:color w:val="auto"/>
                <w:w w:val="89"/>
              </w:rPr>
              <w:t>2021</w:t>
            </w:r>
          </w:p>
        </w:tc>
        <w:tc>
          <w:tcPr>
            <w:tcW w:w="2100" w:type="dxa"/>
            <w:vAlign w:val="bottom"/>
            <w:gridSpan w:val="13"/>
            <w:shd w:val="clear" w:color="auto" w:fill="CCEEFF"/>
          </w:tcPr>
          <w:p>
            <w:pPr>
              <w:jc w:val="right"/>
              <w:ind w:right="2010"/>
              <w:spacing w:after="0"/>
              <w:rPr>
                <w:sz w:val="20"/>
                <w:szCs w:val="20"/>
                <w:color w:val="auto"/>
              </w:rPr>
            </w:pPr>
            <w:r>
              <w:rPr>
                <w:rFonts w:ascii="Arial" w:cs="Arial" w:eastAsia="Arial" w:hAnsi="Arial"/>
                <w:sz w:val="18"/>
                <w:szCs w:val="18"/>
                <w:color w:val="auto"/>
              </w:rPr>
              <w:t>56,282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68,352</w:t>
            </w:r>
          </w:p>
        </w:tc>
        <w:tc>
          <w:tcPr>
            <w:tcW w:w="0" w:type="dxa"/>
            <w:vAlign w:val="bottom"/>
          </w:tcPr>
          <w:p>
            <w:pPr>
              <w:spacing w:after="0"/>
              <w:rPr>
                <w:sz w:val="1"/>
                <w:szCs w:val="1"/>
                <w:color w:val="auto"/>
              </w:rPr>
            </w:pPr>
          </w:p>
        </w:tc>
      </w:tr>
      <w:tr>
        <w:trPr>
          <w:trHeight w:val="216"/>
        </w:trPr>
        <w:tc>
          <w:tcPr>
            <w:tcW w:w="10220" w:type="dxa"/>
            <w:vAlign w:val="bottom"/>
            <w:gridSpan w:val="58"/>
          </w:tcPr>
          <w:p>
            <w:pPr>
              <w:jc w:val="center"/>
              <w:ind w:right="8890"/>
              <w:spacing w:after="0"/>
              <w:rPr>
                <w:sz w:val="20"/>
                <w:szCs w:val="20"/>
                <w:color w:val="auto"/>
              </w:rPr>
            </w:pPr>
            <w:r>
              <w:rPr>
                <w:rFonts w:ascii="Arial" w:cs="Arial" w:eastAsia="Arial" w:hAnsi="Arial"/>
                <w:sz w:val="18"/>
                <w:szCs w:val="18"/>
                <w:color w:val="auto"/>
                <w:w w:val="89"/>
              </w:rPr>
              <w:t>2022</w:t>
            </w:r>
          </w:p>
        </w:tc>
        <w:tc>
          <w:tcPr>
            <w:tcW w:w="92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8"/>
                <w:szCs w:val="18"/>
                <w:color w:val="auto"/>
              </w:rPr>
              <w:t>8,233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40" w:type="dxa"/>
            <w:vAlign w:val="bottom"/>
            <w:tcBorders>
              <w:right w:val="single" w:sz="8" w:color="CCEEFF"/>
            </w:tcBorders>
            <w:gridSpan w:val="46"/>
            <w:shd w:val="clear" w:color="auto" w:fill="CCEEFF"/>
          </w:tcPr>
          <w:p>
            <w:pPr>
              <w:spacing w:after="0"/>
              <w:rPr>
                <w:sz w:val="18"/>
                <w:szCs w:val="18"/>
                <w:color w:val="auto"/>
              </w:rPr>
            </w:pPr>
          </w:p>
        </w:tc>
        <w:tc>
          <w:tcPr>
            <w:tcW w:w="1780" w:type="dxa"/>
            <w:vAlign w:val="bottom"/>
            <w:gridSpan w:val="10"/>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346,460</w:t>
            </w:r>
          </w:p>
        </w:tc>
        <w:tc>
          <w:tcPr>
            <w:tcW w:w="0" w:type="dxa"/>
            <w:vAlign w:val="bottom"/>
          </w:tcPr>
          <w:p>
            <w:pPr>
              <w:spacing w:after="0"/>
              <w:rPr>
                <w:sz w:val="1"/>
                <w:szCs w:val="1"/>
                <w:color w:val="auto"/>
              </w:rPr>
            </w:pPr>
          </w:p>
        </w:tc>
      </w:tr>
      <w:tr>
        <w:trPr>
          <w:trHeight w:val="209"/>
        </w:trPr>
        <w:tc>
          <w:tcPr>
            <w:tcW w:w="7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gridSpan w:val="3"/>
          </w:tcPr>
          <w:p>
            <w:pPr>
              <w:spacing w:after="0"/>
              <w:rPr>
                <w:sz w:val="18"/>
                <w:szCs w:val="18"/>
                <w:color w:val="auto"/>
              </w:rPr>
            </w:pPr>
          </w:p>
        </w:tc>
        <w:tc>
          <w:tcPr>
            <w:tcW w:w="760" w:type="dxa"/>
            <w:vAlign w:val="bottom"/>
            <w:tcBorders>
              <w:top w:val="single" w:sz="8" w:color="CCEEFF"/>
            </w:tcBorders>
            <w:gridSpan w:val="4"/>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780" w:type="dxa"/>
            <w:vAlign w:val="bottom"/>
            <w:tcBorders>
              <w:top w:val="single" w:sz="8" w:color="CCEEFF"/>
            </w:tcBorders>
            <w:gridSpan w:val="3"/>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780" w:type="dxa"/>
            <w:vAlign w:val="bottom"/>
            <w:tcBorders>
              <w:top w:val="single" w:sz="8" w:color="CCEEFF"/>
            </w:tcBorders>
            <w:gridSpan w:val="4"/>
          </w:tcPr>
          <w:p>
            <w:pPr>
              <w:spacing w:after="0"/>
              <w:rPr>
                <w:sz w:val="18"/>
                <w:szCs w:val="18"/>
                <w:color w:val="auto"/>
              </w:rPr>
            </w:pPr>
          </w:p>
        </w:tc>
        <w:tc>
          <w:tcPr>
            <w:tcW w:w="980" w:type="dxa"/>
            <w:vAlign w:val="bottom"/>
            <w:tcBorders>
              <w:top w:val="single" w:sz="8" w:color="CCEEFF"/>
            </w:tcBorders>
            <w:gridSpan w:val="5"/>
          </w:tcPr>
          <w:p>
            <w:pPr>
              <w:spacing w:after="0"/>
              <w:rPr>
                <w:sz w:val="18"/>
                <w:szCs w:val="18"/>
                <w:color w:val="auto"/>
              </w:rPr>
            </w:pPr>
          </w:p>
        </w:tc>
        <w:tc>
          <w:tcPr>
            <w:tcW w:w="220" w:type="dxa"/>
            <w:vAlign w:val="bottom"/>
            <w:tcBorders>
              <w:top w:val="single" w:sz="8" w:color="CCEEFF"/>
            </w:tcBorders>
            <w:gridSpan w:val="3"/>
          </w:tcPr>
          <w:p>
            <w:pPr>
              <w:spacing w:after="0"/>
              <w:rPr>
                <w:sz w:val="18"/>
                <w:szCs w:val="18"/>
                <w:color w:val="auto"/>
              </w:rPr>
            </w:pPr>
          </w:p>
        </w:tc>
        <w:tc>
          <w:tcPr>
            <w:tcW w:w="760" w:type="dxa"/>
            <w:vAlign w:val="bottom"/>
            <w:tcBorders>
              <w:top w:val="single" w:sz="8" w:color="CCEEFF"/>
            </w:tcBorders>
            <w:gridSpan w:val="3"/>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78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gridSpan w:val="3"/>
          </w:tcPr>
          <w:p>
            <w:pPr>
              <w:spacing w:after="0"/>
              <w:rPr>
                <w:sz w:val="18"/>
                <w:szCs w:val="18"/>
                <w:color w:val="auto"/>
              </w:rPr>
            </w:pPr>
          </w:p>
        </w:tc>
        <w:tc>
          <w:tcPr>
            <w:tcW w:w="780" w:type="dxa"/>
            <w:vAlign w:val="bottom"/>
            <w:tcBorders>
              <w:top w:val="single" w:sz="8" w:color="CCEEFF"/>
            </w:tcBorders>
            <w:gridSpan w:val="4"/>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500" w:type="dxa"/>
            <w:vAlign w:val="bottom"/>
            <w:gridSpan w:val="43"/>
            <w:shd w:val="clear" w:color="auto" w:fill="CCEEFF"/>
          </w:tcPr>
          <w:p>
            <w:pPr>
              <w:jc w:val="right"/>
              <w:ind w:right="20"/>
              <w:spacing w:after="0"/>
              <w:rPr>
                <w:sz w:val="20"/>
                <w:szCs w:val="20"/>
                <w:color w:val="auto"/>
              </w:rPr>
            </w:pPr>
            <w:r>
              <w:rPr>
                <w:rFonts w:ascii="Arial" w:cs="Arial" w:eastAsia="Arial" w:hAnsi="Arial"/>
                <w:sz w:val="18"/>
                <w:szCs w:val="18"/>
                <w:color w:val="auto"/>
                <w:w w:val="93"/>
              </w:rPr>
              <w:t>Net liability for unpaid loss and allocated loss adjustment expenses for the accident years presented</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79,574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20" w:type="dxa"/>
            <w:vAlign w:val="bottom"/>
            <w:gridSpan w:val="24"/>
          </w:tcPr>
          <w:p>
            <w:pPr>
              <w:jc w:val="right"/>
              <w:ind w:right="20"/>
              <w:spacing w:after="0"/>
              <w:rPr>
                <w:sz w:val="20"/>
                <w:szCs w:val="20"/>
                <w:color w:val="auto"/>
              </w:rPr>
            </w:pPr>
            <w:r>
              <w:rPr>
                <w:rFonts w:ascii="Arial" w:cs="Arial" w:eastAsia="Arial" w:hAnsi="Arial"/>
                <w:sz w:val="18"/>
                <w:szCs w:val="18"/>
                <w:color w:val="auto"/>
                <w:w w:val="95"/>
              </w:rPr>
              <w:t>All outstanding liabilities before 2013, net of reinsurance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720" w:type="dxa"/>
            <w:vAlign w:val="bottom"/>
            <w:gridSpan w:val="32"/>
            <w:shd w:val="clear" w:color="auto" w:fill="CCEEFF"/>
          </w:tcPr>
          <w:p>
            <w:pPr>
              <w:jc w:val="right"/>
              <w:ind w:right="20"/>
              <w:spacing w:after="0"/>
              <w:rPr>
                <w:sz w:val="20"/>
                <w:szCs w:val="20"/>
                <w:color w:val="auto"/>
              </w:rPr>
            </w:pPr>
            <w:r>
              <w:rPr>
                <w:rFonts w:ascii="Arial" w:cs="Arial" w:eastAsia="Arial" w:hAnsi="Arial"/>
                <w:sz w:val="18"/>
                <w:szCs w:val="18"/>
                <w:color w:val="auto"/>
                <w:w w:val="92"/>
              </w:rPr>
              <w:t>Liabilities for loss and allocated loss adjustment expenses, net of reinsurance</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79,870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right w:val="single" w:sz="8" w:color="CCEEFF"/>
            </w:tcBorders>
            <w:gridSpan w:val="46"/>
            <w:shd w:val="clear" w:color="auto" w:fill="CCEEFF"/>
          </w:tcPr>
          <w:p>
            <w:pPr>
              <w:spacing w:after="0" w:line="20" w:lineRule="exact"/>
              <w:rPr>
                <w:sz w:val="1"/>
                <w:szCs w:val="1"/>
                <w:color w:val="auto"/>
              </w:rPr>
            </w:pPr>
          </w:p>
        </w:tc>
        <w:tc>
          <w:tcPr>
            <w:tcW w:w="1980" w:type="dxa"/>
            <w:vAlign w:val="bottom"/>
            <w:tcBorders>
              <w:top w:val="single" w:sz="8" w:color="CCEEFF"/>
            </w:tcBorders>
            <w:gridSpan w:val="12"/>
            <w:shd w:val="clear" w:color="auto" w:fill="CCEEFF"/>
          </w:tcPr>
          <w:p>
            <w:pPr>
              <w:spacing w:after="0" w:line="20" w:lineRule="exact"/>
              <w:rPr>
                <w:sz w:val="1"/>
                <w:szCs w:val="1"/>
                <w:color w:val="auto"/>
              </w:rPr>
            </w:pPr>
          </w:p>
        </w:tc>
        <w:tc>
          <w:tcPr>
            <w:tcW w:w="92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(Components may not sum to totals due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rounding)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the net incurred and paid loss development tables to the loss and LAE reserves in the consolidated balance sheet is 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the Disclosure of Incurred and Paid Loss Development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Liability for Loss and LAE Reserves</w:t>
      </w:r>
    </w:p>
    <w:p>
      <w:pPr>
        <w:spacing w:after="0" w:line="19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As of</w:t>
            </w:r>
          </w:p>
        </w:tc>
      </w:tr>
      <w:tr>
        <w:trPr>
          <w:trHeight w:val="234"/>
        </w:trPr>
        <w:tc>
          <w:tcPr>
            <w:tcW w:w="82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March 31, 2022</w:t>
            </w:r>
          </w:p>
        </w:tc>
      </w:tr>
      <w:tr>
        <w:trPr>
          <w:trHeight w:val="209"/>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Liabilities for allocated loss and loss adjustment expenses, net of reinsurance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79,870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Total reinsurance recoverable on unpaid losses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loss adjustment expenses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Total gross liability for loss and LAE reserves</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98,917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Effective December 31, 2021, the Company entered into a quota share reinsurance treaty for its personal lines business, which primarily consists of homeowners’ and dwelling fire policies, covering the period from December 31, 2021 through January 1, 2023 (“2021/2023 Treaty”).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entered into new excess of loss and catastrophe reinsurance treaties effective July 1, 2021. Effective October 18, 2021, the Company entered into a stub catastrophe reinsurance treaty covering the period from October 18, 2021 through December 31, 2021. The treaty provided reinsurance coverage for catastrophe losses of $5,000,000 in excess of $5,000,000. Effective January 1, 2022, the Company entered into an underlying excess of loss reinsurance treaty covering the period from January 1, 2022 through January 1, 2023. The treaty provides 50% reinsurance coverage for losses of $400,000 in excess of $600,000. Losses from named storms are excluded from the treaty. Material terms for reinsurance treaties in effect for the treaty years shown below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8"/>
                <w:szCs w:val="18"/>
                <w:b w:val="1"/>
                <w:bCs w:val="1"/>
                <w:color w:val="auto"/>
              </w:rPr>
              <w:t>Treaty Year</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ind w:left="420"/>
              <w:spacing w:after="0"/>
              <w:rPr>
                <w:sz w:val="20"/>
                <w:szCs w:val="20"/>
                <w:color w:val="auto"/>
              </w:rPr>
            </w:pPr>
            <w:r>
              <w:rPr>
                <w:rFonts w:ascii="Arial" w:cs="Arial" w:eastAsia="Arial" w:hAnsi="Arial"/>
                <w:sz w:val="18"/>
                <w:szCs w:val="18"/>
                <w:b w:val="1"/>
                <w:bCs w:val="1"/>
                <w:color w:val="auto"/>
              </w:rPr>
              <w:t>(2021/2023 Treaty)</w:t>
            </w:r>
          </w:p>
        </w:tc>
        <w:tc>
          <w:tcPr>
            <w:tcW w:w="100" w:type="dxa"/>
            <w:vAlign w:val="bottom"/>
          </w:tcPr>
          <w:p>
            <w:pPr>
              <w:spacing w:after="0"/>
              <w:rPr>
                <w:sz w:val="18"/>
                <w:szCs w:val="18"/>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2"/>
              </w:rPr>
              <w:t>July 1,</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2"/>
              </w:rPr>
              <w:t>July 1,</w:t>
            </w:r>
          </w:p>
        </w:tc>
        <w:tc>
          <w:tcPr>
            <w:tcW w:w="11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January 1,</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30,</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5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5840" w:type="dxa"/>
            <w:vAlign w:val="bottom"/>
            <w:gridSpan w:val="3"/>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gridSpan w:val="3"/>
          </w:tcPr>
          <w:p>
            <w:pPr>
              <w:spacing w:after="0"/>
              <w:rPr>
                <w:sz w:val="20"/>
                <w:szCs w:val="20"/>
                <w:color w:val="auto"/>
              </w:rPr>
            </w:pPr>
            <w:r>
              <w:rPr>
                <w:rFonts w:ascii="Arial" w:cs="Arial" w:eastAsia="Arial" w:hAnsi="Arial"/>
                <w:sz w:val="18"/>
                <w:szCs w:val="18"/>
                <w:color w:val="auto"/>
              </w:rPr>
              <w:t>Homeowners, dwelling fire and and canine legal liability</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3"/>
          </w:tcPr>
          <w:p>
            <w:pPr>
              <w:ind w:left="2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Percent ceded (9)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 (5)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None (5)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Risk retained on intial $1,000,000 of losses (5) (7) (9)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5840" w:type="dxa"/>
            <w:vAlign w:val="bottom"/>
            <w:gridSpan w:val="3"/>
          </w:tcPr>
          <w:p>
            <w:pPr>
              <w:ind w:left="2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None (5)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None (5)</w:t>
            </w:r>
          </w:p>
        </w:tc>
        <w:tc>
          <w:tcPr>
            <w:tcW w:w="0" w:type="dxa"/>
            <w:vAlign w:val="bottom"/>
          </w:tcPr>
          <w:p>
            <w:pPr>
              <w:spacing w:after="0"/>
              <w:rPr>
                <w:sz w:val="1"/>
                <w:szCs w:val="1"/>
                <w:color w:val="auto"/>
              </w:rPr>
            </w:pPr>
          </w:p>
        </w:tc>
      </w:tr>
      <w:tr>
        <w:trPr>
          <w:trHeight w:val="202"/>
        </w:trPr>
        <w:tc>
          <w:tcPr>
            <w:tcW w:w="5840" w:type="dxa"/>
            <w:vAlign w:val="bottom"/>
            <w:gridSpan w:val="3"/>
            <w:shd w:val="clear" w:color="auto" w:fill="CCEEFF"/>
          </w:tcPr>
          <w:p>
            <w:pPr>
              <w:ind w:left="620"/>
              <w:spacing w:after="0" w:line="201" w:lineRule="exact"/>
              <w:rPr>
                <w:sz w:val="20"/>
                <w:szCs w:val="20"/>
                <w:color w:val="auto"/>
              </w:rPr>
            </w:pPr>
            <w:r>
              <w:rPr>
                <w:rFonts w:ascii="Arial" w:cs="Arial" w:eastAsia="Arial" w:hAnsi="Arial"/>
                <w:sz w:val="18"/>
                <w:szCs w:val="18"/>
                <w:color w:val="auto"/>
              </w:rPr>
              <w:t>Expiration date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January 1,</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January 1,</w:t>
            </w:r>
          </w:p>
        </w:tc>
        <w:tc>
          <w:tcPr>
            <w:tcW w:w="10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NA (5</w:t>
            </w:r>
            <w:r>
              <w:rPr>
                <w:rFonts w:ascii="Arial" w:cs="Arial" w:eastAsia="Arial" w:hAnsi="Arial"/>
                <w:sz w:val="35"/>
                <w:szCs w:val="35"/>
                <w:color w:val="auto"/>
                <w:vertAlign w:val="subscript"/>
              </w:rPr>
              <w:t>)</w:t>
            </w: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NA (5</w:t>
            </w:r>
            <w:r>
              <w:rPr>
                <w:rFonts w:ascii="Arial" w:cs="Arial" w:eastAsia="Arial" w:hAnsi="Arial"/>
                <w:sz w:val="35"/>
                <w:szCs w:val="35"/>
                <w:color w:val="auto"/>
                <w:vertAlign w:val="subscript"/>
              </w:rPr>
              <w:t>)</w:t>
            </w: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4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Excess of loss coverage and facultative facility coverage (1) (7)</w:t>
            </w:r>
          </w:p>
        </w:tc>
        <w:tc>
          <w:tcPr>
            <w:tcW w:w="2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400,000</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8,400,000</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in excess of</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in excess of</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in excess of</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reinsurance coverage per occurrence (5) (7) (8)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216"/>
        </w:trPr>
        <w:tc>
          <w:tcPr>
            <w:tcW w:w="5840" w:type="dxa"/>
            <w:vAlign w:val="bottom"/>
            <w:gridSpan w:val="3"/>
          </w:tcPr>
          <w:p>
            <w:pPr>
              <w:ind w:left="220"/>
              <w:spacing w:after="0"/>
              <w:rPr>
                <w:sz w:val="20"/>
                <w:szCs w:val="20"/>
                <w:color w:val="auto"/>
              </w:rPr>
            </w:pPr>
            <w:r>
              <w:rPr>
                <w:rFonts w:ascii="Arial" w:cs="Arial" w:eastAsia="Arial" w:hAnsi="Arial"/>
                <w:sz w:val="18"/>
                <w:szCs w:val="18"/>
                <w:color w:val="auto"/>
              </w:rPr>
              <w:t>Losses per occurrence subject to reinsurance coverage (5) (8)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Expiration date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June 30, 2022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June 30, 2022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June 30, 2021</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Catastrophe Reinsurance:</w:t>
            </w:r>
          </w:p>
        </w:tc>
        <w:tc>
          <w:tcPr>
            <w:tcW w:w="3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3"/>
          </w:tcPr>
          <w:p>
            <w:pPr>
              <w:ind w:left="220"/>
              <w:spacing w:after="0"/>
              <w:rPr>
                <w:sz w:val="20"/>
                <w:szCs w:val="20"/>
                <w:color w:val="auto"/>
              </w:rPr>
            </w:pPr>
            <w:r>
              <w:rPr>
                <w:rFonts w:ascii="Arial" w:cs="Arial" w:eastAsia="Arial" w:hAnsi="Arial"/>
                <w:sz w:val="18"/>
                <w:szCs w:val="18"/>
                <w:color w:val="auto"/>
              </w:rPr>
              <w:t>Initial loss subject to personal lines quota share treaty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None (5)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None (5)</w:t>
            </w: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Risk retained per catastrophe occurrence (5) (9) (10)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None (8)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5840" w:type="dxa"/>
            <w:vAlign w:val="bottom"/>
            <w:gridSpan w:val="3"/>
          </w:tcPr>
          <w:p>
            <w:pPr>
              <w:ind w:left="220"/>
              <w:spacing w:after="0"/>
              <w:rPr>
                <w:sz w:val="20"/>
                <w:szCs w:val="20"/>
                <w:color w:val="auto"/>
              </w:rPr>
            </w:pPr>
            <w:r>
              <w:rPr>
                <w:rFonts w:ascii="Arial" w:cs="Arial" w:eastAsia="Arial" w:hAnsi="Arial"/>
                <w:sz w:val="18"/>
                <w:szCs w:val="18"/>
                <w:color w:val="auto"/>
              </w:rPr>
              <w:t>Catastrophe loss coverage in excess of quota share coverage (2) (5)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20"/>
              <w:spacing w:after="0"/>
              <w:rPr>
                <w:sz w:val="20"/>
                <w:szCs w:val="20"/>
                <w:color w:val="auto"/>
              </w:rPr>
            </w:pPr>
            <w:r>
              <w:rPr>
                <w:rFonts w:ascii="Arial" w:cs="Arial" w:eastAsia="Arial" w:hAnsi="Arial"/>
                <w:sz w:val="18"/>
                <w:szCs w:val="18"/>
                <w:color w:val="auto"/>
              </w:rPr>
              <w:t>None (8)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490,000,000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490,000,000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475,000,000</w:t>
            </w:r>
          </w:p>
        </w:tc>
        <w:tc>
          <w:tcPr>
            <w:tcW w:w="0" w:type="dxa"/>
            <w:vAlign w:val="bottom"/>
          </w:tcPr>
          <w:p>
            <w:pPr>
              <w:spacing w:after="0"/>
              <w:rPr>
                <w:sz w:val="1"/>
                <w:szCs w:val="1"/>
                <w:color w:val="auto"/>
              </w:rPr>
            </w:pPr>
          </w:p>
        </w:tc>
      </w:tr>
      <w:tr>
        <w:trPr>
          <w:trHeight w:val="202"/>
        </w:trPr>
        <w:tc>
          <w:tcPr>
            <w:tcW w:w="584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Catastrophe stub coverage for the period from October 18, 2021 through</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5840" w:type="dxa"/>
            <w:vAlign w:val="bottom"/>
            <w:gridSpan w:val="3"/>
            <w:vMerge w:val="restart"/>
            <w:shd w:val="clear" w:color="auto" w:fill="CCEEFF"/>
          </w:tcPr>
          <w:p>
            <w:pPr>
              <w:ind w:left="220"/>
              <w:spacing w:after="0"/>
              <w:rPr>
                <w:sz w:val="20"/>
                <w:szCs w:val="20"/>
                <w:color w:val="auto"/>
              </w:rPr>
            </w:pPr>
            <w:r>
              <w:rPr>
                <w:rFonts w:ascii="Arial" w:cs="Arial" w:eastAsia="Arial" w:hAnsi="Arial"/>
                <w:sz w:val="18"/>
                <w:szCs w:val="18"/>
                <w:color w:val="auto"/>
              </w:rPr>
              <w:t>December 31, 2021 (6)</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40" w:type="dxa"/>
            <w:vAlign w:val="bottom"/>
            <w:gridSpan w:val="3"/>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in excess of</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3"/>
          </w:tcPr>
          <w:p>
            <w:pPr>
              <w:ind w:left="220"/>
              <w:spacing w:after="0"/>
              <w:rPr>
                <w:sz w:val="20"/>
                <w:szCs w:val="20"/>
                <w:color w:val="auto"/>
              </w:rPr>
            </w:pPr>
            <w:r>
              <w:rPr>
                <w:rFonts w:ascii="Arial" w:cs="Arial" w:eastAsia="Arial" w:hAnsi="Arial"/>
                <w:sz w:val="18"/>
                <w:szCs w:val="18"/>
                <w:color w:val="auto"/>
              </w:rPr>
              <w:t>Reinstatement premium protection (3) (4) (8)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0" w:gutter="0" w:footer="0" w:header="0"/>
        </w:sectPr>
      </w:pPr>
    </w:p>
    <w:bookmarkStart w:id="16" w:name="page17"/>
    <w:bookmarkEnd w:id="16"/>
    <w:p>
      <w:pPr>
        <w:ind w:left="900" w:right="20" w:hanging="447"/>
        <w:spacing w:after="0" w:line="274"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personal lines, includes the addition of an automatic facultative facility allowing KICO to obtain homeowners single risk coverage up to $9,000,000 in total insured value, which covers direct losses from $3,500,000 to $9,000,000 through June 30, 2022.</w:t>
      </w:r>
    </w:p>
    <w:p>
      <w:pPr>
        <w:ind w:left="900" w:hanging="447"/>
        <w:spacing w:after="0" w:line="26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900" w:right="20" w:hanging="447"/>
        <w:spacing w:after="0" w:line="25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period July 1, 2020 through June 30, 2021, reinstatement premium protection for $70,000,000 of catastrophe coverage in excess of $10,000,000.</w:t>
      </w:r>
    </w:p>
    <w:p>
      <w:pPr>
        <w:spacing w:after="0" w:line="1" w:lineRule="exact"/>
        <w:rPr>
          <w:rFonts w:ascii="Arial" w:cs="Arial" w:eastAsia="Arial" w:hAnsi="Arial"/>
          <w:sz w:val="18"/>
          <w:szCs w:val="18"/>
          <w:color w:val="auto"/>
        </w:rPr>
      </w:pPr>
    </w:p>
    <w:p>
      <w:pPr>
        <w:ind w:left="900" w:right="20" w:hanging="447"/>
        <w:spacing w:after="0" w:line="25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period July 1, 2021 through June 30, 2022, reinstatement premium protection for $70,000,000 of catastrophe coverage in excess of $10,000,000.</w:t>
      </w:r>
    </w:p>
    <w:p>
      <w:pPr>
        <w:ind w:left="900" w:right="20" w:hanging="447"/>
        <w:spacing w:after="0" w:line="25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personal lines quota share (homeowners, dwelling fire and canine legal liability) expired on December 30, 2020; reinsurance coverage from December 31, 2020 through December 30, 2021 is only for excess of loss and catastrophe reinsurance.</w:t>
      </w: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freeze and freeze related claims.</w:t>
      </w:r>
    </w:p>
    <w:p>
      <w:pPr>
        <w:spacing w:after="0" w:line="9" w:lineRule="exact"/>
        <w:rPr>
          <w:rFonts w:ascii="Arial" w:cs="Arial" w:eastAsia="Arial" w:hAnsi="Arial"/>
          <w:sz w:val="18"/>
          <w:szCs w:val="18"/>
          <w:color w:val="auto"/>
        </w:rPr>
      </w:pPr>
    </w:p>
    <w:p>
      <w:pPr>
        <w:jc w:val="both"/>
        <w:ind w:left="900" w:hanging="447"/>
        <w:spacing w:after="0" w:line="25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period January 1, 2022 through January 1, 2023, underlying excess of loss treaty provides 50% reinsurance coverage for losses of $400,000 in excess of $600,000. Reduces retention to $500,000 from $700,000 under the 2021/2023 Treaty. Excludes losses from named storms.</w:t>
      </w:r>
    </w:p>
    <w:p>
      <w:pPr>
        <w:spacing w:after="0" w:line="1" w:lineRule="exact"/>
        <w:rPr>
          <w:rFonts w:ascii="Arial" w:cs="Arial" w:eastAsia="Arial" w:hAnsi="Arial"/>
          <w:sz w:val="18"/>
          <w:szCs w:val="18"/>
          <w:color w:val="auto"/>
        </w:rPr>
      </w:pPr>
    </w:p>
    <w:p>
      <w:pPr>
        <w:jc w:val="both"/>
        <w:ind w:left="900" w:hanging="447"/>
        <w:spacing w:after="0" w:line="25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Excess of loss and catastrophe reinsurance treaties will expire on June 30, 2022; reinsurance coverage in effect from July 1, 2022 through January 1, 2023 is only for personal lines quota share (homeowners, dwelling fire and canine legal liability) and underlying excess of loss reinsurance.</w:t>
      </w:r>
    </w:p>
    <w:p>
      <w:pPr>
        <w:spacing w:after="0" w:line="1"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2021/2023 Treaty, 4% of the 30% total of losses ceded under this treaty are excluded from a named catastrophe event.</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Treaty Year</w:t>
            </w:r>
          </w:p>
        </w:tc>
      </w:tr>
      <w:tr>
        <w:trPr>
          <w:trHeight w:val="191"/>
        </w:trPr>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July 1, 2021</w:t>
            </w: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July 1, 2020</w:t>
            </w:r>
          </w:p>
        </w:tc>
        <w:tc>
          <w:tcPr>
            <w:tcW w:w="1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w:t>
            </w:r>
          </w:p>
        </w:tc>
      </w:tr>
      <w:tr>
        <w:trPr>
          <w:trHeight w:val="234"/>
        </w:trPr>
        <w:tc>
          <w:tcPr>
            <w:tcW w:w="8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2022</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June 30, 2021</w:t>
            </w:r>
          </w:p>
        </w:tc>
        <w:tc>
          <w:tcPr>
            <w:tcW w:w="160" w:type="dxa"/>
            <w:vAlign w:val="bottom"/>
          </w:tcPr>
          <w:p>
            <w:pPr>
              <w:spacing w:after="0"/>
              <w:rPr>
                <w:sz w:val="20"/>
                <w:szCs w:val="20"/>
                <w:color w:val="auto"/>
              </w:rPr>
            </w:pPr>
          </w:p>
        </w:tc>
      </w:tr>
      <w:tr>
        <w:trPr>
          <w:trHeight w:val="371"/>
        </w:trPr>
        <w:tc>
          <w:tcPr>
            <w:tcW w:w="8600" w:type="dxa"/>
            <w:vAlign w:val="bottom"/>
            <w:gridSpan w:val="4"/>
          </w:tcPr>
          <w:p>
            <w:pPr>
              <w:spacing w:after="0"/>
              <w:rPr>
                <w:sz w:val="20"/>
                <w:szCs w:val="20"/>
                <w:color w:val="auto"/>
              </w:rPr>
            </w:pPr>
            <w:r>
              <w:rPr>
                <w:rFonts w:ascii="Arial" w:cs="Arial" w:eastAsia="Arial" w:hAnsi="Arial"/>
                <w:sz w:val="18"/>
                <w:szCs w:val="18"/>
                <w:color w:val="auto"/>
              </w:rPr>
              <w:t>Personal Lines: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8600" w:type="dxa"/>
            <w:vAlign w:val="bottom"/>
            <w:gridSpan w:val="4"/>
          </w:tcPr>
          <w:p>
            <w:pPr>
              <w:spacing w:after="0"/>
              <w:rPr>
                <w:sz w:val="20"/>
                <w:szCs w:val="20"/>
                <w:color w:val="auto"/>
              </w:rPr>
            </w:pPr>
            <w:r>
              <w:rPr>
                <w:rFonts w:ascii="Arial" w:cs="Arial" w:eastAsia="Arial" w:hAnsi="Arial"/>
                <w:sz w:val="18"/>
                <w:szCs w:val="18"/>
                <w:color w:val="auto"/>
              </w:rPr>
              <w:t>Personal Umbrella</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8600" w:type="dxa"/>
            <w:vAlign w:val="bottom"/>
            <w:gridSpan w:val="4"/>
          </w:tcPr>
          <w:p>
            <w:pPr>
              <w:ind w:left="220"/>
              <w:spacing w:after="0"/>
              <w:rPr>
                <w:sz w:val="20"/>
                <w:szCs w:val="20"/>
                <w:color w:val="auto"/>
              </w:rPr>
            </w:pPr>
            <w:r>
              <w:rPr>
                <w:rFonts w:ascii="Arial" w:cs="Arial" w:eastAsia="Arial" w:hAnsi="Arial"/>
                <w:sz w:val="18"/>
                <w:szCs w:val="18"/>
                <w:color w:val="auto"/>
              </w:rPr>
              <w:t>Quota share treaty:</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86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Percent ceded - first $1,000,000 of coverage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8600" w:type="dxa"/>
            <w:vAlign w:val="bottom"/>
            <w:gridSpan w:val="4"/>
          </w:tcPr>
          <w:p>
            <w:pPr>
              <w:ind w:left="420"/>
              <w:spacing w:after="0"/>
              <w:rPr>
                <w:sz w:val="20"/>
                <w:szCs w:val="20"/>
                <w:color w:val="auto"/>
              </w:rPr>
            </w:pPr>
            <w:r>
              <w:rPr>
                <w:rFonts w:ascii="Arial" w:cs="Arial" w:eastAsia="Arial" w:hAnsi="Arial"/>
                <w:sz w:val="18"/>
                <w:szCs w:val="18"/>
                <w:color w:val="auto"/>
              </w:rPr>
              <w:t>Percent ceded - excess of $1,000,000 dollars of coverage</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86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Risk retained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r>
      <w:tr>
        <w:trPr>
          <w:trHeight w:val="216"/>
        </w:trPr>
        <w:tc>
          <w:tcPr>
            <w:tcW w:w="8600" w:type="dxa"/>
            <w:vAlign w:val="bottom"/>
            <w:gridSpan w:val="4"/>
          </w:tcPr>
          <w:p>
            <w:pPr>
              <w:ind w:left="420"/>
              <w:spacing w:after="0"/>
              <w:rPr>
                <w:sz w:val="20"/>
                <w:szCs w:val="20"/>
                <w:color w:val="auto"/>
              </w:rPr>
            </w:pPr>
            <w:r>
              <w:rPr>
                <w:rFonts w:ascii="Arial" w:cs="Arial" w:eastAsia="Arial" w:hAnsi="Arial"/>
                <w:sz w:val="18"/>
                <w:szCs w:val="18"/>
                <w:color w:val="auto"/>
              </w:rPr>
              <w:t>Total reinsurance coverage per occurrence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4,700,000</w:t>
            </w:r>
          </w:p>
        </w:tc>
      </w:tr>
      <w:tr>
        <w:trPr>
          <w:trHeight w:val="216"/>
        </w:trPr>
        <w:tc>
          <w:tcPr>
            <w:tcW w:w="86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r>
      <w:tr>
        <w:trPr>
          <w:trHeight w:val="216"/>
        </w:trPr>
        <w:tc>
          <w:tcPr>
            <w:tcW w:w="8600" w:type="dxa"/>
            <w:vAlign w:val="bottom"/>
            <w:gridSpan w:val="4"/>
          </w:tcPr>
          <w:p>
            <w:pPr>
              <w:ind w:left="220"/>
              <w:spacing w:after="0"/>
              <w:rPr>
                <w:sz w:val="20"/>
                <w:szCs w:val="20"/>
                <w:color w:val="auto"/>
              </w:rPr>
            </w:pPr>
            <w:r>
              <w:rPr>
                <w:rFonts w:ascii="Arial" w:cs="Arial" w:eastAsia="Arial" w:hAnsi="Arial"/>
                <w:sz w:val="18"/>
                <w:szCs w:val="18"/>
                <w:color w:val="auto"/>
              </w:rPr>
              <w:t>Expiration date</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June 30, 2022</w:t>
            </w: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June 30, 2021</w:t>
            </w:r>
          </w:p>
        </w:tc>
      </w:tr>
      <w:tr>
        <w:trPr>
          <w:trHeight w:val="203"/>
        </w:trPr>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75"/>
        </w:trPr>
        <w:tc>
          <w:tcPr>
            <w:tcW w:w="8600" w:type="dxa"/>
            <w:vAlign w:val="bottom"/>
            <w:gridSpan w:val="4"/>
          </w:tcPr>
          <w:p>
            <w:pPr>
              <w:spacing w:after="0" w:line="176" w:lineRule="exact"/>
              <w:rPr>
                <w:sz w:val="20"/>
                <w:szCs w:val="20"/>
                <w:color w:val="auto"/>
              </w:rPr>
            </w:pPr>
            <w:r>
              <w:rPr>
                <w:rFonts w:ascii="Arial" w:cs="Arial" w:eastAsia="Arial" w:hAnsi="Arial"/>
                <w:sz w:val="18"/>
                <w:szCs w:val="18"/>
                <w:color w:val="auto"/>
              </w:rPr>
              <w:t>Commercial Lines (1):</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1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8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General liability commercial policies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gridSpan w:val="4"/>
          </w:tcPr>
          <w:p>
            <w:pPr>
              <w:ind w:left="220"/>
              <w:spacing w:after="0"/>
              <w:rPr>
                <w:sz w:val="20"/>
                <w:szCs w:val="20"/>
                <w:color w:val="auto"/>
              </w:rPr>
            </w:pPr>
            <w:r>
              <w:rPr>
                <w:rFonts w:ascii="Arial" w:cs="Arial" w:eastAsia="Arial" w:hAnsi="Arial"/>
                <w:sz w:val="18"/>
                <w:szCs w:val="18"/>
                <w:color w:val="auto"/>
              </w:rPr>
              <w:t>Quota share treaty</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r>
        <w:trPr>
          <w:trHeight w:val="216"/>
        </w:trPr>
        <w:tc>
          <w:tcPr>
            <w:tcW w:w="86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Risk retained</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750,000</w:t>
            </w:r>
          </w:p>
        </w:tc>
      </w:tr>
      <w:tr>
        <w:trPr>
          <w:trHeight w:val="202"/>
        </w:trPr>
        <w:tc>
          <w:tcPr>
            <w:tcW w:w="860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Excess of loss coverage above risk retained</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3,750,000</w:t>
            </w: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in excess of</w:t>
            </w:r>
          </w:p>
        </w:tc>
      </w:tr>
      <w:tr>
        <w:trPr>
          <w:trHeight w:val="230"/>
        </w:trPr>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750,000</w:t>
            </w:r>
          </w:p>
        </w:tc>
      </w:tr>
      <w:tr>
        <w:trPr>
          <w:trHeight w:val="216"/>
        </w:trPr>
        <w:tc>
          <w:tcPr>
            <w:tcW w:w="86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Total reinsurance coverage per occurrence</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3,750,000</w:t>
            </w:r>
          </w:p>
        </w:tc>
      </w:tr>
      <w:tr>
        <w:trPr>
          <w:trHeight w:val="216"/>
        </w:trPr>
        <w:tc>
          <w:tcPr>
            <w:tcW w:w="8600" w:type="dxa"/>
            <w:vAlign w:val="bottom"/>
            <w:gridSpan w:val="4"/>
          </w:tcPr>
          <w:p>
            <w:pPr>
              <w:ind w:left="220"/>
              <w:spacing w:after="0"/>
              <w:rPr>
                <w:sz w:val="20"/>
                <w:szCs w:val="20"/>
                <w:color w:val="auto"/>
              </w:rPr>
            </w:pPr>
            <w:r>
              <w:rPr>
                <w:rFonts w:ascii="Arial" w:cs="Arial" w:eastAsia="Arial" w:hAnsi="Arial"/>
                <w:sz w:val="18"/>
                <w:szCs w:val="18"/>
                <w:color w:val="auto"/>
              </w:rPr>
              <w:t>Losses per occurrence subject to reinsurance coverage</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4,500,000</w:t>
            </w:r>
          </w:p>
        </w:tc>
      </w:tr>
      <w:tr>
        <w:trPr>
          <w:trHeight w:val="203"/>
        </w:trPr>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600" w:type="dxa"/>
            <w:vAlign w:val="bottom"/>
            <w:gridSpan w:val="4"/>
          </w:tcPr>
          <w:p>
            <w:pPr>
              <w:spacing w:after="0"/>
              <w:rPr>
                <w:sz w:val="20"/>
                <w:szCs w:val="20"/>
                <w:color w:val="auto"/>
              </w:rPr>
            </w:pPr>
            <w:r>
              <w:rPr>
                <w:rFonts w:ascii="Arial" w:cs="Arial" w:eastAsia="Arial" w:hAnsi="Arial"/>
                <w:sz w:val="18"/>
                <w:szCs w:val="18"/>
                <w:color w:val="auto"/>
              </w:rPr>
              <w:t>Commercial Umbrella</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Quota share treaty</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202" w:lineRule="exact"/>
        <w:rPr>
          <w:sz w:val="20"/>
          <w:szCs w:val="20"/>
          <w:color w:val="auto"/>
        </w:rPr>
      </w:pPr>
    </w:p>
    <w:p>
      <w:pPr>
        <w:ind w:left="900" w:hanging="447"/>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Coverage on all commercial lines policies expired in September 2020; reinsurance coverage is based on treaties in effect on the date of loss.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earned ceding commission revenue under the 2021/2023 Treaty for the three months ended March 31, 2022 based on a fixed provisional commission rate at which provisional ceding commissions will be earned. There was no quota share treaty in effect during the three months ended March 31, 2021. The Company earned ceding commission revenue under its expired quota share reinsurance agreements based on: (i) a fixed provisional commission rate at which provisional ceding commissions were earned, and (ii) a continuing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w:t>
      </w:r>
    </w:p>
    <w:p>
      <w:pPr>
        <w:sectPr>
          <w:pgSz w:w="11900" w:h="16838" w:orient="portrait"/>
          <w:cols w:equalWidth="0" w:num="1">
            <w:col w:w="11240"/>
          </w:cols>
          <w:pgMar w:left="320" w:top="341" w:right="339" w:bottom="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increases when the estimated ultimate loss ratio decreases and, conversely, the commission rate and contingent ceding commissions earned decreases when the estimated ultimate loss ratio increases.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Ceding commission revenue consists of the following:</w:t>
      </w:r>
    </w:p>
    <w:p>
      <w:pPr>
        <w:spacing w:after="0" w:line="221" w:lineRule="exact"/>
        <w:rPr>
          <w:sz w:val="20"/>
          <w:szCs w:val="20"/>
          <w:color w:val="auto"/>
        </w:rPr>
      </w:pPr>
    </w:p>
    <w:p>
      <w:pPr>
        <w:jc w:val="center"/>
        <w:ind w:left="72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2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5715</wp:posOffset>
            </wp:positionV>
            <wp:extent cx="13201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8520"/>
        <w:spacing w:after="0"/>
        <w:tabs>
          <w:tab w:leader="none" w:pos="962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14605</wp:posOffset>
            </wp:positionV>
            <wp:extent cx="13201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4,541,533</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45,499</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Contingent ceding commissions earned</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139,863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(46,564)</w:t>
            </w:r>
          </w:p>
        </w:tc>
      </w:tr>
      <w:tr>
        <w:trPr>
          <w:trHeight w:val="20"/>
        </w:trPr>
        <w:tc>
          <w:tcPr>
            <w:tcW w:w="5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1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4,681,396</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(1,065)</w:t>
            </w:r>
          </w:p>
        </w:tc>
      </w:tr>
      <w:tr>
        <w:trPr>
          <w:trHeight w:val="20"/>
        </w:trPr>
        <w:tc>
          <w:tcPr>
            <w:tcW w:w="510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Provisional ceding commissions are settled monthly. Balances due from reinsurers for contingent ceding commissions on quota share treaties are settled periodically based on the Loss Ratio of each treaty year that ends on June 30, for the expired treaties that were subject to contingent commissions. As discussed above, the Loss Ratios from prior years’ treaties are subject to change as incurred losses from those periods develop, resulting in an increase or decrease in the commission rate and contingent ceding commissions earned. As of March 31, 2022 and December 31, 2021, net contingent ceding commissions payable to reinsurers under all treaties was approximately $2,741,000 and $2,881,000, respectively, which is recorded in reinsurance balances payable on the accompanying condensed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Home Loan Bank</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July 2017, KICO became a member of, and invested in the Federal Home Loan Bank of New York (“FHLBNY”). KICO is required to maintain an investment in capital stock of FHLBNY. Based on redemption provisions of FHLBNY, the stock has no quoted market value and is carried at cost. At its discretion, FHLBNY may declare dividends on the stock. Management reviews for impairment based on the ultimate recoverability of the cost basis in the stock. At March 31, 2022 and December 31, 2021, no impairment has been recognized. FHLBNY members have access to a variety of flexible, low-cost funding through FHLBNY’s credit products, enabling members to customize advances, which are to be fully collateralized. Eligible collateral to pledge to FHLBNY includes residential and commercial mortgage-backed securities, along with U.S. Treasury and agency securities. Advances are limited to 5% of KICO’s net admitted assets as of the previous quarter and are due and payable within one year of borrowing. KICO is currently able to borrow on an overnight basis. If KICO has collateral, the maximum allowable advance as of March 31, 2022 was approximately $13,314,000 . Advances are limited to 85% of the amount of available collateral, which as of March 31, 2022 and December 31, 2021 was $-0-. There have been no borrowings under this facility since the KICO became a member of FHLBNY.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19, 2017, the Company issued $30 million of its 5.50% Senior Unsecured Notes due December 30, 2022 (the “Notes”) in an underwritten public offering. Interest is payable semi-annually in arrears on June 30 and December 30 of each year, which began on June 30, 2018 at the rate of 5.50% per annum. The net proceeds of the issuance were $29,121,630, net of discount of $163,200 and transaction costs of $715,170, for an effective yield of 5.67% per annum. The balance of debt as of March 31, 2022 and December 31, 2021 is as follows:</w:t>
      </w:r>
    </w:p>
    <w:p>
      <w:pPr>
        <w:spacing w:after="0" w:line="17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March 31,</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5.50% Senior Unsecured Notes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$ 30,000,000</w:t>
            </w: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Discount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(24,331)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(107,833)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(143,767)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Debt, net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$ 29,867,836</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$ 29,823,791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 (“Make Whole Call”).</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Due to the Make Whole Call, management intends to retire the Notes at or close to the scheduled maturity date in December 2022. Management plans to refinance the Notes with a new issue of debt of similar or longer maturity that would result in net proceeds equal to or greater than the principal amount of the current issue. In connection therewith, the Company has engaged an investment banker to serve as exclusive placement agent for a proposed offering by the Company of its securities (including debt, equity and/or preferred securities). The engagement letter indicates that the offering would be of such size as to generate proceeds to the Company of no less than $30,000,000. The Company also plans to use dividends paid to it by KICO, its insurance subsidiary, to repay the Notes. As of March 31, 2022, the maximum distribution that KICO could pay the Company without prior regulatory approval was approximately $1,122,000. Further, the Company plans to use available invested assets and cash to repay the Notes. As of March 31, 2022 and December 31, 2021, invested assets and cash was approximately $3,812,000 and $1,108,000, respectively.</w:t>
      </w:r>
    </w:p>
    <w:p>
      <w:pPr>
        <w:sectPr>
          <w:pgSz w:w="11900" w:h="16838" w:orient="portrait"/>
          <w:cols w:equalWidth="0" w:num="1">
            <w:col w:w="11240"/>
          </w:cols>
          <w:pgMar w:left="320" w:top="125" w:right="339" w:bottom="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The Company used an aggregate $28,256,335 of the net proceeds from the offering to contribute capital to KICO in order to support additional growth. The remainder of the net proceeds was used for general corporate purposes. A registration statement relating to the debt issued in the offering was filed with the SEC, which became effective on November 28, 2017.</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 and Paid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Dividends declared and paid on Common Stock were $425,490 and $427,217 for the three months ended March 31, 2022 and 2021, respectively. The Company announced on May 2, 2022 that its Board of Directors approved a quarterly dividend of $0.04 per share payable in cash on June 15, 2022 to stockholders of record as of May 31, 2022 (see Note 13 - Subsequent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August 12, 2014, the Company adopted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determines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are authorized to be issued pursuant to the 2014 Plan to 1,400,000.</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operations for the three months ended March 31, 2022 and 2021 include stock-based compensation expense for stock options totaling approximately $6,000 and $14,000, respectively. Stock-based compensation expense related to stock options for the three months ended March 31, 2022 and 2021 is net of estimated forfeitures of approximately 18% and 16%, respectively. Such amounts have been included in the condensed consolidated statements of operations and comprehensive loss within other operating expenses.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 options were granted during the three months ended March 31, 2022. The fair value of stock options at the grant date are estimated using the Black-Scholes option-pricing model. 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Company’s 2014 Plan for the three months ended March 31, 2022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Weighted</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8"/>
                <w:szCs w:val="18"/>
                <w:color w:val="auto"/>
                <w:w w:val="89"/>
              </w:rPr>
              <w:t>Average</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Number of</w:t>
            </w:r>
          </w:p>
        </w:tc>
        <w:tc>
          <w:tcPr>
            <w:tcW w:w="1440" w:type="dxa"/>
            <w:vAlign w:val="bottom"/>
            <w:gridSpan w:val="4"/>
          </w:tcPr>
          <w:p>
            <w:pPr>
              <w:jc w:val="center"/>
              <w:ind w:right="340"/>
              <w:spacing w:after="0"/>
              <w:rPr>
                <w:sz w:val="20"/>
                <w:szCs w:val="20"/>
                <w:color w:val="auto"/>
              </w:rPr>
            </w:pPr>
            <w:r>
              <w:rPr>
                <w:rFonts w:ascii="Arial" w:cs="Arial" w:eastAsia="Arial" w:hAnsi="Arial"/>
                <w:sz w:val="18"/>
                <w:szCs w:val="18"/>
                <w:color w:val="auto"/>
                <w:w w:val="88"/>
              </w:rPr>
              <w:t>Exercise Price</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Aggregate</w:t>
            </w:r>
          </w:p>
        </w:tc>
      </w:tr>
      <w:tr>
        <w:trPr>
          <w:trHeight w:val="230"/>
        </w:trPr>
        <w:tc>
          <w:tcPr>
            <w:tcW w:w="5940" w:type="dxa"/>
            <w:vAlign w:val="bottom"/>
          </w:tcPr>
          <w:p>
            <w:pPr>
              <w:ind w:left="246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8"/>
                <w:szCs w:val="18"/>
                <w:color w:val="auto"/>
                <w:w w:val="85"/>
              </w:rPr>
              <w:t>per Share</w:t>
            </w: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Term</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Intrinsic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107,201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Expired/Forfeited</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2022</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107,201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59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March 31, 2022</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aggregate intrinsic value of options outstanding and options exercisable at March 31, 2022 is calculated as the difference between the exercise price of the underlying options and the market price of the Company’s Common Stock for the options that had exercise prices that were lower than the $5.32 closing price of the Company’s Common Stock on March 31, 2022. No options were exercised, forfeited or expired during the three months ended March 31, 2022. The total intrinsic value of options when forfeited are determined as of the date of forfeiture. The total intrinsic value of options when expired are determined as of the date of expiration.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Participants in the 2014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2022, the estimated fair value of unamortized compensation cost related to unvested stock option awards was approximately $3,000.</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Unamortized compensation cost as of March 31, 2022 is expected to be recognized over a remaining weighted-average vesting period of 0.50 years.</w:t>
      </w:r>
    </w:p>
    <w:p>
      <w:pPr>
        <w:sectPr>
          <w:pgSz w:w="11900" w:h="16838" w:orient="portrait"/>
          <w:cols w:equalWidth="0" w:num="1">
            <w:col w:w="11240"/>
          </w:cols>
          <w:pgMar w:left="320" w:top="125" w:right="339" w:bottom="0" w:gutter="0" w:footer="0" w:header="0"/>
        </w:sectPr>
      </w:pPr>
    </w:p>
    <w:bookmarkStart w:id="19" w:name="page20"/>
    <w:bookmarkEnd w:id="19"/>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there were 346,666 shares reserved for grants under the 2014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restricted Common Stock activity under the Company’s 2014 Plan for three months ended March 31, 2022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Average Grant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Date Fair</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Value per</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Aggregate</w:t>
            </w:r>
          </w:p>
        </w:tc>
      </w:tr>
      <w:tr>
        <w:trPr>
          <w:trHeight w:val="230"/>
        </w:trPr>
        <w:tc>
          <w:tcPr>
            <w:tcW w:w="7280" w:type="dxa"/>
            <w:vAlign w:val="bottom"/>
          </w:tcPr>
          <w:p>
            <w:pPr>
              <w:ind w:left="2760"/>
              <w:spacing w:after="0"/>
              <w:rPr>
                <w:sz w:val="20"/>
                <w:szCs w:val="20"/>
                <w:color w:val="auto"/>
              </w:rPr>
            </w:pPr>
            <w:r>
              <w:rPr>
                <w:rFonts w:ascii="Arial" w:cs="Arial" w:eastAsia="Arial" w:hAnsi="Arial"/>
                <w:sz w:val="18"/>
                <w:szCs w:val="18"/>
                <w:color w:val="auto"/>
              </w:rPr>
              <w:t>Restricted Stock Awards</w:t>
            </w:r>
          </w:p>
        </w:tc>
        <w:tc>
          <w:tcPr>
            <w:tcW w:w="10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3"/>
              </w:rPr>
              <w:t>Share</w:t>
            </w:r>
          </w:p>
        </w:tc>
        <w:tc>
          <w:tcPr>
            <w:tcW w:w="1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Fair Value</w:t>
            </w:r>
          </w:p>
        </w:tc>
      </w:tr>
      <w:tr>
        <w:trPr>
          <w:trHeight w:val="209"/>
        </w:trPr>
        <w:tc>
          <w:tcPr>
            <w:tcW w:w="7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2022</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628,531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6,074,595</w:t>
            </w: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98,456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544,503</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(245,604)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(1,752,745)</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7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481,383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4,866,352</w:t>
            </w:r>
          </w:p>
        </w:tc>
      </w:tr>
      <w:tr>
        <w:trPr>
          <w:trHeight w:val="20"/>
        </w:trPr>
        <w:tc>
          <w:tcPr>
            <w:tcW w:w="7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Fair value was calculated using the closing price of the Company’s Common Stock on the grant date. For the three months ended March 31, 2022 and 2021, stock-based compensation for these grants was approximately $518,000 and $481,000, respectively, which is included in other operating expenses on the accompanying condensed consolidated statements of operations and comprehensive loss. These amounts reflect the Company’s accounting expense and do not correspond to the actual value that will be recognized by the directors, executives and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23"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On June 19, 2021, the Company’s Board of Directors adopted the Kingstone Companies, Inc. Employee Stock Purchase Plan (the “ESPP”), subject to stockholder approval. Such approval was obtained on August 10, 2021. The purpose of the ESPP is to provide eligible employees of the Company with an opportunity to use payroll deductions to purchase shares of Common Stock of the Company. The maximum number of shares of Common Stock that may be purchased under the ESPP is 750,000, subject to adjustment as provided for in the ESPP. The ESPP was effective August 10, 2021 and expires on August 10, 2031. A maximum of 5,000 shares of Common Stock may be purchased by an employee during any offering period.</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ESPP currently provides for an offering period from November 1, 2021 through October 31, 2022 (“2021/2022 Offering”). For the three months ended March 31, 2022 and 2021, stock-based compensation under the 2021/2022 Offering was approximately $6,000 and $-0-, respectively, which is included in other operating expenses on the accompanying condensed consolidated statements of operations and comprehensive loss.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8700" w:type="dxa"/>
            <w:vAlign w:val="bottom"/>
            <w:gridSpan w:val="2"/>
          </w:tcPr>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3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March 31,</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r>
      <w:tr>
        <w:trPr>
          <w:trHeight w:val="230"/>
        </w:trPr>
        <w:tc>
          <w:tcPr>
            <w:tcW w:w="13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425"/>
        </w:trPr>
        <w:tc>
          <w:tcPr>
            <w:tcW w:w="8700" w:type="dxa"/>
            <w:vAlign w:val="bottom"/>
            <w:gridSpan w:val="2"/>
          </w:tcPr>
          <w:p>
            <w:pPr>
              <w:spacing w:after="0"/>
              <w:rPr>
                <w:sz w:val="20"/>
                <w:szCs w:val="20"/>
                <w:color w:val="auto"/>
              </w:rPr>
            </w:pPr>
            <w:r>
              <w:rPr>
                <w:rFonts w:ascii="Arial" w:cs="Arial" w:eastAsia="Arial" w:hAnsi="Arial"/>
                <w:sz w:val="18"/>
                <w:szCs w:val="18"/>
                <w:color w:val="auto"/>
              </w:rPr>
              <w:t>Deferred tax asset:</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operating loss carryovers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3,301,658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1,112,318</w:t>
            </w: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Claims reserve discount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1,169,042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1,186,789</w:t>
            </w: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Unearned premium</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3,279,286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3,246,364</w:t>
            </w: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Deferred ceding commission revenue</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1,990,698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2,047,187</w:t>
            </w: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unrealized losses on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509,869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1,066,609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1,220,898</w:t>
            </w:r>
          </w:p>
        </w:tc>
      </w:tr>
      <w:tr>
        <w:trPr>
          <w:trHeight w:val="20"/>
        </w:trPr>
        <w:tc>
          <w:tcPr>
            <w:tcW w:w="13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11,317,162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8,813,556</w:t>
            </w:r>
          </w:p>
        </w:tc>
      </w:tr>
      <w:tr>
        <w:trPr>
          <w:trHeight w:val="209"/>
        </w:trPr>
        <w:tc>
          <w:tcPr>
            <w:tcW w:w="1320" w:type="dxa"/>
            <w:vAlign w:val="bottom"/>
            <w:tcBorders>
              <w:top w:val="single" w:sz="8" w:color="CCEEFF"/>
            </w:tcBorders>
          </w:tcPr>
          <w:p>
            <w:pPr>
              <w:spacing w:after="0"/>
              <w:rPr>
                <w:sz w:val="18"/>
                <w:szCs w:val="18"/>
                <w:color w:val="auto"/>
              </w:rPr>
            </w:pPr>
          </w:p>
        </w:tc>
        <w:tc>
          <w:tcPr>
            <w:tcW w:w="73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Investment in KICO (2)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759,543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759,543</w:t>
            </w: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acquisition costs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4,547,882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4,670,187</w:t>
            </w:r>
          </w:p>
        </w:tc>
      </w:tr>
    </w:tbl>
    <w:p>
      <w:pPr>
        <w:sectPr>
          <w:pgSz w:w="11900" w:h="16864" w:orient="portrait"/>
          <w:cols w:equalWidth="0" w:num="1">
            <w:col w:w="11240"/>
          </w:cols>
          <w:pgMar w:left="320" w:top="125" w:right="3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Intangibles</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105,000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105,000</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1,537,104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1,046,817</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Net unrealized gains on securities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2,039,756</w:t>
            </w:r>
          </w:p>
        </w:tc>
      </w:tr>
      <w:tr>
        <w:trPr>
          <w:trHeight w:val="20"/>
        </w:trPr>
        <w:tc>
          <w:tcPr>
            <w:tcW w:w="8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6,949,529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8,621,303</w:t>
            </w:r>
          </w:p>
        </w:tc>
      </w:tr>
      <w:tr>
        <w:trPr>
          <w:trHeight w:val="209"/>
        </w:trPr>
        <w:tc>
          <w:tcPr>
            <w:tcW w:w="87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asset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4,367,633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192,253</w:t>
            </w:r>
          </w:p>
        </w:tc>
      </w:tr>
      <w:tr>
        <w:trPr>
          <w:trHeight w:val="41"/>
        </w:trPr>
        <w:tc>
          <w:tcPr>
            <w:tcW w:w="8700" w:type="dxa"/>
            <w:vAlign w:val="bottom"/>
            <w:shd w:val="clear" w:color="auto" w:fill="CCEEFF"/>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ind w:left="900" w:hanging="447"/>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deferred tax assets from net operating loss carryovers (“NOL”)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March 31,</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140" w:type="dxa"/>
            <w:vAlign w:val="bottom"/>
          </w:tcPr>
          <w:p>
            <w:pPr>
              <w:ind w:left="2560"/>
              <w:spacing w:after="0"/>
              <w:rPr>
                <w:sz w:val="20"/>
                <w:szCs w:val="20"/>
                <w:color w:val="auto"/>
              </w:rPr>
            </w:pPr>
            <w:r>
              <w:rPr>
                <w:rFonts w:ascii="Arial" w:cs="Arial" w:eastAsia="Arial" w:hAnsi="Arial"/>
                <w:sz w:val="18"/>
                <w:szCs w:val="18"/>
                <w:b w:val="1"/>
                <w:bCs w:val="1"/>
                <w:color w:val="auto"/>
              </w:rPr>
              <w:t>Type of NOL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r>
      <w:tr>
        <w:trPr>
          <w:trHeight w:val="196"/>
        </w:trPr>
        <w:tc>
          <w:tcPr>
            <w:tcW w:w="6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Federal only, NOL from 2022 and 2021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3,301,658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1,112,318</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NOL carried back</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Federal only, NOL from 2022 and 2021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3,301,658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1,112,318</w:t>
            </w:r>
          </w:p>
        </w:tc>
        <w:tc>
          <w:tcPr>
            <w:tcW w:w="2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None</w:t>
            </w:r>
          </w:p>
        </w:tc>
      </w:tr>
      <w:tr>
        <w:trPr>
          <w:trHeight w:val="196"/>
        </w:trPr>
        <w:tc>
          <w:tcPr>
            <w:tcW w:w="6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2"/>
        </w:trPr>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State only (A)</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8"/>
              </w:rPr>
              <w:t>December 2027 - December</w:t>
            </w:r>
          </w:p>
        </w:tc>
      </w:tr>
      <w:tr>
        <w:trPr>
          <w:trHeight w:val="230"/>
        </w:trPr>
        <w:tc>
          <w:tcPr>
            <w:tcW w:w="6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2,127,859</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2,099,239</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2042</w:t>
            </w:r>
          </w:p>
        </w:tc>
        <w:tc>
          <w:tcPr>
            <w:tcW w:w="100" w:type="dxa"/>
            <w:vAlign w:val="bottom"/>
            <w:shd w:val="clear" w:color="auto" w:fill="CCEEFF"/>
          </w:tcPr>
          <w:p>
            <w:pPr>
              <w:spacing w:after="0"/>
              <w:rPr>
                <w:sz w:val="20"/>
                <w:szCs w:val="20"/>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(2,127,859)</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(2,099,239)</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 only, net of valuation allowance</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6"/>
        </w:trPr>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 from net operating loss carryovers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3,301,658</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1,112,318</w:t>
            </w:r>
          </w:p>
        </w:tc>
        <w:tc>
          <w:tcPr>
            <w:tcW w:w="22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left="660" w:hanging="4"/>
        <w:spacing w:after="0" w:line="255" w:lineRule="auto"/>
        <w:tabs>
          <w:tab w:leader="none" w:pos="989" w:val="left"/>
        </w:tabs>
        <w:numPr>
          <w:ilvl w:val="1"/>
          <w:numId w:val="7"/>
        </w:numPr>
        <w:rPr>
          <w:rFonts w:ascii="Arial" w:cs="Arial" w:eastAsia="Arial" w:hAnsi="Arial"/>
          <w:sz w:val="18"/>
          <w:szCs w:val="18"/>
          <w:color w:val="auto"/>
        </w:rPr>
      </w:pPr>
      <w:r>
        <w:rPr>
          <w:rFonts w:ascii="Arial" w:cs="Arial" w:eastAsia="Arial" w:hAnsi="Arial"/>
          <w:sz w:val="18"/>
          <w:szCs w:val="18"/>
          <w:color w:val="auto"/>
        </w:rPr>
        <w:t>Kingstone generates operating losses for state purposes and has prior year NOLs available. The state NOL as of March 31, 2022 and December 31, 2021 was approximately $32,736,000 and $32,296,000, respectively. KICO, the Company’s insurance underwriting subsidiary, is not subject to state income taxes. KICO’s state tax obligations are paid through a gross premiums tax, which is included in the condensed consolidated statements of operations and comprehensive loss within other underwriting expenses. Kingstone has recorded a valuation allowance due to the uncertainty of generating enough state taxable income to utilize 100% of the available state NOLs over their remaining lives, which expire between 2027 and 2042.</w:t>
      </w:r>
    </w:p>
    <w:p>
      <w:pPr>
        <w:spacing w:after="0" w:line="192" w:lineRule="exact"/>
        <w:rPr>
          <w:rFonts w:ascii="Arial" w:cs="Arial" w:eastAsia="Arial" w:hAnsi="Arial"/>
          <w:sz w:val="18"/>
          <w:szCs w:val="18"/>
          <w:color w:val="auto"/>
        </w:rPr>
      </w:pPr>
    </w:p>
    <w:p>
      <w:pPr>
        <w:ind w:left="880" w:hanging="265"/>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Deferred tax liability – Investment in KICO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20" w:right="20"/>
        <w:spacing w:after="0" w:line="288"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no material unrecognized tax benefit and no adjustments to liabilities or operations were required. There were no interest or penalties related to income taxes that have been accrued or recognized as of and for the three months ended March 31, 2022 and 2021. If any had been recognized these would have been reported in income tax expense.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Generally, taxing authorities may examine the Company’s tax returns for the three years from the date of filing. The Company’s tax returns for the years ended December 31, 2018 through December 31, 2020 remain subject to examination.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–Loss Per Common Share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net loss per common share is computed by dividing loss available to common shareholders by the weighted-average number of shares of Common Stock outstanding. Diluted loss per common share reflect, in periods in which they have a dilutive effect, the impact of common shares issuable upon exercise of stock options as well as non-vested restricted stock awards. The computation of diluted loss per common share excludes those options with an exercise price in excess of the average market price of the Company’s Common Stock during the periods presented.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computation of diluted loss per common share excludes outstanding options in periods where the exercise of such options would be anti-dilutive. For the three months ended March 31, 2022 and 2021, no options were included in the computation of diluted loss per common share as they would have been anti-dilutive for the relevant periods and, as a result, the weighted average number of shares of Common Stock used in the calculation of diluted loss per common share has not been adjusted for the effect of such options.</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21" w:name="page22"/>
    <w:bookmarkEnd w:id="21"/>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the weighted average number of shares of Common Stock used in the calculation of basic and diluted loss per common share follows: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1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1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10,630,450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10,676,298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common share equivalents: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Stock 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used for computing diluted loss per share</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10,630,450</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10,676,298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 See Note 2 - Accounting Policies for additional information regarding the accounting for leases.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 party to a non-cancellable operating lease, dated March 27, 2015, for its office facility for KICO located in Valley Stream, New York expiring March 31, 2024.</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8, 2019, the Company entered into a lease agreement for an additional office facility for Cosi located in Valley Stream, New York under a non-cancelable operating lease. The lease had a term of seven years and two months expiring December 31, 2026. During January 2022, pursuant to a mutual agreement with the landlord at a cost of $40,000, the Cosi lease was terminated effective as of January 31,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53"/>
        </w:trPr>
        <w:tc>
          <w:tcPr>
            <w:tcW w:w="7820" w:type="dxa"/>
            <w:vAlign w:val="bottom"/>
            <w:gridSpan w:val="2"/>
          </w:tcPr>
          <w:p>
            <w:pPr>
              <w:spacing w:after="0"/>
              <w:rPr>
                <w:sz w:val="20"/>
                <w:szCs w:val="20"/>
                <w:color w:val="auto"/>
              </w:rPr>
            </w:pPr>
            <w:r>
              <w:rPr>
                <w:rFonts w:ascii="Arial" w:cs="Arial" w:eastAsia="Arial" w:hAnsi="Arial"/>
                <w:sz w:val="18"/>
                <w:szCs w:val="18"/>
                <w:color w:val="auto"/>
              </w:rPr>
              <w:t>Additional information regarding the Company’s office operating leases is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13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Threee months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Threee months</w:t>
            </w:r>
          </w:p>
        </w:tc>
      </w:tr>
      <w:tr>
        <w:trPr>
          <w:trHeight w:val="216"/>
        </w:trPr>
        <w:tc>
          <w:tcPr>
            <w:tcW w:w="13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ended</w:t>
            </w:r>
          </w:p>
        </w:tc>
      </w:tr>
      <w:tr>
        <w:trPr>
          <w:trHeight w:val="234"/>
        </w:trPr>
        <w:tc>
          <w:tcPr>
            <w:tcW w:w="7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Lease cost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March 31, 2022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March 31, 2021</w:t>
            </w:r>
          </w:p>
        </w:tc>
        <w:tc>
          <w:tcPr>
            <w:tcW w:w="160" w:type="dxa"/>
            <w:vAlign w:val="bottom"/>
          </w:tcPr>
          <w:p>
            <w:pPr>
              <w:spacing w:after="0"/>
              <w:rPr>
                <w:sz w:val="20"/>
                <w:szCs w:val="20"/>
                <w:color w:val="auto"/>
              </w:rPr>
            </w:pPr>
          </w:p>
        </w:tc>
      </w:tr>
      <w:tr>
        <w:trPr>
          <w:trHeight w:val="210"/>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46,938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60,518</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Short-term leases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13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7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lease cost (1) (2)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46,938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60,518</w:t>
            </w:r>
          </w:p>
        </w:tc>
      </w:tr>
      <w:tr>
        <w:trPr>
          <w:trHeight w:val="183"/>
        </w:trPr>
        <w:tc>
          <w:tcPr>
            <w:tcW w:w="1320" w:type="dxa"/>
            <w:vAlign w:val="bottom"/>
            <w:tcBorders>
              <w:top w:val="single" w:sz="8" w:color="CCEEFF"/>
            </w:tcBorders>
          </w:tcPr>
          <w:p>
            <w:pPr>
              <w:spacing w:after="0"/>
              <w:rPr>
                <w:sz w:val="15"/>
                <w:szCs w:val="15"/>
                <w:color w:val="auto"/>
              </w:rPr>
            </w:pPr>
          </w:p>
        </w:tc>
        <w:tc>
          <w:tcPr>
            <w:tcW w:w="65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information on operating leases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Cash payments included in the measurement of lease liability reported in operating cash flows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53,003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64,979</w:t>
            </w: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Remaing lease term in years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KICO</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 years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 years</w:t>
            </w:r>
          </w:p>
        </w:tc>
      </w:tr>
      <w:tr>
        <w:trPr>
          <w:trHeight w:val="230"/>
        </w:trPr>
        <w:tc>
          <w:tcPr>
            <w:tcW w:w="7820" w:type="dxa"/>
            <w:vAlign w:val="bottom"/>
            <w:gridSpan w:val="2"/>
          </w:tcPr>
          <w:p>
            <w:pPr>
              <w:ind w:left="220"/>
              <w:spacing w:after="0"/>
              <w:rPr>
                <w:sz w:val="20"/>
                <w:szCs w:val="20"/>
                <w:color w:val="auto"/>
              </w:rPr>
            </w:pPr>
            <w:r>
              <w:rPr>
                <w:rFonts w:ascii="Arial" w:cs="Arial" w:eastAsia="Arial" w:hAnsi="Arial"/>
                <w:sz w:val="18"/>
                <w:szCs w:val="18"/>
                <w:color w:val="auto"/>
              </w:rPr>
              <w:t>Cosi</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5.75 years</w:t>
            </w:r>
          </w:p>
        </w:tc>
      </w:tr>
    </w:tbl>
    <w:p>
      <w:pPr>
        <w:spacing w:after="0" w:line="187" w:lineRule="exact"/>
        <w:rPr>
          <w:sz w:val="20"/>
          <w:szCs w:val="20"/>
          <w:color w:val="auto"/>
        </w:rPr>
      </w:pPr>
    </w:p>
    <w:p>
      <w:pPr>
        <w:ind w:left="900" w:hanging="447"/>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in the condensed consolidated statements of operations and comprehensive loss within other underwriting expenses for KICO and within other operating expenses for Cosi.</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The following table presents the contractual maturities of the Company’s lease liabilities as of March 31, 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8400" w:type="dxa"/>
            <w:vAlign w:val="bottom"/>
          </w:tcPr>
          <w:p>
            <w:pPr>
              <w:jc w:val="center"/>
              <w:spacing w:after="0"/>
              <w:rPr>
                <w:sz w:val="20"/>
                <w:szCs w:val="20"/>
                <w:color w:val="auto"/>
              </w:rPr>
            </w:pPr>
            <w:r>
              <w:rPr>
                <w:rFonts w:ascii="Arial" w:cs="Arial" w:eastAsia="Arial" w:hAnsi="Arial"/>
                <w:sz w:val="18"/>
                <w:szCs w:val="18"/>
                <w:b w:val="1"/>
                <w:bCs w:val="1"/>
                <w:color w:val="auto"/>
                <w:w w:val="91"/>
              </w:rPr>
              <w:t>For the Year</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8400" w:type="dxa"/>
            <w:vAlign w:val="bottom"/>
          </w:tcPr>
          <w:p>
            <w:pPr>
              <w:jc w:val="center"/>
              <w:spacing w:after="0"/>
              <w:rPr>
                <w:sz w:val="20"/>
                <w:szCs w:val="20"/>
                <w:color w:val="auto"/>
              </w:rPr>
            </w:pPr>
            <w:r>
              <w:rPr>
                <w:rFonts w:ascii="Arial" w:cs="Arial" w:eastAsia="Arial" w:hAnsi="Arial"/>
                <w:sz w:val="18"/>
                <w:szCs w:val="18"/>
                <w:b w:val="1"/>
                <w:bCs w:val="1"/>
                <w:color w:val="auto"/>
                <w:w w:val="91"/>
              </w:rPr>
              <w:t>Ending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8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142,450</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194,919</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Total undiscounted lease payments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386,514</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present value adjustment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Operating lease liability (1)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346,416</w:t>
            </w:r>
          </w:p>
        </w:tc>
        <w:tc>
          <w:tcPr>
            <w:tcW w:w="1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0" w:gutter="0" w:footer="0" w:header="0"/>
        </w:sectPr>
      </w:pPr>
    </w:p>
    <w:p>
      <w:pPr>
        <w:spacing w:after="0" w:line="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(1)</w:t>
        <w:tab/>
        <w:t>The operating lease liability is recorded in accounts payable, accrued expenses and other liabilities in the accompanying condensed</w:t>
      </w:r>
    </w:p>
    <w:p>
      <w:pPr>
        <w:sectPr>
          <w:pgSz w:w="11900" w:h="16838" w:orient="portrait"/>
          <w:cols w:equalWidth="0" w:num="1">
            <w:col w:w="11240"/>
          </w:cols>
          <w:pgMar w:left="320" w:top="125" w:right="339" w:bottom="0" w:gutter="0" w:footer="0" w:header="0"/>
          <w:type w:val="continuous"/>
        </w:sectPr>
      </w:pPr>
    </w:p>
    <w:bookmarkStart w:id="22" w:name="page23"/>
    <w:bookmarkEnd w:id="22"/>
    <w:p>
      <w:pPr>
        <w:ind w:left="900"/>
        <w:spacing w:after="0"/>
        <w:rPr>
          <w:sz w:val="20"/>
          <w:szCs w:val="20"/>
          <w:color w:val="auto"/>
        </w:rPr>
      </w:pPr>
      <w:r>
        <w:rPr>
          <w:rFonts w:ascii="Arial" w:cs="Arial" w:eastAsia="Arial" w:hAnsi="Arial"/>
          <w:sz w:val="18"/>
          <w:szCs w:val="18"/>
          <w:color w:val="auto"/>
        </w:rPr>
        <w:t>consolidated balance sheets.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Rent expense for the three months ended March 31, 2022 and 2021 amounted to $46,938 and $60,518, respectively. Rent expense is included in the accompanying condensed consolidated statements of operations and comprehensive loss within other underwriting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Goldstein, President, Chief Executive Officer and Executive Chairman of the Board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14, 2019, the Company and Barry B. Goldstein, the Company’s President, Chief Executive Officer and Executive Chairman of the Board, entered into a Second Amended and Restated Employment Agreement (the “Amended Employment Agreement”). The Amended Employment Agreement became effective as of January 1, 2020 and expires on December 31, 2022. The Amended Employment Agreement extends the expiration date of the employment agreement in effect for Mr. Goldstein from December 31, 2021 to December 31,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Amended Employment Agreement, Mr. Goldstein is entitled to receive an annual base salary of $500,000 and an annual bonus equal to 6% of the Company’s consolidated income from operations before taxes, exclusive of the Company’s consolidated net investment income (loss), net unrealized gains (losses) on equity securities and net realized gains (losses) on investments, up to a maximum of 2.5 times his base salary. In addition, pursuant to the Amended Employment Agreement, Mr. Goldstein is entitled to receive a long-term compensation (“LTC”) award of between $945,000 and $2,835,000 based on a specified minimum increase in the Company’s adjusted book value per share (as defined in the Amended Employment Agreement) as of December 31, 2022 as compared to December 31, 2019 (with the maximum LTC payment being due if the average per annum increase is at least 14%). Further, pursuant to the Amended Employment Agreement, in the event that Mr. Goldstein’s employment is terminated by the Company without cause or he resigns for good reason (each as defined in the Amended Employment Agreement), Mr. Goldstein would be entitled to receive his base salary, the 6% bonus and the LTC payment for the remainder of the term. In addition, in the event of Mr. Goldstein’s death, his estate would be entitled to receive his base salary, accrued bonus and accrued LTC payment through the date of death. Further, in the event that Mr. Goldstein’s employment is terminated by the Company without cause or he resigns for good reason, or, in the event of the termination of Mr. Goldstein’s employment due to disability or death, Mr. Goldstein’s granted but unvested restricted stock awards will vest. Mr. Goldstein would be entitled, under certain circumstances, to a payment equal to 3.82 times his then annual salary, the target LTC payment of $1,890,000 and his accrued 6% bonus in the event of the termination of his employment within eighteen months following a change of control of the Company.</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Amended Employment Agreement, in January 2020, Mr. Goldstein received a grant of 157,431 shares of restricted stock under the terms of the Company’s 2014 Plan determined by dividing $1,250,000 by the fair market value of the Company’s Common Stock on the date of grant. This 2020 grant vested with respect to one-third of the award on each of the first and second anniversaries of the grant date and will vest with respect to one-third of the award on December 31, 2022 based on the continued provision of services through such date. Also pursuant to the Amended Employment Agreement, Mr. Goldstein received a grant, under the terms of the 2014 Plan, during January 2021, of 230,769 shares of restricted stock determined by dividing $1,500,000 by the fair market value of the Company’s Common Stock on the date of grant. This 2021 grant vested with respect to one-half of the award on the first anniversary of the grant date and will vest with respect to one-half of the award on December 31, 2022 based on the continued provision of services through such date. Further, pursuant to the Amended Employment Agreement, Mr. Goldstein received in 2020, 2021, and 2022 a grant, under the terms of the 2014 Plan of a number of shares of restricted stock determined by dividing $136,500 by the fair market value of the Company’s Common Stock on the date of grant. In January 2020, Mr. Goldstein was granted 17,191 shares of restricted stock pursuant to this provision. This grant vested with respect to one-third of the award on each of the first and second anniversaries of the grant date and will vest with respect to one-third of the award on December 31, 2022 based on the continued provision of services through such date. In January 2021, Mr. Goldstein was granted 21,000 shares of restricted stock pursuant to this provision. This grant vested with respect to one-half of the award on the first anniversary of the grant date and will vest with respect to one-half of the award on December 31, 2022 based on the continued provision of services through such date. In January 2022, Mr. Goldstein was granted 27,300 shares of restricted stock pursuant to this provision. This grant will vest on December 31, 2022 based on the continued provision of services through such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Meryl Golden, Chief Operating Officer</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September 16, 2019, the Company and Meryl Golden entered into an employment agreement (the “Golden Employment Agreement”) pursuant to which Ms. Golden serves as the Company’s Chief Operating Officer. Ms. Golden also serves as KICO’s President and Chief Operating Officer. The Golden Employment Agreement became effective as of September 25, 2019 (amended on December 24, 2020) and now expires on December 31, 2022.</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Golden Employment Agreement, Ms. Golden is entitled to receive an annual salary of $500,000. The Golden Employment also provides for the grant on the effective date of a five year option for the purchase of 50,000 shares of the Company’s Common Stock pursuant to the 2014 Plan. The options granted vest in four equal installments, with the first installment vesting on the grant date, and the remaining installments vesting on the first, second, and third anniversaries of the grant date, subject to the terms of the stock option agreement between the Company and Ms. Golden. Pursuant to the Golden Employment Agreement as amended, in each of January 2021 and January 2022, Ms. Golden was granted 30,000 shares of restricted Common Stock pursuant to the 2014 Plan. Each such grant will vest in three equal installments on each of the first, second and third anniversaries of the grant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outbreak of the coronavirus, also known as “COVID-19”, has spread across the globe and is impacting worldwide economic activity. Conditions surrounding the coronavirus including the emergence of new strains continue to rapidly evolve and government authorities have implemented emergency measures to mitigate the spread of the virus. The outbreak and the related mitigation measures have had and will continue to have a material adverse impact on global economic conditions as well as on the Company’s business activities. Although the impact has been manageable thus far, the extent to which COVID-19 may impact the Company’s business activities will depend on future developments, such as the ultimate geographic spread of the disease, the</w:t>
      </w:r>
    </w:p>
    <w:p>
      <w:pPr>
        <w:sectPr>
          <w:pgSz w:w="11900" w:h="16838" w:orient="portrait"/>
          <w:cols w:equalWidth="0" w:num="1">
            <w:col w:w="11240"/>
          </w:cols>
          <w:pgMar w:left="320" w:top="125" w:right="339" w:bottom="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7"/>
          <w:szCs w:val="17"/>
          <w:color w:val="auto"/>
        </w:rPr>
        <w:t>duration of the outbreak, travel restrictions, business disruptions, and the effectiveness of actions taken in the United States and other countries to contain, prevent and treat the disease. These events are highly uncertain and, as such, the Company cannot determine their financial impact at this time. No adjustments have been made to the amounts reported in these condensed consolidated financial statements as a result of this matter.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Bonus Plan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2022 and year ended December 31, 2021 the Company did not accrue for, or pay, bonuses related to the employee bonus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401 (k) Plan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a salary reduction plan under Section 401(k) of the Internal Revenue Code (the “401(k) Plan”) for its qualified employees. The Company matches 100% of each participant’s contribution up to 4% of the participant’s eligible contribution. The Company incurred approximately $62,000 and $56,000 of expense for the three months ended March 31, 2022 and 2021, respectively, related to the 401(k) Plan, which is recorded in other operating expenses on the accompanying consolidated statements of operations and comprehensive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18, 2018, the Company adopted the Kingstone Companies, Inc. Deferred Compensation Plan (the “Deferred Compensation Plan”). The Deferred Compensation Plan is offered to a select group (“Participants”), consisting of management and highly compensated employees as a method of recognizing and retaining such Participants. The Deferred Compensation Plan provides for eligible Participants to elect to defer up to 75% of their base compensation and up to 100% of bonuses and other compensation and to have such deferred amounts deemed to be invested in specified investment options. In addition to the Participant deferrals, the Company may choose to make matching contributions to some or all of the Participants in the Deferred Compensation Plan to the extent the Participant did not receive the maximum matching or non-elective contributions permissible under the Company’s 401(k) Plan due to limitations under the Internal Revenue Code or the 401(k) Plan. Participants may elect to receive payment of their account balances in a single cash payment or in annual installments for a period of up to ten years. The deferred compensation liability as of March 31, 2022 and December 31, 2021 amounted to $947,184 and $907,914, respectively, and is recorded in accounts payable, accrued expenses and other liabilities in the accompanying condensed consolidated balance sheets. The Company did not make any voluntary contributions for the three months ended March 31, 2022 and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evaluated events that occurred subsequent to March 31, 2022 through the date these condensed consolidated financial statements were issued for matters that required disclosure or adjustment in these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Preliminary Non-binding Indication of Interest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4, 2022, the Company’s Board of Directors received a preliminary non-binding indication of interest from Griffin Highline Capital LLC with regard to an acquisition of all of the outstanding equity of the Company. See Item 2 “Management’s Discussion and Analysis of Financial Condition and Results of Operations” for further details.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 2022, the Company announced that its Board of Directors approved a quarterly dividend of $0.04 per share payable in cash on June 15, 2022 to stockholders of record as of the close of business on May 31, 2022 (see Note 8 – Stockholders’ Equity).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MANAGEMENT’S DISCUSSION AND ANALYSIS OF FINANCIAL CONDITION AND RESULTS OF OPERATIONS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offer property and casualty insurance products to individuals through our wholly owned subsidiary, Kingstone Insurance Company (“KICO”). KICO’s insureds are located primarily in downstate New York, consisting of New York City, Long Island and Westchester County, although we are actively writing business in New Jersey, Rhode Island, Connecticut and Massachusetts. We are licensed in the States of New York, New Jersey, Rhode Island, Connecticut, Massachusetts, Pennsylvania, Maine, and New Hampshire. For the three months ended March 31, 2022, 80.6% of KICO’s direct written premiums came from the New York policies.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through our subsidiary, Cosi Agency, Inc. (“Cosi”), a multi-state licensed general agency, we access alternative distribution channels. Cosi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and Cosi-related operating expenses are included in other operating expenses. Cosi-related operating expenses are not included in our stand-alone insurance underwriting business and, accordingly, Cosi’s expenses are not included in the calculation of our combined ratio as described below.</w:t>
      </w:r>
    </w:p>
    <w:p>
      <w:pPr>
        <w:spacing w:after="0" w:line="16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 and may also generate net realized and unrealized investment gains and losses on future investments.</w:t>
      </w:r>
    </w:p>
    <w:p>
      <w:pPr>
        <w:spacing w:after="0" w:line="17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w:t>
      </w:r>
    </w:p>
    <w:p>
      <w:pPr>
        <w:sectPr>
          <w:pgSz w:w="11900" w:h="16838" w:orient="portrait"/>
          <w:cols w:equalWidth="0" w:num="1">
            <w:col w:w="11240"/>
          </w:cols>
          <w:pgMar w:left="320" w:top="125" w:right="339" w:bottom="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18"/>
          <w:szCs w:val="18"/>
          <w:color w:val="auto"/>
        </w:rPr>
        <w:t>(“LAE”)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Other operating expenses include our corporate expenses as a holding company and operating expenses of Cosi. These corporate expenses include legal and auditing fees, executive employment costs, and other costs directly associated with being a public company. Cosi operating expenses primarily include employment, occupancy and consulting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lines include the following: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Personal lines: </w:t>
      </w:r>
      <w:r>
        <w:rPr>
          <w:rFonts w:ascii="Arial" w:cs="Arial" w:eastAsia="Arial" w:hAnsi="Arial"/>
          <w:sz w:val="18"/>
          <w:szCs w:val="18"/>
          <w:color w:val="auto"/>
        </w:rPr>
        <w:t>Our largest line of business is personal lines, consisting of homeowners, dwelling fire, cooperative/condominium, renters,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umbrella policies.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Through July 2019, we offered businessowners policies, which consist primarily of small business retail, service, and office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March 31, 2022 and December 31, 2021, there were no commercial liability policies in-force. As of March 31, 2022, these expired policies represent approximately 19.9% of loss and LAE reserves net of reinsurance recoverables. See discussion below under “Additional Financial Information”.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Livery physical damage: </w:t>
      </w:r>
      <w:r>
        <w:rPr>
          <w:rFonts w:ascii="Arial" w:cs="Arial" w:eastAsia="Arial" w:hAnsi="Arial"/>
          <w:sz w:val="18"/>
          <w:szCs w:val="18"/>
          <w:color w:val="auto"/>
        </w:rPr>
        <w:t>We write for-hire vehicle physical damage only policies for livery and car service vehicles and taxicabs. These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insure only the physical damage portion of insurance for such vehicles, with no liability coverage included.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We write canine legal liability policies and have a small participation in mandatory state joint underwriting associations.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 the following key measures in analyzing the results of our insurance underwriting business: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Net loss ratio: </w:t>
      </w:r>
      <w:r>
        <w:rPr>
          <w:rFonts w:ascii="Arial" w:cs="Arial" w:eastAsia="Arial" w:hAnsi="Arial"/>
          <w:sz w:val="18"/>
          <w:szCs w:val="18"/>
          <w:color w:val="auto"/>
        </w:rPr>
        <w:t>The net loss ratio is a measure of the underwriting profitability of an insurance company’s business. Expressed as a percentage,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the ratio of net losses and LAE incurred to net premiums earned.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administering its 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Net combined ratio: </w:t>
      </w:r>
      <w:r>
        <w:rPr>
          <w:rFonts w:ascii="Arial" w:cs="Arial" w:eastAsia="Arial" w:hAnsi="Arial"/>
          <w:sz w:val="18"/>
          <w:szCs w:val="18"/>
          <w:color w:val="auto"/>
        </w:rPr>
        <w:t>The net combined ratio is a measure of an insurance company’s overall underwriting profit. This is the sum of the net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net underwriting expense ratios. If the net combined ratio is at or above 100 percent, an insurance company cannot be profitable without investment income, and may not be profitable if investment income is insufficient.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Underwriting income: </w:t>
      </w:r>
      <w:r>
        <w:rPr>
          <w:rFonts w:ascii="Arial" w:cs="Arial" w:eastAsia="Arial" w:hAnsi="Arial"/>
          <w:sz w:val="18"/>
          <w:szCs w:val="18"/>
          <w:color w:val="auto"/>
        </w:rPr>
        <w:t>Underwriting income is net pre-tax income attributable to our insurance underwriting business before investment activity.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condensed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and the current economic environment, and other factors, in forming its estimates and judgments of certain amounts included in the condensed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 See the Critical Accounting Estimates section within Item 7 “Management’s Discussion and Analysis of Financial Condition and Results of Operations” of our Annual Report on Form 10-K for the year ended December 31, 2021 for further information.</w:t>
      </w:r>
    </w:p>
    <w:p>
      <w:pPr>
        <w:sectPr>
          <w:pgSz w:w="11900" w:h="16838" w:orient="portrait"/>
          <w:cols w:equalWidth="0" w:num="1">
            <w:col w:w="11240"/>
          </w:cols>
          <w:pgMar w:left="320" w:top="125" w:right="339" w:bottom="0" w:gutter="0" w:footer="0" w:header="0"/>
        </w:sectPr>
      </w:pPr>
    </w:p>
    <w:bookmarkStart w:id="25" w:name="page26"/>
    <w:bookmarkEnd w:id="25"/>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the most critical accounting policies relate to the reporting of reserves for loss and LAE, including losses that have occurred but have not been reported prior to the reporting date, amounts recoverable from third party reinsurers, deferred income taxes, the impairment of investment securities, and the valuation of stock-based compensation. See Note 2 to the consolidated financial statements in our Annual Report on Form 10-K for the year ended December 31, 2021.</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Non-binding Indication of Interest</w:t>
      </w:r>
    </w:p>
    <w:p>
      <w:pPr>
        <w:spacing w:after="0" w:line="229" w:lineRule="exact"/>
        <w:rPr>
          <w:sz w:val="20"/>
          <w:szCs w:val="20"/>
          <w:color w:val="auto"/>
        </w:rPr>
      </w:pPr>
    </w:p>
    <w:p>
      <w:pPr>
        <w:ind w:right="100" w:firstLine="652"/>
        <w:spacing w:after="0" w:line="255" w:lineRule="auto"/>
        <w:rPr>
          <w:sz w:val="20"/>
          <w:szCs w:val="20"/>
          <w:color w:val="auto"/>
        </w:rPr>
      </w:pPr>
      <w:r>
        <w:rPr>
          <w:rFonts w:ascii="Arial" w:cs="Arial" w:eastAsia="Arial" w:hAnsi="Arial"/>
          <w:sz w:val="18"/>
          <w:szCs w:val="18"/>
          <w:color w:val="auto"/>
        </w:rPr>
        <w:t>On May 4, 2022, our Board of Directors received a preliminary non-binding indication of interest from Griffin Highline Capital LLC (“Griffin Highline”) with regard to an acquisition of all of the outstanding equity of our company. TigerRisk Capital Markets &amp; Advisory has been engaged to advise our Board of Directors regarding strategic transactions. Our Board of Directors will carefully review the proposal to determine the course of action that it believes is in the best interest of our company and all of our stockholders. Due to the uncertainty as to the consummation of a transaction of the type sought by Griffin Highline, nothing in this Quarterly Report, including the financial statements comprising a portion hereof, include any adjustments to reflect the possible effects of the consummation of such a transaction.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8"/>
              </w:rPr>
              <w:t>Three months ended March 31,</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 written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42,984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38,129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Assumed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rPr>
              <w:t>Ceded written premiums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Ceded to quota share treaties (1)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7,252.2%</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Ceded to excess of loss treaties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857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Ceded to catastrophe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Total ceded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10,736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Net written premiums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24,918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30,799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(5,881)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Change in unearned premiums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Ceded to quota share treaties (1)</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(638)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net unearned premiums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Premiums earned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Direct and assumed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45,378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41,918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3,460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Ceded to reinsurance treaties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(18,705)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(11,376)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(7,916)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Ceding commission revenue (1)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4,681</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4,682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Net (losses) gains on investments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(4,398)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2,960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(7,358)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28,551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(10,952)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w w:val="95"/>
              </w:rPr>
              <w:t>Loss and loss adjustment expenses excluding the effect of catastrophes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26,509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23,156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3,353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Losses from catastrophes (2)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2,885.6%</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Total direct and assumed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9,961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Ceded 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Loss and loss adjustment expenses excluding the effect of catastrophes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Losses from catastrophes (2)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3,818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ceded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9,581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1,162.7%</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w w:val="95"/>
              </w:rPr>
              <w:t>Loss and loss adjustment expenses excluding the effect of catastrophes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19,922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22,332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(2,410)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Losses from catastrophes (2)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1,218.3%</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Net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Commission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8,351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8,223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1,352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(470)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2"/>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26" w:name="page27"/>
    <w:bookmarkEnd w:id="26"/>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196"/>
        </w:trPr>
        <w:tc>
          <w:tcPr>
            <w:tcW w:w="59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taxes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(11,287)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(2,978.1)%</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Income tax benefit</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(2,468)</w:t>
            </w:r>
          </w:p>
        </w:tc>
        <w:tc>
          <w:tcPr>
            <w:tcW w:w="3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(2,400)</w:t>
            </w:r>
          </w:p>
        </w:tc>
        <w:tc>
          <w:tcPr>
            <w:tcW w:w="1140" w:type="dxa"/>
            <w:vAlign w:val="bottom"/>
          </w:tcPr>
          <w:p>
            <w:pPr>
              <w:jc w:val="right"/>
              <w:spacing w:after="0"/>
              <w:rPr>
                <w:sz w:val="20"/>
                <w:szCs w:val="20"/>
                <w:color w:val="auto"/>
              </w:rPr>
            </w:pPr>
            <w:r>
              <w:rPr>
                <w:rFonts w:ascii="Arial" w:cs="Arial" w:eastAsia="Arial" w:hAnsi="Arial"/>
                <w:sz w:val="18"/>
                <w:szCs w:val="18"/>
                <w:color w:val="auto"/>
              </w:rPr>
              <w:t>(3,529.4)%</w:t>
            </w:r>
          </w:p>
        </w:tc>
      </w:tr>
      <w:tr>
        <w:trPr>
          <w:trHeight w:val="20"/>
        </w:trPr>
        <w:tc>
          <w:tcPr>
            <w:tcW w:w="5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(9,198)</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(8,887)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(2,857.6)%</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(Columns in the table above may not sum to totals due to rounding)</w:t>
      </w:r>
    </w:p>
    <w:p>
      <w:pPr>
        <w:spacing w:after="0" w:line="225" w:lineRule="exact"/>
        <w:rPr>
          <w:sz w:val="20"/>
          <w:szCs w:val="20"/>
          <w:color w:val="auto"/>
        </w:rPr>
      </w:pPr>
    </w:p>
    <w:p>
      <w:pPr>
        <w:ind w:left="900" w:hanging="447"/>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December 31, 2021, we entered into a 30% quota share treaty.</w:t>
      </w:r>
    </w:p>
    <w:p>
      <w:pPr>
        <w:spacing w:after="0" w:line="23" w:lineRule="exact"/>
        <w:rPr>
          <w:rFonts w:ascii="Arial" w:cs="Arial" w:eastAsia="Arial" w:hAnsi="Arial"/>
          <w:sz w:val="18"/>
          <w:szCs w:val="18"/>
          <w:color w:val="auto"/>
        </w:rPr>
      </w:pPr>
    </w:p>
    <w:p>
      <w:pPr>
        <w:jc w:val="both"/>
        <w:ind w:left="900" w:hanging="447"/>
        <w:spacing w:after="0" w:line="253"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three months ended March 31, 2022 and 2021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3"/>
        </w:trPr>
        <w:tc>
          <w:tcPr>
            <w:tcW w:w="1320" w:type="dxa"/>
            <w:vAlign w:val="bottom"/>
            <w:tcBorders>
              <w:top w:val="single" w:sz="8" w:color="0000EE"/>
            </w:tcBorders>
          </w:tcPr>
          <w:p>
            <w:pPr>
              <w:spacing w:after="0"/>
              <w:rPr>
                <w:sz w:val="24"/>
                <w:szCs w:val="24"/>
                <w:color w:val="auto"/>
              </w:rPr>
            </w:pPr>
          </w:p>
        </w:tc>
        <w:tc>
          <w:tcPr>
            <w:tcW w:w="45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w w:val="90"/>
              </w:rPr>
              <w:t>Three months ended March 31,</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1"/>
        </w:trPr>
        <w:tc>
          <w:tcPr>
            <w:tcW w:w="13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8"/>
              </w:rPr>
              <w:t>Percentage</w:t>
            </w:r>
          </w:p>
        </w:tc>
        <w:tc>
          <w:tcPr>
            <w:tcW w:w="1100" w:type="dxa"/>
            <w:vAlign w:val="bottom"/>
          </w:tcPr>
          <w:p>
            <w:pPr>
              <w:ind w:left="260"/>
              <w:spacing w:after="0" w:line="191"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6"/>
                <w:szCs w:val="16"/>
                <w:color w:val="auto"/>
              </w:rPr>
            </w:pPr>
          </w:p>
        </w:tc>
      </w:tr>
      <w:tr>
        <w:trPr>
          <w:trHeight w:val="234"/>
        </w:trPr>
        <w:tc>
          <w:tcPr>
            <w:tcW w:w="13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Point Change</w:t>
            </w:r>
          </w:p>
        </w:tc>
        <w:tc>
          <w:tcPr>
            <w:tcW w:w="13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r>
      <w:tr>
        <w:trPr>
          <w:trHeight w:val="412"/>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Key ratios:</w:t>
            </w: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ratio</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Net underwriting expense ratio</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42.0%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1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combined ratio</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r>
      <w:tr>
        <w:trPr>
          <w:trHeight w:val="20"/>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Direct written premiums during the three months ended March 31, 2022 (“Three Months 2022”) were $42,984,000 compared to $38,129,000 during the three months ended March 31, 2021 (“Three Months 2021”). The increase of $4,855,000, or 12.7%, was primarily due an increase in premiums from our personal lines business. Direct written premiums from our personal lines business for Three Months 2022 were $40,163,000, an increase of $4,005,000, or 11.1%, from $36,158,000 in Three Months 2021. The increase in premiums from our personal lines business was primarily due to rate increases, and, to a lesser extent, an increase in policies in force. Direct written premiums from our livery physical damage business for Three Months 2022 were $2,773,000, an increase of $869,000, or 45.7%, from $1,904,000 in Three Months 2021. The increase in livery physical damage direct written premiums was due to the declining effect of the COVID-19 pandemic in our geographic area.</w:t>
      </w:r>
    </w:p>
    <w:p>
      <w:pPr>
        <w:spacing w:after="0" w:line="177" w:lineRule="exact"/>
        <w:rPr>
          <w:sz w:val="20"/>
          <w:szCs w:val="20"/>
          <w:color w:val="auto"/>
        </w:rPr>
      </w:pPr>
    </w:p>
    <w:p>
      <w:pPr>
        <w:jc w:val="both"/>
        <w:ind w:firstLine="936"/>
        <w:spacing w:after="0" w:line="279" w:lineRule="auto"/>
        <w:rPr>
          <w:sz w:val="20"/>
          <w:szCs w:val="20"/>
          <w:color w:val="auto"/>
        </w:rPr>
      </w:pPr>
      <w:r>
        <w:rPr>
          <w:rFonts w:ascii="Arial" w:cs="Arial" w:eastAsia="Arial" w:hAnsi="Arial"/>
          <w:sz w:val="17"/>
          <w:szCs w:val="17"/>
          <w:color w:val="auto"/>
        </w:rPr>
        <w:t>Beginning in 2017 we started writing homeowners policies in New Jersey. Through 2019 we expanded to Rhode Island, Massachusetts and Connecticut. We refer to our New York business as our “Core” business and the business outside of New York as our “Expansion” business. Direct written premiums from our Core business were $34,648,000 in Three Months 2022 compared to $30,917,000 in Three Months 2021. Direct written premiums from our Expansion business were $8,336,000 in Three Months 2022 compared to $7,212,000 in Three Months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December 31, 2021, we entered into a quota share reinsurance treaty for our personal lines business covering the period from December 31, 2021 through January 1, 2023 (“2021/2023 Treaty”). There was no quota share reinsurance treaty in effect in Three Months 2021. Net written premiums decreased $5,881,000, or 19.1%, to $24,918,000 in Three Months 2022 from $30,799,000 in Three Months 2021. Net written premiums include direct and assumed premiums, less the amount of written premiums ceded under our reinsurance treaties (quota share, excess of loss, and catastrophe). In Three Months 2022, our premiums ceded under quota share treaties increased by $10,008,000 in comparison to ceded premiums in Three Months 2021 (see table above). Our personal lines business was subject to the 2021/2023 Treaty in Three Months 2022, compared to no personal lines quota share treaty in Three Months 2021.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 of loss reinsurance treaties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increase in written premiums will increase the premiums ceded under our excess of loss treaties. In Three Months 2022, our ceded excess of loss reinsurance premiums increased by $333,000 over the comparable ceded premiums for Three Months 2021. The increase was due to an increase in subject premiums and additional coverage obtained. Effective January 1, 2022, we entered into an underlying excess of loss reinsurance treaty covering the period from January 1, 2022 through January 1, 2023. The treaty provides 50% reinsurance coverage for losses of $400,000 in excess of $600,000. Losses from named storms are excluded from the treaty.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Catastrophe reinsurance treaties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Three Months 2022, our premiums ceded under catastrophe treaties increased by $395,000 over the comparable ceded premiums in Three Months 2021. Effective July 1, 2020, and continuing through June 30, 2021, our ceded catastrophe premiums were paid based on the total insured value of our risks calculated as of August 31, 2020. Effective July 1, 2021, and continuing through June 30, 2022, our ceded catastrophe premiums will be paid based on the total insured value of our risks as of August 31, 2021.</w:t>
      </w:r>
    </w:p>
    <w:p>
      <w:pPr>
        <w:sectPr>
          <w:pgSz w:w="11900" w:h="16915" w:orient="portrait"/>
          <w:cols w:equalWidth="0" w:num="1">
            <w:col w:w="11240"/>
          </w:cols>
          <w:pgMar w:left="320" w:top="125" w:right="339" w:bottom="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premiums earned decreased $7,916,000, or 22.9%, to $26,673,000 in Three Months 2022 from $34,589,000 in Three Months 2021. The decrease was due to less retention in Three Months 2022 as a result of the inception of the 2021/2023 Treaty on December 31, 2021. The decrease resulting from the 2021/2023 Treaty in Three Months 2022 was partially offset by an increase in direct written premium.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8"/>
              </w:rPr>
              <w:t>Three months ended March 31,</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9,991.1%</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Contingent ceding commissions earned</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Total ceding commission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4,681</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4,682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07"/>
        <w:spacing w:after="0" w:line="263" w:lineRule="auto"/>
        <w:rPr>
          <w:sz w:val="20"/>
          <w:szCs w:val="20"/>
          <w:color w:val="auto"/>
        </w:rPr>
      </w:pPr>
      <w:r>
        <w:rPr>
          <w:rFonts w:ascii="Arial" w:cs="Arial" w:eastAsia="Arial" w:hAnsi="Arial"/>
          <w:sz w:val="18"/>
          <w:szCs w:val="18"/>
          <w:color w:val="auto"/>
        </w:rPr>
        <w:t>Ceding commission revenue was $4,681,000 in Three Months 2022 compared to $(1,000) in Three Months 2021. The increase of $4,682,000 was due to an increase in both provisional ceding commissions earned and contingent ceding commissions earned. See below for a discussion of provisional ceding commissions earned and contingent ceding commissions earned.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Three Months 2022 we earned provisional ceding commissions from personal lines earned premiums ceded under the 2021/2023 Treaty which was effective as of December 31, 2021. There was no personal lines quota share in effect in Three Months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structure of the 2021/2023 Treaty calls for a fixed provisional ceding commission with no opportunity to earn additional contingent ceding commissions. The amount of contingent ceding commissions we are eligible to receive under our prior years’ quota share treaties is subject to change based on losses incurred related to claims with accident dates before July 1, 2017. Under our prior years’ quota share treaties, we received a contingent ceding commission based on a sliding scale in relation to the losses incurred under our quota share treaties. The lower the ceded loss ratio, the more contingent commission we received.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investment income was $1,359,000 in Three Months 2022 compared to $1,783,000 in Three Months 2021, a decrease of $424,000, or 23.8%.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average yield on invested assets was 3.39% as of March 31, 2022 compared to 3.52% as of March 31, 2021.</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and invested assets were $203,888,000 as of March 31, 2022 compared to $220,726,000 as of March 31, 2021 The $16,838,000 decrease in cash and invested assets was primarily attributable to cash paid to reinsurers at the inception of the 2021/2023 Treaty, losses paid in connection with catastrophe losses incurred in 2021 and unrealized losses on our investment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Gains and Losses on Investments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losses on investments were $4,398,000 in Three Months 2022 compared to net gains of $2,960,000 in Three Months 2021. Unrealized losses on our equity securities and other investments in Three Months 2022 were $4,476,000, compared to net gains of $1,833,000 in Three Months 2021. Realized gains on sales of investments were $78,000 in Three Months 2022 compared to $1,127,000 in Three Months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income was $236,000 in Three Months 2022 compared to $172,000 in Three Months 2021, an increase of $64,000, or 37.2%.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and LAE was $22,941,000 for Three Months 2022 compared to $22,561,000 for Three Months 2021. The net loss ratio was 86.0% in Three Months 2022 compared to 65.2% in Three Months 2021, an increase of 20.8 percentage points.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graph summarizes the changes in the components of net loss ratio for the periods indicated, along with the comparable components excluding commercial lines business:</w:t>
      </w:r>
    </w:p>
    <w:p>
      <w:pPr>
        <w:sectPr>
          <w:pgSz w:w="11900" w:h="16838" w:orient="portrait"/>
          <w:cols w:equalWidth="0" w:num="1">
            <w:col w:w="11240"/>
          </w:cols>
          <w:pgMar w:left="320" w:top="341" w:right="339" w:bottom="496"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1142365</wp:posOffset>
            </wp:positionH>
            <wp:positionV relativeFrom="page">
              <wp:posOffset>88900</wp:posOffset>
            </wp:positionV>
            <wp:extent cx="5271770" cy="3943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527177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640"/>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Three Months 2022, the loss ratio was higher than Three Months 2021 mainly due to a higher frequency of water damage property claims related to winter weather.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impact of weather-related losses for Three Months 2022, both catastrophe and non-catastrophe, were higher than a typical year. There were four catastrophe events this quarter, two of which were classified as winter events. Net catastrophe losses in Three Months 2022 were $3,019,000, which contributed 11.3 points to the loss ratio. As a comparison, catastrophe events had a loss ratio impact of only 0.7 point for Three Months 2021 due to a very mild winter season last year. The underlying loss ratio (excluding the impact of catastrophes and prior year development) was 74.7% in Three Months 2022, compared to 64.6% in Three Months 2021, an increase of 10.1 points. This was also driven by many winter-related water damage claims resulting from freezing temperature.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Prior year development continued to be stable for Three Months 2022. There was an overall favorable development of $4,000, which had marginal impact on the loss ratio.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table below under “Additional Financial Information” summarizing net loss ratios by line of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Commission expense was $8,351,000 in Three Months Ended 2022 or 18.4% of direct earned premiums. Commission expense was $8,223,000 in Three Months 2021 or 19.6% of direct earned premiums. The increase of $128,000 was primarily due to an increase in direct earned premiums resulting in greater commission expenses, offset by a decrease in estimated contingent commissions due to the metrics used to calculate the year-to-date amount through March 31, 2022. Commission expense will decline as the percentage rate paid on new policies bound under our new product offering called “Select”, which went live during Three Months 2022, is lower than the commission rate paid in our legacy product offering.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225" w:lineRule="exact"/>
        <w:rPr>
          <w:sz w:val="20"/>
          <w:szCs w:val="20"/>
          <w:color w:val="auto"/>
        </w:rPr>
      </w:pPr>
    </w:p>
    <w:p>
      <w:pPr>
        <w:ind w:right="40" w:firstLine="607"/>
        <w:spacing w:after="0" w:line="263" w:lineRule="auto"/>
        <w:rPr>
          <w:sz w:val="20"/>
          <w:szCs w:val="20"/>
          <w:color w:val="auto"/>
        </w:rPr>
      </w:pPr>
      <w:r>
        <w:rPr>
          <w:rFonts w:ascii="Arial" w:cs="Arial" w:eastAsia="Arial" w:hAnsi="Arial"/>
          <w:sz w:val="18"/>
          <w:szCs w:val="18"/>
          <w:color w:val="auto"/>
        </w:rPr>
        <w:t>Other underwriting expenses were $6,816,000 in Three Months 2022 compared to $6,467,000 in Three Months 2021. The increase of $349,000, or 5.4%, was primarily due increases in expenses related to our growth in direct earned premiums and our continuing initiative to reduce expenses with the use of investments in technology.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largest single component of other underwriting expenses is salaries and employment costs, with costs of $2,549,000 in Three Months 2022 compared to $2,539,000 in Three Months 2021. The modest increase of $10,000, or 0.4%, compares favorably with the 12.7% increase in direct written premiums.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net underwriting expense ratio in Three Months 2022 was 38.5% compared to 42.0% in Three Months 2021. The following table shows the individual components of our net underwriting expense ratio for the periods indicated:</w:t>
      </w:r>
    </w:p>
    <w:p>
      <w:pPr>
        <w:spacing w:after="0" w:line="166" w:lineRule="exact"/>
        <w:rPr>
          <w:sz w:val="20"/>
          <w:szCs w:val="20"/>
          <w:color w:val="auto"/>
        </w:rPr>
      </w:pPr>
    </w:p>
    <w:tbl>
      <w:tblPr>
        <w:tblLayout w:type="fixed"/>
        <w:tblInd w:w="7280" w:type="dxa"/>
        <w:tblCellMar>
          <w:top w:w="0" w:type="dxa"/>
          <w:left w:w="0" w:type="dxa"/>
          <w:bottom w:w="0" w:type="dxa"/>
          <w:right w:w="0" w:type="dxa"/>
        </w:tblCellMar>
      </w:tblPr>
      <w:tr>
        <w:trPr>
          <w:trHeight w:val="216"/>
        </w:trPr>
        <w:tc>
          <w:tcPr>
            <w:tcW w:w="2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7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710"/>
              <w:spacing w:after="0"/>
              <w:rPr>
                <w:sz w:val="20"/>
                <w:szCs w:val="20"/>
                <w:color w:val="auto"/>
              </w:rPr>
            </w:pPr>
            <w:r>
              <w:rPr>
                <w:rFonts w:ascii="Arial" w:cs="Arial" w:eastAsia="Arial" w:hAnsi="Arial"/>
                <w:sz w:val="18"/>
                <w:szCs w:val="18"/>
                <w:b w:val="1"/>
                <w:bCs w:val="1"/>
                <w:color w:val="auto"/>
                <w:w w:val="93"/>
              </w:rPr>
              <w:t>March 31,</w:t>
            </w:r>
          </w:p>
        </w:tc>
        <w:tc>
          <w:tcPr>
            <w:tcW w:w="2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09"/>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Point Change</w:t>
            </w:r>
          </w:p>
        </w:tc>
      </w:tr>
    </w:tbl>
    <w:p>
      <w:pPr>
        <w:sectPr>
          <w:pgSz w:w="11900" w:h="16838" w:orient="portrait"/>
          <w:cols w:equalWidth="0" w:num="1">
            <w:col w:w="11240"/>
          </w:cols>
          <w:pgMar w:left="320" w:top="1440" w:right="339" w:bottom="0" w:gutter="0" w:footer="0" w:header="0"/>
        </w:sectPr>
      </w:pPr>
    </w:p>
    <w:bookmarkStart w:id="29" w:name="page30"/>
    <w:bookmarkEnd w:id="29"/>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Other underwriting expenses</w:t>
            </w:r>
          </w:p>
        </w:tc>
        <w:tc>
          <w:tcPr>
            <w:tcW w:w="2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Employment costs</w:t>
            </w:r>
          </w:p>
        </w:tc>
        <w:tc>
          <w:tcPr>
            <w:tcW w:w="4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4420" w:type="dxa"/>
            <w:vAlign w:val="bottom"/>
            <w:gridSpan w:val="2"/>
          </w:tcPr>
          <w:p>
            <w:pPr>
              <w:ind w:left="420"/>
              <w:spacing w:after="0"/>
              <w:rPr>
                <w:sz w:val="20"/>
                <w:szCs w:val="20"/>
                <w:color w:val="auto"/>
              </w:rPr>
            </w:pPr>
            <w:r>
              <w:rPr>
                <w:rFonts w:ascii="Arial" w:cs="Arial" w:eastAsia="Arial" w:hAnsi="Arial"/>
                <w:sz w:val="18"/>
                <w:szCs w:val="18"/>
                <w:color w:val="auto"/>
              </w:rPr>
              <w:t>Underwriting fees (inspections/surveys)</w:t>
            </w:r>
          </w:p>
        </w:tc>
        <w:tc>
          <w:tcPr>
            <w:tcW w:w="4220" w:type="dxa"/>
            <w:vAlign w:val="bottom"/>
            <w:gridSpan w:val="3"/>
          </w:tcPr>
          <w:p>
            <w:pPr>
              <w:jc w:val="right"/>
              <w:ind w:right="260"/>
              <w:spacing w:after="0"/>
              <w:rPr>
                <w:sz w:val="20"/>
                <w:szCs w:val="20"/>
                <w:color w:val="auto"/>
              </w:rPr>
            </w:pPr>
            <w:r>
              <w:rPr>
                <w:rFonts w:ascii="Arial" w:cs="Arial" w:eastAsia="Arial" w:hAnsi="Arial"/>
                <w:sz w:val="18"/>
                <w:szCs w:val="18"/>
                <w:color w:val="auto"/>
              </w:rPr>
              <w:t>1.9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IT expenses</w:t>
            </w:r>
          </w:p>
        </w:tc>
        <w:tc>
          <w:tcPr>
            <w:tcW w:w="4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4420" w:type="dxa"/>
            <w:vAlign w:val="bottom"/>
            <w:gridSpan w:val="2"/>
          </w:tcPr>
          <w:p>
            <w:pPr>
              <w:ind w:left="420"/>
              <w:spacing w:after="0"/>
              <w:rPr>
                <w:sz w:val="20"/>
                <w:szCs w:val="20"/>
                <w:color w:val="auto"/>
              </w:rPr>
            </w:pPr>
            <w:r>
              <w:rPr>
                <w:rFonts w:ascii="Arial" w:cs="Arial" w:eastAsia="Arial" w:hAnsi="Arial"/>
                <w:sz w:val="18"/>
                <w:szCs w:val="18"/>
                <w:color w:val="auto"/>
              </w:rPr>
              <w:t>Profesional fees</w:t>
            </w:r>
          </w:p>
        </w:tc>
        <w:tc>
          <w:tcPr>
            <w:tcW w:w="4220" w:type="dxa"/>
            <w:vAlign w:val="bottom"/>
            <w:gridSpan w:val="3"/>
          </w:tcPr>
          <w:p>
            <w:pPr>
              <w:jc w:val="right"/>
              <w:ind w:right="260"/>
              <w:spacing w:after="0"/>
              <w:rPr>
                <w:sz w:val="20"/>
                <w:szCs w:val="20"/>
                <w:color w:val="auto"/>
              </w:rPr>
            </w:pPr>
            <w:r>
              <w:rPr>
                <w:rFonts w:ascii="Arial" w:cs="Arial" w:eastAsia="Arial" w:hAnsi="Arial"/>
                <w:sz w:val="18"/>
                <w:szCs w:val="18"/>
                <w:color w:val="auto"/>
              </w:rPr>
              <w:t>1.9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44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Other expenses</w:t>
            </w:r>
          </w:p>
        </w:tc>
        <w:tc>
          <w:tcPr>
            <w:tcW w:w="28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420" w:type="dxa"/>
            <w:vAlign w:val="bottom"/>
            <w:gridSpan w:val="2"/>
          </w:tcPr>
          <w:p>
            <w:pPr>
              <w:ind w:left="220"/>
              <w:spacing w:after="0"/>
              <w:rPr>
                <w:sz w:val="20"/>
                <w:szCs w:val="20"/>
                <w:color w:val="auto"/>
              </w:rPr>
            </w:pPr>
            <w:r>
              <w:rPr>
                <w:rFonts w:ascii="Arial" w:cs="Arial" w:eastAsia="Arial" w:hAnsi="Arial"/>
                <w:sz w:val="18"/>
                <w:szCs w:val="18"/>
                <w:color w:val="auto"/>
              </w:rPr>
              <w:t>Total other underwriting expenses</w:t>
            </w:r>
          </w:p>
        </w:tc>
        <w:tc>
          <w:tcPr>
            <w:tcW w:w="4220" w:type="dxa"/>
            <w:vAlign w:val="bottom"/>
            <w:gridSpan w:val="3"/>
          </w:tcPr>
          <w:p>
            <w:pPr>
              <w:jc w:val="right"/>
              <w:ind w:right="260"/>
              <w:spacing w:after="0"/>
              <w:rPr>
                <w:sz w:val="20"/>
                <w:szCs w:val="20"/>
                <w:color w:val="auto"/>
              </w:rPr>
            </w:pPr>
            <w:r>
              <w:rPr>
                <w:rFonts w:ascii="Arial" w:cs="Arial" w:eastAsia="Arial" w:hAnsi="Arial"/>
                <w:sz w:val="18"/>
                <w:szCs w:val="18"/>
                <w:color w:val="auto"/>
              </w:rPr>
              <w:t>25.6</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18.7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196"/>
        </w:trPr>
        <w:tc>
          <w:tcPr>
            <w:tcW w:w="132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Commission expense</w:t>
            </w:r>
          </w:p>
        </w:tc>
        <w:tc>
          <w:tcPr>
            <w:tcW w:w="4220" w:type="dxa"/>
            <w:vAlign w:val="bottom"/>
            <w:gridSpan w:val="3"/>
          </w:tcPr>
          <w:p>
            <w:pPr>
              <w:jc w:val="right"/>
              <w:ind w:right="260"/>
              <w:spacing w:after="0"/>
              <w:rPr>
                <w:sz w:val="20"/>
                <w:szCs w:val="20"/>
                <w:color w:val="auto"/>
              </w:rPr>
            </w:pPr>
            <w:r>
              <w:rPr>
                <w:rFonts w:ascii="Arial" w:cs="Arial" w:eastAsia="Arial" w:hAnsi="Arial"/>
                <w:sz w:val="18"/>
                <w:szCs w:val="18"/>
                <w:color w:val="auto"/>
              </w:rPr>
              <w:t>31.3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23.8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196"/>
        </w:trPr>
        <w:tc>
          <w:tcPr>
            <w:tcW w:w="132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Ceding commission revenue</w:t>
            </w:r>
          </w:p>
        </w:tc>
        <w:tc>
          <w:tcPr>
            <w:tcW w:w="2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Provisional</w:t>
            </w:r>
          </w:p>
        </w:tc>
        <w:tc>
          <w:tcPr>
            <w:tcW w:w="4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r>
      <w:tr>
        <w:trPr>
          <w:trHeight w:val="216"/>
        </w:trPr>
        <w:tc>
          <w:tcPr>
            <w:tcW w:w="4420" w:type="dxa"/>
            <w:vAlign w:val="bottom"/>
            <w:gridSpan w:val="2"/>
          </w:tcPr>
          <w:p>
            <w:pPr>
              <w:ind w:left="420"/>
              <w:spacing w:after="0"/>
              <w:rPr>
                <w:sz w:val="20"/>
                <w:szCs w:val="20"/>
                <w:color w:val="auto"/>
              </w:rPr>
            </w:pPr>
            <w:r>
              <w:rPr>
                <w:rFonts w:ascii="Arial" w:cs="Arial" w:eastAsia="Arial" w:hAnsi="Arial"/>
                <w:sz w:val="18"/>
                <w:szCs w:val="18"/>
                <w:color w:val="auto"/>
              </w:rPr>
              <w:t>Contingent</w:t>
            </w:r>
          </w:p>
        </w:tc>
        <w:tc>
          <w:tcPr>
            <w:tcW w:w="28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0"/>
        </w:trPr>
        <w:tc>
          <w:tcPr>
            <w:tcW w:w="13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ceding commission revenue</w:t>
            </w:r>
          </w:p>
        </w:tc>
        <w:tc>
          <w:tcPr>
            <w:tcW w:w="28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r>
      <w:tr>
        <w:trPr>
          <w:trHeight w:val="196"/>
        </w:trPr>
        <w:tc>
          <w:tcPr>
            <w:tcW w:w="1320" w:type="dxa"/>
            <w:vAlign w:val="bottom"/>
            <w:tcBorders>
              <w:top w:val="single" w:sz="8" w:color="CCEEFF"/>
            </w:tcBorders>
          </w:tcPr>
          <w:p>
            <w:pPr>
              <w:spacing w:after="0"/>
              <w:rPr>
                <w:sz w:val="17"/>
                <w:szCs w:val="17"/>
                <w:color w:val="auto"/>
              </w:rPr>
            </w:pPr>
          </w:p>
        </w:tc>
        <w:tc>
          <w:tcPr>
            <w:tcW w:w="3100" w:type="dxa"/>
            <w:vAlign w:val="bottom"/>
            <w:tcBorders>
              <w:top w:val="single" w:sz="8" w:color="CCEEFF"/>
            </w:tcBorders>
          </w:tcPr>
          <w:p>
            <w:pPr>
              <w:spacing w:after="0"/>
              <w:rPr>
                <w:sz w:val="17"/>
                <w:szCs w:val="17"/>
                <w:color w:val="auto"/>
              </w:rPr>
            </w:pPr>
          </w:p>
        </w:tc>
        <w:tc>
          <w:tcPr>
            <w:tcW w:w="286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4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196"/>
        </w:trPr>
        <w:tc>
          <w:tcPr>
            <w:tcW w:w="1320" w:type="dxa"/>
            <w:vAlign w:val="bottom"/>
            <w:tcBorders>
              <w:top w:val="single" w:sz="8" w:color="CCEEFF"/>
            </w:tcBorders>
          </w:tcPr>
          <w:p>
            <w:pPr>
              <w:spacing w:after="0"/>
              <w:rPr>
                <w:sz w:val="17"/>
                <w:szCs w:val="17"/>
                <w:color w:val="auto"/>
              </w:rPr>
            </w:pPr>
          </w:p>
        </w:tc>
        <w:tc>
          <w:tcPr>
            <w:tcW w:w="3100" w:type="dxa"/>
            <w:vAlign w:val="bottom"/>
            <w:tcBorders>
              <w:top w:val="single" w:sz="8" w:color="CCEEFF"/>
            </w:tcBorders>
          </w:tcPr>
          <w:p>
            <w:pPr>
              <w:spacing w:after="0"/>
              <w:rPr>
                <w:sz w:val="17"/>
                <w:szCs w:val="17"/>
                <w:color w:val="auto"/>
              </w:rPr>
            </w:pPr>
          </w:p>
        </w:tc>
        <w:tc>
          <w:tcPr>
            <w:tcW w:w="286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underwriting expense ratio</w:t>
            </w:r>
          </w:p>
        </w:tc>
        <w:tc>
          <w:tcPr>
            <w:tcW w:w="4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628"/>
        </w:trPr>
        <w:tc>
          <w:tcPr>
            <w:tcW w:w="1320" w:type="dxa"/>
            <w:vAlign w:val="bottom"/>
            <w:tcBorders>
              <w:top w:val="single" w:sz="8" w:color="CCEEFF"/>
              <w:bottom w:val="single" w:sz="8" w:color="auto"/>
            </w:tcBorders>
          </w:tcPr>
          <w:p>
            <w:pPr>
              <w:spacing w:after="0"/>
              <w:rPr>
                <w:sz w:val="24"/>
                <w:szCs w:val="24"/>
                <w:color w:val="auto"/>
              </w:rPr>
            </w:pPr>
          </w:p>
        </w:tc>
        <w:tc>
          <w:tcPr>
            <w:tcW w:w="3100" w:type="dxa"/>
            <w:vAlign w:val="bottom"/>
            <w:tcBorders>
              <w:top w:val="single" w:sz="8" w:color="CCEEFF"/>
              <w:bottom w:val="single" w:sz="8" w:color="auto"/>
            </w:tcBorders>
          </w:tcPr>
          <w:p>
            <w:pPr>
              <w:spacing w:after="0"/>
              <w:rPr>
                <w:sz w:val="24"/>
                <w:szCs w:val="24"/>
                <w:color w:val="auto"/>
              </w:rPr>
            </w:pPr>
          </w:p>
        </w:tc>
        <w:tc>
          <w:tcPr>
            <w:tcW w:w="2860" w:type="dxa"/>
            <w:vAlign w:val="bottom"/>
            <w:tcBorders>
              <w:top w:val="single" w:sz="8" w:color="CCEEFF"/>
              <w:bottom w:val="single" w:sz="8" w:color="auto"/>
            </w:tcBorders>
          </w:tcPr>
          <w:p>
            <w:pPr>
              <w:jc w:val="right"/>
              <w:ind w:right="1470"/>
              <w:spacing w:after="0"/>
              <w:rPr>
                <w:sz w:val="20"/>
                <w:szCs w:val="20"/>
                <w:color w:val="auto"/>
              </w:rPr>
            </w:pPr>
            <w:r>
              <w:rPr>
                <w:rFonts w:ascii="Arial" w:cs="Arial" w:eastAsia="Arial" w:hAnsi="Arial"/>
                <w:sz w:val="18"/>
                <w:szCs w:val="18"/>
                <w:color w:val="auto"/>
              </w:rPr>
              <w:t>46</w:t>
            </w:r>
          </w:p>
        </w:tc>
        <w:tc>
          <w:tcPr>
            <w:tcW w:w="1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2"/>
        </w:trPr>
        <w:tc>
          <w:tcPr>
            <w:tcW w:w="132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3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ind w:right="20" w:firstLine="607"/>
        <w:spacing w:after="0" w:line="259" w:lineRule="auto"/>
        <w:rPr>
          <w:sz w:val="20"/>
          <w:szCs w:val="20"/>
          <w:color w:val="auto"/>
        </w:rPr>
      </w:pPr>
      <w:r>
        <w:rPr>
          <w:rFonts w:ascii="Arial" w:cs="Arial" w:eastAsia="Arial" w:hAnsi="Arial"/>
          <w:sz w:val="18"/>
          <w:szCs w:val="18"/>
          <w:color w:val="auto"/>
        </w:rPr>
        <w:t>The overall 17.5 percentage point increase in the benefit from ceding commissions in Three Months 2022 was driven by the increase in provisional ceding commission revenue due to the inception of the 2021/2023 Treaty on December 31, 2021. The components of our net underwriting expense ratio related to other underwriting expenses and commissions increased due to less retention, given the increase of ceded premiums after the inception of the 2021/2023 Treaty.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Other operating expenses, related to the expenses of our holding company and Cosi, were $882,000 for Three Months 2022 compared to $1,352,000 for Three Months 2021. The following table shows a breakdown of the significant components of other operating expenses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vMerge w:val="restart"/>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Percent</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94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Employement costs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60"/>
              <w:spacing w:after="0"/>
              <w:rPr>
                <w:sz w:val="20"/>
                <w:szCs w:val="20"/>
                <w:color w:val="auto"/>
              </w:rPr>
            </w:pPr>
            <w:r>
              <w:rPr>
                <w:rFonts w:ascii="Arial" w:cs="Arial" w:eastAsia="Arial" w:hAnsi="Arial"/>
                <w:sz w:val="18"/>
                <w:szCs w:val="18"/>
                <w:color w:val="auto"/>
              </w:rPr>
              <w:t>Bonuses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Equity compensation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60"/>
              <w:spacing w:after="0"/>
              <w:rPr>
                <w:sz w:val="20"/>
                <w:szCs w:val="20"/>
                <w:color w:val="auto"/>
              </w:rPr>
            </w:pPr>
            <w:r>
              <w:rPr>
                <w:rFonts w:ascii="Arial" w:cs="Arial" w:eastAsia="Arial" w:hAnsi="Arial"/>
                <w:sz w:val="18"/>
                <w:szCs w:val="18"/>
                <w:color w:val="auto"/>
              </w:rPr>
              <w:t>Professional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Directors fees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60"/>
              <w:spacing w:after="0"/>
              <w:rPr>
                <w:sz w:val="20"/>
                <w:szCs w:val="20"/>
                <w:color w:val="auto"/>
              </w:rPr>
            </w:pPr>
            <w:r>
              <w:rPr>
                <w:rFonts w:ascii="Arial" w:cs="Arial" w:eastAsia="Arial" w:hAnsi="Arial"/>
                <w:sz w:val="18"/>
                <w:szCs w:val="18"/>
                <w:color w:val="auto"/>
              </w:rPr>
              <w:t>Insurance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Total other operating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1,352</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(470)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(Components may not sum to toals due to rounding)</w:t>
      </w:r>
    </w:p>
    <w:p>
      <w:pPr>
        <w:spacing w:after="0" w:line="225" w:lineRule="exact"/>
        <w:rPr>
          <w:sz w:val="20"/>
          <w:szCs w:val="20"/>
          <w:color w:val="auto"/>
        </w:rPr>
      </w:pPr>
    </w:p>
    <w:p>
      <w:pPr>
        <w:ind w:right="40" w:firstLine="607"/>
        <w:spacing w:after="0" w:line="263" w:lineRule="auto"/>
        <w:rPr>
          <w:sz w:val="20"/>
          <w:szCs w:val="20"/>
          <w:color w:val="auto"/>
        </w:rPr>
      </w:pPr>
      <w:r>
        <w:rPr>
          <w:rFonts w:ascii="Arial" w:cs="Arial" w:eastAsia="Arial" w:hAnsi="Arial"/>
          <w:sz w:val="18"/>
          <w:szCs w:val="18"/>
          <w:color w:val="auto"/>
        </w:rPr>
        <w:t>The decrease in Three Months 2022 of $470,000, or 34.8%, as compared to Three Months 2021 was primarily due to a decrease in employment costs. The decrease in employment costs was due to staff reductions and fluctuations in deferred compensation liability related to changes in the underlying invested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Depreciation and amortization was $770,000 in Three Months 2022 compared to $822,000 in Three Months 2021. The decrease of $52,000, or 6.3%, in depreciation and amortization was primarily due to assets previously put into service that are currently being utilized and being fully depreciated. Due to the extended useful life of assets related to our system platforms, Management has determined that such systems, currently put into service, should be depreciated over five years reflecting their expected useful lives as compared to the previous three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was $457,000 for both Three Months 2022 and Three Months 2021. We incurred interest expense in connection with our $30.0 million issuance of long-term debt in December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benefit in Three Months 2022 was $2,468,000, which resulted in an effective tax benefit rate of 21.2%. Income tax benefit in Three Months 2021 was $68,000, which resulted in an effective tax benefit rate of 18.0%. Loss before taxes was $11,666,000 in Three Months 2022 compared to loss before taxes of $379,000 in Three Months 2021. The difference in effective tax benefit is due to the effect of permanent differences in Three Months 2022 compared to Three Months 2021.</w:t>
      </w:r>
    </w:p>
    <w:p>
      <w:pPr>
        <w:sectPr>
          <w:pgSz w:w="11900" w:h="1685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58" w:orient="portrait"/>
          <w:cols w:equalWidth="0" w:num="1">
            <w:col w:w="11240"/>
          </w:cols>
          <w:pgMar w:left="320" w:top="125" w:right="339" w:bottom="0" w:gutter="0" w:footer="0" w:header="0"/>
          <w:type w:val="continuous"/>
        </w:sectPr>
      </w:pPr>
    </w:p>
    <w:bookmarkStart w:id="30" w:name="page31"/>
    <w:bookmarkEnd w:id="30"/>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loss was $9,198,000 in Three Months 2022 compared to net loss of $311,000 in Three Months 2021. The increase in net loss of $8,887,000 was due to the circumstances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8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00" w:type="dxa"/>
            <w:vAlign w:val="bottom"/>
            <w:vMerge w:val="restart"/>
          </w:tcPr>
          <w:p>
            <w:pPr>
              <w:spacing w:after="0"/>
              <w:rPr>
                <w:sz w:val="20"/>
                <w:szCs w:val="20"/>
                <w:color w:val="auto"/>
              </w:rPr>
            </w:pPr>
            <w:r>
              <w:rPr>
                <w:rFonts w:ascii="Arial" w:cs="Arial" w:eastAsia="Arial" w:hAnsi="Arial"/>
                <w:sz w:val="18"/>
                <w:szCs w:val="18"/>
                <w:b w:val="1"/>
                <w:bCs w:val="1"/>
                <w:color w:val="auto"/>
              </w:rPr>
              <w:t>Gross premiums written:</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40,163,149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36,158,493</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Livery physical damage</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2,773,280</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1,903,992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47,468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67,107</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tcPr>
          <w:p>
            <w:pPr>
              <w:ind w:left="220"/>
              <w:spacing w:after="0"/>
              <w:rPr>
                <w:sz w:val="20"/>
                <w:szCs w:val="20"/>
                <w:color w:val="auto"/>
              </w:rPr>
            </w:pPr>
            <w:r>
              <w:rPr>
                <w:rFonts w:ascii="Arial" w:cs="Arial" w:eastAsia="Arial" w:hAnsi="Arial"/>
                <w:sz w:val="18"/>
                <w:szCs w:val="18"/>
                <w:color w:val="auto"/>
              </w:rPr>
              <w:t>Total without commercial lines</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42,983,897</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38,129,592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tcPr>
          <w:p>
            <w:pPr>
              <w:ind w:left="220"/>
              <w:spacing w:after="0"/>
              <w:rPr>
                <w:sz w:val="20"/>
                <w:szCs w:val="20"/>
                <w:color w:val="auto"/>
              </w:rPr>
            </w:pPr>
            <w:r>
              <w:rPr>
                <w:rFonts w:ascii="Arial" w:cs="Arial" w:eastAsia="Arial" w:hAnsi="Arial"/>
                <w:sz w:val="18"/>
                <w:szCs w:val="18"/>
                <w:color w:val="auto"/>
              </w:rPr>
              <w:t>Total gross premiums written</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42,983,897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38,129,117</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Net premiums written:</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22,110,665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28,829,812</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Livery physical damage</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2,773,280</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1,903,992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34,243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66,281</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tcPr>
          <w:p>
            <w:pPr>
              <w:ind w:left="220"/>
              <w:spacing w:after="0"/>
              <w:rPr>
                <w:sz w:val="20"/>
                <w:szCs w:val="20"/>
                <w:color w:val="auto"/>
              </w:rPr>
            </w:pPr>
            <w:r>
              <w:rPr>
                <w:rFonts w:ascii="Arial" w:cs="Arial" w:eastAsia="Arial" w:hAnsi="Arial"/>
                <w:sz w:val="18"/>
                <w:szCs w:val="18"/>
                <w:color w:val="auto"/>
              </w:rPr>
              <w:t>Total without commercial lines</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24,918,188</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30,800,085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tcPr>
          <w:p>
            <w:pPr>
              <w:ind w:left="220"/>
              <w:spacing w:after="0"/>
              <w:rPr>
                <w:sz w:val="20"/>
                <w:szCs w:val="20"/>
                <w:color w:val="auto"/>
              </w:rPr>
            </w:pPr>
            <w:r>
              <w:rPr>
                <w:rFonts w:ascii="Arial" w:cs="Arial" w:eastAsia="Arial" w:hAnsi="Arial"/>
                <w:sz w:val="18"/>
                <w:szCs w:val="18"/>
                <w:color w:val="auto"/>
              </w:rPr>
              <w:t>Total net premiums written</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24,918,188</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30,799,610</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Net premiums earned: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24,160,216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32,765,087</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Livery physical damage</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2,474,565</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1,765,276</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38,599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59,330</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tcPr>
          <w:p>
            <w:pPr>
              <w:ind w:left="220"/>
              <w:spacing w:after="0"/>
              <w:rPr>
                <w:sz w:val="20"/>
                <w:szCs w:val="20"/>
                <w:color w:val="auto"/>
              </w:rPr>
            </w:pPr>
            <w:r>
              <w:rPr>
                <w:rFonts w:ascii="Arial" w:cs="Arial" w:eastAsia="Arial" w:hAnsi="Arial"/>
                <w:sz w:val="18"/>
                <w:szCs w:val="18"/>
                <w:color w:val="auto"/>
              </w:rPr>
              <w:t>Total without commercial lines</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26,673,380</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34,589,693</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tcPr>
          <w:p>
            <w:pPr>
              <w:ind w:left="220"/>
              <w:spacing w:after="0"/>
              <w:rPr>
                <w:sz w:val="20"/>
                <w:szCs w:val="20"/>
                <w:color w:val="auto"/>
              </w:rPr>
            </w:pPr>
            <w:r>
              <w:rPr>
                <w:rFonts w:ascii="Arial" w:cs="Arial" w:eastAsia="Arial" w:hAnsi="Arial"/>
                <w:sz w:val="18"/>
                <w:szCs w:val="18"/>
                <w:color w:val="auto"/>
              </w:rPr>
              <w:t>Total net premiums earned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26,673,380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34,589,218</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Net loss and loss adjustment expenses(4):</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20,426,641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20,756,653</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Livery physical damage</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830,569</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687,412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30,349</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Unallocated loss adjustment expenses</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1,578,906</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1,006,281</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without commercial lines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22,812,716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22,480,695</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Commercial lines (in run-off effective July 2019)(2)</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128,482</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79,977</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net loss and loss adjustment expenses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22,941,198</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22,560,672</w:t>
            </w:r>
          </w:p>
        </w:tc>
        <w:tc>
          <w:tcPr>
            <w:tcW w:w="0" w:type="dxa"/>
            <w:vAlign w:val="bottom"/>
          </w:tcPr>
          <w:p>
            <w:pPr>
              <w:spacing w:after="0"/>
              <w:rPr>
                <w:sz w:val="1"/>
                <w:szCs w:val="1"/>
                <w:color w:val="auto"/>
              </w:rPr>
            </w:pPr>
          </w:p>
        </w:tc>
      </w:tr>
      <w:tr>
        <w:trPr>
          <w:trHeight w:val="183"/>
        </w:trPr>
        <w:tc>
          <w:tcPr>
            <w:tcW w:w="86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ratio(4):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Personal lines</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84.5%</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Other(1)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-60.6%</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without commercial lines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Commercial lines (in run-off effective July 2019)(2)</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00" w:hanging="447"/>
        <w:spacing w:after="0" w:line="25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spacing w:after="0" w:line="1" w:lineRule="exact"/>
        <w:rPr>
          <w:rFonts w:ascii="Arial" w:cs="Arial" w:eastAsia="Arial" w:hAnsi="Arial"/>
          <w:sz w:val="18"/>
          <w:szCs w:val="18"/>
          <w:color w:val="auto"/>
        </w:rPr>
      </w:pPr>
    </w:p>
    <w:p>
      <w:pPr>
        <w:ind w:left="900" w:right="20" w:hanging="447"/>
        <w:spacing w:after="0" w:line="25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July 2019, we decided that we will no longer underwrite Commercial Liability risks. See discussions above regarding the discontinuation of this line of business.</w:t>
      </w:r>
    </w:p>
    <w:p>
      <w:pPr>
        <w:ind w:left="900" w:right="20" w:hanging="447"/>
        <w:spacing w:after="0" w:line="25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discussion above with regard to “Net Written Premiums and Net Premiums Earned”, as to change in quota share ceding rate, effective December 31, 2021.</w:t>
      </w:r>
    </w:p>
    <w:p>
      <w:pPr>
        <w:ind w:left="900" w:hanging="447"/>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 discussion above with regard to “Net Loss and LAE”, as to catastrophe losses in the three months ended March 31, 2022 and 2021.</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Underwriting Business on a Standalone Basis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insurance underwriting business reported on a standalone basis for the periods indicated is as follows:</w:t>
      </w:r>
    </w:p>
    <w:p>
      <w:pPr>
        <w:sectPr>
          <w:pgSz w:w="11900" w:h="16838" w:orient="portrait"/>
          <w:cols w:equalWidth="0" w:num="1">
            <w:col w:w="11240"/>
          </w:cols>
          <w:pgMar w:left="320" w:top="328" w:right="339" w:bottom="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4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26,673,380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34,589,218</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Ceding commission revenue</w:t>
            </w: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4,681,396</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1,359,100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1,783,196</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Net (losses) gains on investments</w:t>
            </w: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(4,351,744)</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2,912,525</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228,507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170,309</w:t>
            </w:r>
          </w:p>
        </w:tc>
        <w:tc>
          <w:tcPr>
            <w:tcW w:w="0" w:type="dxa"/>
            <w:vAlign w:val="bottom"/>
          </w:tcPr>
          <w:p>
            <w:pPr>
              <w:spacing w:after="0"/>
              <w:rPr>
                <w:sz w:val="1"/>
                <w:szCs w:val="1"/>
                <w:color w:val="auto"/>
              </w:rPr>
            </w:pPr>
          </w:p>
        </w:tc>
      </w:tr>
      <w:tr>
        <w:trPr>
          <w:trHeight w:val="20"/>
        </w:trPr>
        <w:tc>
          <w:tcPr>
            <w:tcW w:w="132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gridSpan w:val="2"/>
          </w:tcPr>
          <w:p>
            <w:pPr>
              <w:ind w:left="420"/>
              <w:spacing w:after="0"/>
              <w:rPr>
                <w:sz w:val="20"/>
                <w:szCs w:val="20"/>
                <w:color w:val="auto"/>
              </w:rPr>
            </w:pPr>
            <w:r>
              <w:rPr>
                <w:rFonts w:ascii="Arial" w:cs="Arial" w:eastAsia="Arial" w:hAnsi="Arial"/>
                <w:sz w:val="18"/>
                <w:szCs w:val="18"/>
                <w:color w:val="auto"/>
              </w:rPr>
              <w:t>Total revenues</w:t>
            </w: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28,590,639</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39,454,183</w:t>
            </w:r>
          </w:p>
        </w:tc>
        <w:tc>
          <w:tcPr>
            <w:tcW w:w="0" w:type="dxa"/>
            <w:vAlign w:val="bottom"/>
          </w:tcPr>
          <w:p>
            <w:pPr>
              <w:spacing w:after="0"/>
              <w:rPr>
                <w:sz w:val="1"/>
                <w:szCs w:val="1"/>
                <w:color w:val="auto"/>
              </w:rPr>
            </w:pPr>
          </w:p>
        </w:tc>
      </w:tr>
      <w:tr>
        <w:trPr>
          <w:trHeight w:val="196"/>
        </w:trPr>
        <w:tc>
          <w:tcPr>
            <w:tcW w:w="132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22,941,198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22,560,672</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Commission expense</w:t>
            </w: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8,351,086</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8,223,839</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6,815,949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6,467,042</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760,015</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788,835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38,868,248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38,040,388</w:t>
            </w:r>
          </w:p>
        </w:tc>
        <w:tc>
          <w:tcPr>
            <w:tcW w:w="0" w:type="dxa"/>
            <w:vAlign w:val="bottom"/>
          </w:tcPr>
          <w:p>
            <w:pPr>
              <w:spacing w:after="0"/>
              <w:rPr>
                <w:sz w:val="1"/>
                <w:szCs w:val="1"/>
                <w:color w:val="auto"/>
              </w:rPr>
            </w:pPr>
          </w:p>
        </w:tc>
      </w:tr>
      <w:tr>
        <w:trPr>
          <w:trHeight w:val="196"/>
        </w:trPr>
        <w:tc>
          <w:tcPr>
            <w:tcW w:w="1320" w:type="dxa"/>
            <w:vAlign w:val="bottom"/>
            <w:tcBorders>
              <w:top w:val="single" w:sz="8" w:color="CCEEFF"/>
            </w:tcBorders>
          </w:tcPr>
          <w:p>
            <w:pPr>
              <w:spacing w:after="0"/>
              <w:rPr>
                <w:sz w:val="17"/>
                <w:szCs w:val="17"/>
                <w:color w:val="auto"/>
              </w:rPr>
            </w:pPr>
          </w:p>
        </w:tc>
        <w:tc>
          <w:tcPr>
            <w:tcW w:w="3360" w:type="dxa"/>
            <w:vAlign w:val="bottom"/>
            <w:tcBorders>
              <w:top w:val="single" w:sz="8" w:color="CCEEFF"/>
            </w:tcBorders>
          </w:tcPr>
          <w:p>
            <w:pPr>
              <w:spacing w:after="0"/>
              <w:rPr>
                <w:sz w:val="17"/>
                <w:szCs w:val="17"/>
                <w:color w:val="auto"/>
              </w:rPr>
            </w:pPr>
          </w:p>
        </w:tc>
        <w:tc>
          <w:tcPr>
            <w:tcW w:w="39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income from operations</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(10,277,609)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1,413,795</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Income tax (benefit) expense</w:t>
            </w: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(2,187,260)</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251,565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4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(8,090,349)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1,162,230</w:t>
            </w:r>
          </w:p>
        </w:tc>
        <w:tc>
          <w:tcPr>
            <w:tcW w:w="0" w:type="dxa"/>
            <w:vAlign w:val="bottom"/>
          </w:tcPr>
          <w:p>
            <w:pPr>
              <w:spacing w:after="0"/>
              <w:rPr>
                <w:sz w:val="1"/>
                <w:szCs w:val="1"/>
                <w:color w:val="auto"/>
              </w:rPr>
            </w:pPr>
          </w:p>
        </w:tc>
      </w:tr>
      <w:tr>
        <w:trPr>
          <w:trHeight w:val="183"/>
        </w:trPr>
        <w:tc>
          <w:tcPr>
            <w:tcW w:w="1320" w:type="dxa"/>
            <w:vAlign w:val="bottom"/>
            <w:tcBorders>
              <w:top w:val="single" w:sz="8" w:color="CCEEFF"/>
            </w:tcBorders>
          </w:tcPr>
          <w:p>
            <w:pPr>
              <w:spacing w:after="0"/>
              <w:rPr>
                <w:sz w:val="15"/>
                <w:szCs w:val="15"/>
                <w:color w:val="auto"/>
              </w:rPr>
            </w:pPr>
          </w:p>
        </w:tc>
        <w:tc>
          <w:tcPr>
            <w:tcW w:w="3360" w:type="dxa"/>
            <w:vAlign w:val="bottom"/>
            <w:tcBorders>
              <w:top w:val="single" w:sz="8" w:color="CCEEFF"/>
            </w:tcBorders>
          </w:tcPr>
          <w:p>
            <w:pPr>
              <w:spacing w:after="0"/>
              <w:rPr>
                <w:sz w:val="15"/>
                <w:szCs w:val="15"/>
                <w:color w:val="auto"/>
              </w:rPr>
            </w:pPr>
          </w:p>
        </w:tc>
        <w:tc>
          <w:tcPr>
            <w:tcW w:w="39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Key Measures:</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Net loss ratio</w:t>
            </w: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86.0%</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
        </w:trPr>
        <w:tc>
          <w:tcPr>
            <w:tcW w:w="132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Net combined ratio</w:t>
            </w: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124.5%</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2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Reconciliation of net underwriting expense ratio:</w:t>
            </w: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Acquisition costs and other underwriting expenses</w:t>
            </w:r>
          </w:p>
        </w:tc>
        <w:tc>
          <w:tcPr>
            <w:tcW w:w="4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15,167,035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14,690,881</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Less: Ceding commission revenue</w:t>
            </w: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(4,681,396)</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Other income</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(228,507)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(170,309)</w:t>
            </w:r>
          </w:p>
        </w:tc>
        <w:tc>
          <w:tcPr>
            <w:tcW w:w="0" w:type="dxa"/>
            <w:vAlign w:val="bottom"/>
          </w:tcPr>
          <w:p>
            <w:pPr>
              <w:spacing w:after="0"/>
              <w:rPr>
                <w:sz w:val="1"/>
                <w:szCs w:val="1"/>
                <w:color w:val="auto"/>
              </w:rPr>
            </w:pPr>
          </w:p>
        </w:tc>
      </w:tr>
      <w:tr>
        <w:trPr>
          <w:trHeight w:val="20"/>
        </w:trPr>
        <w:tc>
          <w:tcPr>
            <w:tcW w:w="132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Net underwriting expenses</w:t>
            </w:r>
          </w:p>
        </w:tc>
        <w:tc>
          <w:tcPr>
            <w:tcW w:w="4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10,257,132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14,521,637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2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Net premiums earned</w:t>
            </w:r>
          </w:p>
        </w:tc>
        <w:tc>
          <w:tcPr>
            <w:tcW w:w="4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26,673,380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34,589,218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2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Net Underwriting Expense Ratio</w:t>
            </w: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920" w:type="dxa"/>
            <w:vAlign w:val="bottom"/>
            <w:vMerge w:val="restart"/>
          </w:tcPr>
          <w:p>
            <w:pPr>
              <w:jc w:val="right"/>
              <w:ind w:right="2790"/>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3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32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33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our direct, assumed and ceded earned premiums, loss and loss adjustment expenses, and loss ratios is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Direct</w:t>
            </w:r>
          </w:p>
        </w:tc>
        <w:tc>
          <w:tcPr>
            <w:tcW w:w="14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Assumed</w:t>
            </w:r>
          </w:p>
        </w:tc>
        <w:tc>
          <w:tcPr>
            <w:tcW w:w="16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Ceded</w:t>
            </w:r>
          </w:p>
        </w:tc>
        <w:tc>
          <w:tcPr>
            <w:tcW w:w="180" w:type="dxa"/>
            <w:vAlign w:val="bottom"/>
          </w:tcPr>
          <w:p>
            <w:pPr>
              <w:spacing w:after="0"/>
              <w:rPr>
                <w:sz w:val="20"/>
                <w:szCs w:val="20"/>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Net</w:t>
            </w:r>
          </w:p>
        </w:tc>
      </w:tr>
      <w:tr>
        <w:trPr>
          <w:trHeight w:val="412"/>
        </w:trPr>
        <w:tc>
          <w:tcPr>
            <w:tcW w:w="5840" w:type="dxa"/>
            <w:vAlign w:val="bottom"/>
          </w:tcPr>
          <w:p>
            <w:pPr>
              <w:spacing w:after="0"/>
              <w:rPr>
                <w:sz w:val="20"/>
                <w:szCs w:val="20"/>
                <w:color w:val="auto"/>
              </w:rPr>
            </w:pPr>
            <w:r>
              <w:rPr>
                <w:rFonts w:ascii="Arial" w:cs="Arial" w:eastAsia="Arial" w:hAnsi="Arial"/>
                <w:sz w:val="18"/>
                <w:szCs w:val="18"/>
                <w:b w:val="1"/>
                <w:bCs w:val="1"/>
                <w:color w:val="auto"/>
              </w:rPr>
              <w:t>Three months ended March 31, 2022</w:t>
            </w: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Written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42,983,897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(18,065,709)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24,918,188</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Change in unearned premiums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2,392,727</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(637,535)</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1,755,192</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Earned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45,376,624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(18,703,244)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26,673,380</w:t>
            </w:r>
          </w:p>
        </w:tc>
      </w:tr>
      <w:tr>
        <w:trPr>
          <w:trHeight w:val="183"/>
        </w:trPr>
        <w:tc>
          <w:tcPr>
            <w:tcW w:w="58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26,508,664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(6,586,890)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19,921,774</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6,837,400</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(3,817,976)</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3,019,424</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33,346,064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(10,404,866)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22,941,198</w:t>
            </w:r>
          </w:p>
        </w:tc>
      </w:tr>
      <w:tr>
        <w:trPr>
          <w:trHeight w:val="183"/>
        </w:trPr>
        <w:tc>
          <w:tcPr>
            <w:tcW w:w="58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ratio</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w:t>
            </w:r>
          </w:p>
        </w:tc>
      </w:tr>
      <w:tr>
        <w:trPr>
          <w:trHeight w:val="183"/>
        </w:trPr>
        <w:tc>
          <w:tcPr>
            <w:tcW w:w="58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Written premiums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38,129,117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(7,329,507)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30,799,610</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3,789,478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3,789,608</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220"/>
              <w:spacing w:after="0"/>
              <w:rPr>
                <w:sz w:val="20"/>
                <w:szCs w:val="20"/>
                <w:color w:val="auto"/>
              </w:rPr>
            </w:pPr>
            <w:r>
              <w:rPr>
                <w:rFonts w:ascii="Arial" w:cs="Arial" w:eastAsia="Arial" w:hAnsi="Arial"/>
                <w:sz w:val="18"/>
                <w:szCs w:val="18"/>
                <w:color w:val="auto"/>
              </w:rPr>
              <w:t>Earned premiums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41,918,595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(7,329,377)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34,589,218</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5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23,155,733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(823,856)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22,331,877</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228,795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228,795</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220"/>
              <w:spacing w:after="0"/>
              <w:rPr>
                <w:sz w:val="20"/>
                <w:szCs w:val="20"/>
                <w:color w:val="auto"/>
              </w:rPr>
            </w:pPr>
            <w:r>
              <w:rPr>
                <w:rFonts w:ascii="Arial" w:cs="Arial" w:eastAsia="Arial" w:hAnsi="Arial"/>
                <w:sz w:val="18"/>
                <w:szCs w:val="18"/>
                <w:color w:val="auto"/>
              </w:rPr>
              <w:t>Loss and loss adjustment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23,384,528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(823,856)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22,560,672</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5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55.2%</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64.7%</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220"/>
              <w:spacing w:after="0"/>
              <w:rPr>
                <w:sz w:val="20"/>
                <w:szCs w:val="20"/>
                <w:color w:val="auto"/>
              </w:rPr>
            </w:pPr>
            <w:r>
              <w:rPr>
                <w:rFonts w:ascii="Arial" w:cs="Arial" w:eastAsia="Arial" w:hAnsi="Arial"/>
                <w:sz w:val="18"/>
                <w:szCs w:val="18"/>
                <w:color w:val="auto"/>
              </w:rPr>
              <w:t>Loss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65.2%</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(Percent components may not sum to totals due to rounding)</w:t>
      </w:r>
    </w:p>
    <w:p>
      <w:pPr>
        <w:sectPr>
          <w:pgSz w:w="11900" w:h="16838" w:orient="portrait"/>
          <w:cols w:equalWidth="0" w:num="1">
            <w:col w:w="11240"/>
          </w:cols>
          <w:pgMar w:left="320" w:top="121" w:right="339" w:bottom="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7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8600" w:type="dxa"/>
            <w:vAlign w:val="bottom"/>
            <w:gridSpan w:val="2"/>
          </w:tcPr>
          <w:p>
            <w:pPr>
              <w:ind w:left="660"/>
              <w:spacing w:after="0"/>
              <w:rPr>
                <w:sz w:val="20"/>
                <w:szCs w:val="20"/>
                <w:color w:val="auto"/>
              </w:rPr>
            </w:pPr>
            <w:r>
              <w:rPr>
                <w:rFonts w:ascii="Arial" w:cs="Arial" w:eastAsia="Arial" w:hAnsi="Arial"/>
                <w:sz w:val="18"/>
                <w:szCs w:val="18"/>
                <w:color w:val="auto"/>
              </w:rPr>
              <w:t>The key measures for our insurance underwriting business for the periods indicated are as follows: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13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3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13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r>
      <w:tr>
        <w:trPr>
          <w:trHeight w:val="196"/>
        </w:trPr>
        <w:tc>
          <w:tcPr>
            <w:tcW w:w="132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26,673,380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34,589,218</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Ceding commission revenue</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4,681,396</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228,507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170,309</w:t>
            </w:r>
          </w:p>
        </w:tc>
      </w:tr>
      <w:tr>
        <w:trPr>
          <w:trHeight w:val="203"/>
        </w:trPr>
        <w:tc>
          <w:tcPr>
            <w:tcW w:w="132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and loss adjustment expenses (1)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22,941,198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22,560,672</w:t>
            </w:r>
          </w:p>
        </w:tc>
      </w:tr>
      <w:tr>
        <w:trPr>
          <w:trHeight w:val="203"/>
        </w:trPr>
        <w:tc>
          <w:tcPr>
            <w:tcW w:w="132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costs and other underwriting expenses: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gridSpan w:val="2"/>
          </w:tcPr>
          <w:p>
            <w:pPr>
              <w:ind w:left="220"/>
              <w:spacing w:after="0"/>
              <w:rPr>
                <w:sz w:val="20"/>
                <w:szCs w:val="20"/>
                <w:color w:val="auto"/>
              </w:rPr>
            </w:pPr>
            <w:r>
              <w:rPr>
                <w:rFonts w:ascii="Arial" w:cs="Arial" w:eastAsia="Arial" w:hAnsi="Arial"/>
                <w:sz w:val="18"/>
                <w:szCs w:val="18"/>
                <w:color w:val="auto"/>
              </w:rPr>
              <w:t>Commission expense</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8,351,086</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8,223,839</w:t>
            </w:r>
          </w:p>
        </w:tc>
      </w:tr>
      <w:tr>
        <w:trPr>
          <w:trHeight w:val="216"/>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6,815,949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6,467,042</w:t>
            </w:r>
          </w:p>
        </w:tc>
      </w:tr>
      <w:tr>
        <w:trPr>
          <w:trHeight w:val="20"/>
        </w:trPr>
        <w:tc>
          <w:tcPr>
            <w:tcW w:w="1320" w:type="dxa"/>
            <w:vAlign w:val="bottom"/>
            <w:shd w:val="clear" w:color="auto" w:fill="CCEEFF"/>
          </w:tcPr>
          <w:p>
            <w:pPr>
              <w:spacing w:after="0" w:line="20" w:lineRule="exact"/>
              <w:rPr>
                <w:sz w:val="1"/>
                <w:szCs w:val="1"/>
                <w:color w:val="auto"/>
              </w:rPr>
            </w:pPr>
          </w:p>
        </w:tc>
        <w:tc>
          <w:tcPr>
            <w:tcW w:w="7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8600" w:type="dxa"/>
            <w:vAlign w:val="bottom"/>
            <w:gridSpan w:val="2"/>
          </w:tcPr>
          <w:p>
            <w:pPr>
              <w:spacing w:after="0"/>
              <w:rPr>
                <w:sz w:val="20"/>
                <w:szCs w:val="20"/>
                <w:color w:val="auto"/>
              </w:rPr>
            </w:pPr>
            <w:r>
              <w:rPr>
                <w:rFonts w:ascii="Arial" w:cs="Arial" w:eastAsia="Arial" w:hAnsi="Arial"/>
                <w:sz w:val="18"/>
                <w:szCs w:val="18"/>
                <w:color w:val="auto"/>
              </w:rPr>
              <w:t>Total acquisition costs and other underwriting expenses</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15,167,035</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14,690,881</w:t>
            </w:r>
          </w:p>
        </w:tc>
      </w:tr>
      <w:tr>
        <w:trPr>
          <w:trHeight w:val="196"/>
        </w:trPr>
        <w:tc>
          <w:tcPr>
            <w:tcW w:w="1320" w:type="dxa"/>
            <w:vAlign w:val="bottom"/>
            <w:shd w:val="clear" w:color="auto" w:fill="CCEEFF"/>
          </w:tcPr>
          <w:p>
            <w:pPr>
              <w:spacing w:after="0"/>
              <w:rPr>
                <w:sz w:val="17"/>
                <w:szCs w:val="17"/>
                <w:color w:val="auto"/>
              </w:rPr>
            </w:pPr>
          </w:p>
        </w:tc>
        <w:tc>
          <w:tcPr>
            <w:tcW w:w="7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Underwriting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(6,524,950)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(2,493,091)</w:t>
            </w:r>
          </w:p>
        </w:tc>
      </w:tr>
      <w:tr>
        <w:trPr>
          <w:trHeight w:val="20"/>
        </w:trPr>
        <w:tc>
          <w:tcPr>
            <w:tcW w:w="13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1320" w:type="dxa"/>
            <w:vAlign w:val="bottom"/>
            <w:shd w:val="clear" w:color="auto" w:fill="CCEEFF"/>
          </w:tcPr>
          <w:p>
            <w:pPr>
              <w:spacing w:after="0"/>
              <w:rPr>
                <w:sz w:val="15"/>
                <w:szCs w:val="15"/>
                <w:color w:val="auto"/>
              </w:rPr>
            </w:pPr>
          </w:p>
        </w:tc>
        <w:tc>
          <w:tcPr>
            <w:tcW w:w="7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Key Measures: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loss ratio excluding the effect of catastrophes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64.5%</w:t>
            </w:r>
          </w:p>
        </w:tc>
      </w:tr>
      <w:tr>
        <w:trPr>
          <w:trHeight w:val="216"/>
        </w:trPr>
        <w:tc>
          <w:tcPr>
            <w:tcW w:w="8600" w:type="dxa"/>
            <w:vAlign w:val="bottom"/>
            <w:gridSpan w:val="2"/>
          </w:tcPr>
          <w:p>
            <w:pPr>
              <w:ind w:left="220"/>
              <w:spacing w:after="0"/>
              <w:rPr>
                <w:sz w:val="20"/>
                <w:szCs w:val="20"/>
                <w:color w:val="auto"/>
              </w:rPr>
            </w:pPr>
            <w:r>
              <w:rPr>
                <w:rFonts w:ascii="Arial" w:cs="Arial" w:eastAsia="Arial" w:hAnsi="Arial"/>
                <w:sz w:val="18"/>
                <w:szCs w:val="18"/>
                <w:color w:val="auto"/>
              </w:rPr>
              <w:t>Effect of catastrophe loss on net loss ratio (1)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0"/>
        </w:trPr>
        <w:tc>
          <w:tcPr>
            <w:tcW w:w="13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loss ratio</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w:t>
            </w:r>
          </w:p>
        </w:tc>
      </w:tr>
      <w:tr>
        <w:trPr>
          <w:trHeight w:val="196"/>
        </w:trPr>
        <w:tc>
          <w:tcPr>
            <w:tcW w:w="1320" w:type="dxa"/>
            <w:vAlign w:val="bottom"/>
            <w:tcBorders>
              <w:top w:val="single" w:sz="8" w:color="CCEEFF"/>
            </w:tcBorders>
          </w:tcPr>
          <w:p>
            <w:pPr>
              <w:spacing w:after="0"/>
              <w:rPr>
                <w:sz w:val="17"/>
                <w:szCs w:val="17"/>
                <w:color w:val="auto"/>
              </w:rPr>
            </w:pPr>
          </w:p>
        </w:tc>
        <w:tc>
          <w:tcPr>
            <w:tcW w:w="7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 excluding the effect of catastrophes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r>
      <w:tr>
        <w:trPr>
          <w:trHeight w:val="216"/>
        </w:trPr>
        <w:tc>
          <w:tcPr>
            <w:tcW w:w="8600" w:type="dxa"/>
            <w:vAlign w:val="bottom"/>
            <w:gridSpan w:val="2"/>
          </w:tcPr>
          <w:p>
            <w:pPr>
              <w:ind w:left="220"/>
              <w:spacing w:after="0"/>
              <w:rPr>
                <w:sz w:val="20"/>
                <w:szCs w:val="20"/>
                <w:color w:val="auto"/>
              </w:rPr>
            </w:pPr>
            <w:r>
              <w:rPr>
                <w:rFonts w:ascii="Arial" w:cs="Arial" w:eastAsia="Arial" w:hAnsi="Arial"/>
                <w:sz w:val="18"/>
                <w:szCs w:val="18"/>
                <w:color w:val="auto"/>
              </w:rPr>
              <w:t>Effect of catastrophe loss on net underwriting expense ratio</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13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r>
      <w:tr>
        <w:trPr>
          <w:trHeight w:val="196"/>
        </w:trPr>
        <w:tc>
          <w:tcPr>
            <w:tcW w:w="1320" w:type="dxa"/>
            <w:vAlign w:val="bottom"/>
            <w:tcBorders>
              <w:top w:val="single" w:sz="8" w:color="CCEEFF"/>
            </w:tcBorders>
          </w:tcPr>
          <w:p>
            <w:pPr>
              <w:spacing w:after="0"/>
              <w:rPr>
                <w:sz w:val="17"/>
                <w:szCs w:val="17"/>
                <w:color w:val="auto"/>
              </w:rPr>
            </w:pPr>
          </w:p>
        </w:tc>
        <w:tc>
          <w:tcPr>
            <w:tcW w:w="7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combined ratio excluding the effect of catastrophes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106.5%</w:t>
            </w:r>
          </w:p>
        </w:tc>
      </w:tr>
      <w:tr>
        <w:trPr>
          <w:trHeight w:val="216"/>
        </w:trPr>
        <w:tc>
          <w:tcPr>
            <w:tcW w:w="13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Effect of catastrophe loss on net combined ratio (1)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r>
      <w:tr>
        <w:trPr>
          <w:trHeight w:val="20"/>
        </w:trPr>
        <w:tc>
          <w:tcPr>
            <w:tcW w:w="1320" w:type="dxa"/>
            <w:vAlign w:val="bottom"/>
            <w:shd w:val="clear" w:color="auto" w:fill="CCEEFF"/>
          </w:tcPr>
          <w:p>
            <w:pPr>
              <w:spacing w:after="0" w:line="20" w:lineRule="exact"/>
              <w:rPr>
                <w:sz w:val="1"/>
                <w:szCs w:val="1"/>
                <w:color w:val="auto"/>
              </w:rPr>
            </w:pPr>
          </w:p>
        </w:tc>
        <w:tc>
          <w:tcPr>
            <w:tcW w:w="7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8600" w:type="dxa"/>
            <w:vAlign w:val="bottom"/>
            <w:gridSpan w:val="2"/>
          </w:tcPr>
          <w:p>
            <w:pPr>
              <w:ind w:left="220"/>
              <w:spacing w:after="0"/>
              <w:rPr>
                <w:sz w:val="20"/>
                <w:szCs w:val="20"/>
                <w:color w:val="auto"/>
              </w:rPr>
            </w:pPr>
            <w:r>
              <w:rPr>
                <w:rFonts w:ascii="Arial" w:cs="Arial" w:eastAsia="Arial" w:hAnsi="Arial"/>
                <w:sz w:val="18"/>
                <w:szCs w:val="18"/>
                <w:color w:val="auto"/>
              </w:rPr>
              <w:t>Net combined ratio</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124.5%</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107.2%</w:t>
            </w:r>
          </w:p>
        </w:tc>
      </w:tr>
      <w:tr>
        <w:trPr>
          <w:trHeight w:val="20"/>
        </w:trPr>
        <w:tc>
          <w:tcPr>
            <w:tcW w:w="13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1320" w:type="dxa"/>
            <w:vAlign w:val="bottom"/>
            <w:shd w:val="clear" w:color="auto" w:fill="CCEEFF"/>
          </w:tcPr>
          <w:p>
            <w:pPr>
              <w:spacing w:after="0"/>
              <w:rPr>
                <w:sz w:val="15"/>
                <w:szCs w:val="15"/>
                <w:color w:val="auto"/>
              </w:rPr>
            </w:pPr>
          </w:p>
        </w:tc>
        <w:tc>
          <w:tcPr>
            <w:tcW w:w="7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6"/>
        </w:trPr>
        <w:tc>
          <w:tcPr>
            <w:tcW w:w="8600" w:type="dxa"/>
            <w:vAlign w:val="bottom"/>
            <w:gridSpan w:val="2"/>
          </w:tcPr>
          <w:p>
            <w:pPr>
              <w:ind w:left="220"/>
              <w:spacing w:after="0"/>
              <w:rPr>
                <w:sz w:val="20"/>
                <w:szCs w:val="20"/>
                <w:color w:val="auto"/>
              </w:rPr>
            </w:pPr>
            <w:r>
              <w:rPr>
                <w:rFonts w:ascii="Arial" w:cs="Arial" w:eastAsia="Arial" w:hAnsi="Arial"/>
                <w:sz w:val="18"/>
                <w:szCs w:val="18"/>
                <w:color w:val="auto"/>
              </w:rPr>
              <w:t>Reconciliation of net underwriting expense ratio:</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Acquisition costs and other</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gridSpan w:val="2"/>
          </w:tcPr>
          <w:p>
            <w:pPr>
              <w:ind w:left="220"/>
              <w:spacing w:after="0"/>
              <w:rPr>
                <w:sz w:val="20"/>
                <w:szCs w:val="20"/>
                <w:color w:val="auto"/>
              </w:rPr>
            </w:pPr>
            <w:r>
              <w:rPr>
                <w:rFonts w:ascii="Arial" w:cs="Arial" w:eastAsia="Arial" w:hAnsi="Arial"/>
                <w:sz w:val="18"/>
                <w:szCs w:val="18"/>
                <w:color w:val="auto"/>
              </w:rPr>
              <w:t>underwriting expenses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15,167,035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14,690,881</w:t>
            </w:r>
          </w:p>
        </w:tc>
      </w:tr>
      <w:tr>
        <w:trPr>
          <w:trHeight w:val="216"/>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Ceding commission revenue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(4,681,396)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1,065</w:t>
            </w:r>
          </w:p>
        </w:tc>
      </w:tr>
      <w:tr>
        <w:trPr>
          <w:trHeight w:val="216"/>
        </w:trPr>
        <w:tc>
          <w:tcPr>
            <w:tcW w:w="8600" w:type="dxa"/>
            <w:vAlign w:val="bottom"/>
            <w:gridSpan w:val="2"/>
          </w:tcPr>
          <w:p>
            <w:pPr>
              <w:ind w:left="220"/>
              <w:spacing w:after="0"/>
              <w:rPr>
                <w:sz w:val="20"/>
                <w:szCs w:val="20"/>
                <w:color w:val="auto"/>
              </w:rPr>
            </w:pPr>
            <w:r>
              <w:rPr>
                <w:rFonts w:ascii="Arial" w:cs="Arial" w:eastAsia="Arial" w:hAnsi="Arial"/>
                <w:sz w:val="18"/>
                <w:szCs w:val="18"/>
                <w:color w:val="auto"/>
              </w:rPr>
              <w:t>Less: Other income</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(228,507)</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(170,309)</w:t>
            </w:r>
          </w:p>
        </w:tc>
      </w:tr>
      <w:tr>
        <w:trPr>
          <w:trHeight w:val="20"/>
        </w:trPr>
        <w:tc>
          <w:tcPr>
            <w:tcW w:w="13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20" w:type="dxa"/>
            <w:vAlign w:val="bottom"/>
            <w:shd w:val="clear" w:color="auto" w:fill="CCEEFF"/>
          </w:tcPr>
          <w:p>
            <w:pPr>
              <w:spacing w:after="0"/>
              <w:rPr>
                <w:sz w:val="21"/>
                <w:szCs w:val="21"/>
                <w:color w:val="auto"/>
              </w:rPr>
            </w:pPr>
          </w:p>
        </w:tc>
        <w:tc>
          <w:tcPr>
            <w:tcW w:w="72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10,257,132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14,521,637</w:t>
            </w:r>
          </w:p>
        </w:tc>
      </w:tr>
      <w:tr>
        <w:trPr>
          <w:trHeight w:val="183"/>
        </w:trPr>
        <w:tc>
          <w:tcPr>
            <w:tcW w:w="1320" w:type="dxa"/>
            <w:vAlign w:val="bottom"/>
            <w:tcBorders>
              <w:top w:val="single" w:sz="8" w:color="CCEEFF"/>
            </w:tcBorders>
          </w:tcPr>
          <w:p>
            <w:pPr>
              <w:spacing w:after="0"/>
              <w:rPr>
                <w:sz w:val="15"/>
                <w:szCs w:val="15"/>
                <w:color w:val="auto"/>
              </w:rPr>
            </w:pPr>
          </w:p>
        </w:tc>
        <w:tc>
          <w:tcPr>
            <w:tcW w:w="72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56"/>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earned premium</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26,673,380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34,589,218</w:t>
            </w:r>
          </w:p>
        </w:tc>
      </w:tr>
      <w:tr>
        <w:trPr>
          <w:trHeight w:val="183"/>
        </w:trPr>
        <w:tc>
          <w:tcPr>
            <w:tcW w:w="1320" w:type="dxa"/>
            <w:vAlign w:val="bottom"/>
            <w:tcBorders>
              <w:top w:val="single" w:sz="8" w:color="CCEEFF"/>
            </w:tcBorders>
          </w:tcPr>
          <w:p>
            <w:pPr>
              <w:spacing w:after="0"/>
              <w:rPr>
                <w:sz w:val="15"/>
                <w:szCs w:val="15"/>
                <w:color w:val="auto"/>
              </w:rPr>
            </w:pPr>
          </w:p>
        </w:tc>
        <w:tc>
          <w:tcPr>
            <w:tcW w:w="72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36"/>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r>
      <w:tr>
        <w:trPr>
          <w:trHeight w:val="20"/>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7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60" w:right="2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three months ended March 31, 2022 and 2021, includes the sum of net catastrophe losses and loss adjustment expenses of $3,019,424 and $228,795,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Portfolio Summary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Fixed-Maturity Securities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presents a breakdown of the amortized cost, estimated fair value, and unrealized gains and losses of our investments in fixed-maturity securities classified as available-for-sale as of March 31, 2022 and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March 31, 2022</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412"/>
        </w:trPr>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Cost or</w:t>
            </w:r>
          </w:p>
        </w:tc>
        <w:tc>
          <w:tcPr>
            <w:tcW w:w="2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Gross</w:t>
            </w: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Gross Unrealized Losses</w:t>
            </w:r>
          </w:p>
        </w:tc>
        <w:tc>
          <w:tcPr>
            <w:tcW w:w="2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4"/>
              </w:rPr>
              <w:t>% of</w:t>
            </w:r>
          </w:p>
        </w:tc>
      </w:tr>
      <w:tr>
        <w:trPr>
          <w:trHeight w:val="191"/>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7"/>
              </w:rPr>
              <w:t>Less than 12</w:t>
            </w:r>
          </w:p>
        </w:tc>
        <w:tc>
          <w:tcPr>
            <w:tcW w:w="122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12</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Months</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Months</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Political subdivisions of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914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91440"/>
                    </a:xfrm>
                    <a:prstGeom prst="rect">
                      <a:avLst/>
                    </a:prstGeom>
                    <a:noFill/>
                  </pic:spPr>
                </pic:pic>
              </a:graphicData>
            </a:graphic>
          </wp:anchor>
        </w:drawing>
      </w:r>
    </w:p>
    <w:p>
      <w:pPr>
        <w:sectPr>
          <w:pgSz w:w="11900" w:h="16838" w:orient="portrait"/>
          <w:cols w:equalWidth="0" w:num="1">
            <w:col w:w="11240"/>
          </w:cols>
          <w:pgMar w:left="320" w:top="557" w:right="33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3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17,227,562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(1,614,463)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15,618,791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5"/>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85,566,044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336,272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(3,143,378)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82,758,938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80" w:type="dxa"/>
            <w:vAlign w:val="bottom"/>
            <w:gridSpan w:val="5"/>
          </w:tcPr>
          <w:p>
            <w:pPr>
              <w:spacing w:after="0" w:line="201" w:lineRule="exact"/>
              <w:rPr>
                <w:sz w:val="20"/>
                <w:szCs w:val="20"/>
                <w:color w:val="auto"/>
              </w:rPr>
            </w:pPr>
            <w:r>
              <w:rPr>
                <w:rFonts w:ascii="Arial" w:cs="Arial" w:eastAsia="Arial" w:hAnsi="Arial"/>
                <w:sz w:val="18"/>
                <w:szCs w:val="18"/>
                <w:color w:val="auto"/>
              </w:rPr>
              <w:t>Residential mortgage and other asset backed</w:t>
            </w:r>
          </w:p>
        </w:tc>
        <w:tc>
          <w:tcPr>
            <w:tcW w:w="100" w:type="dxa"/>
            <w:vAlign w:val="bottom"/>
          </w:tcPr>
          <w:p>
            <w:pPr>
              <w:spacing w:after="0"/>
              <w:rPr>
                <w:sz w:val="17"/>
                <w:szCs w:val="17"/>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7"/>
              </w:rPr>
              <w:t>56,656,711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289,836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7"/>
              </w:rPr>
              <w:t>(3,119,931)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(306,849)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7"/>
              </w:rPr>
              <w:t>53,519,767</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7"/>
        </w:trPr>
        <w:tc>
          <w:tcPr>
            <w:tcW w:w="3980" w:type="dxa"/>
            <w:vAlign w:val="bottom"/>
            <w:gridSpan w:val="5"/>
          </w:tcPr>
          <w:p>
            <w:pPr>
              <w:spacing w:after="0"/>
              <w:rPr>
                <w:sz w:val="20"/>
                <w:szCs w:val="20"/>
                <w:color w:val="auto"/>
              </w:rPr>
            </w:pPr>
            <w:r>
              <w:rPr>
                <w:rFonts w:ascii="Arial" w:cs="Arial" w:eastAsia="Arial" w:hAnsi="Arial"/>
                <w:sz w:val="18"/>
                <w:szCs w:val="18"/>
                <w:color w:val="auto"/>
              </w:rPr>
              <w:t>securities (1)</w:t>
            </w: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9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Total fixed-maturity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159,450,317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631,800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(7,877,772)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(306,849)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151,897,496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b w:val="1"/>
                <w:bCs w:val="1"/>
                <w:color w:val="auto"/>
              </w:rPr>
              <w:t>December 31, 2021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Cost or</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Gross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87"/>
              </w:rPr>
              <w:t>Gross Unrealized Losses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Estimated</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 of</w:t>
            </w:r>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6"/>
                <w:szCs w:val="16"/>
                <w:color w:val="auto"/>
              </w:rPr>
            </w:pP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6"/>
                <w:szCs w:val="16"/>
                <w:color w:val="auto"/>
              </w:rPr>
            </w:pPr>
          </w:p>
        </w:tc>
        <w:tc>
          <w:tcPr>
            <w:tcW w:w="11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rPr>
              <w:t>Less than 12</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5"/>
              </w:rPr>
              <w:t>More than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126"/>
        </w:trPr>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9"/>
              </w:rPr>
              <w:t>12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8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980" w:type="dxa"/>
            <w:vAlign w:val="bottom"/>
            <w:gridSpan w:val="5"/>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17,236,750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246,748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(197,984)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17,285,514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5"/>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80,534,769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2,603,411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(126,926)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83,011,254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80" w:type="dxa"/>
            <w:vAlign w:val="bottom"/>
            <w:gridSpan w:val="5"/>
          </w:tcPr>
          <w:p>
            <w:pPr>
              <w:spacing w:after="0" w:line="201" w:lineRule="exact"/>
              <w:rPr>
                <w:sz w:val="20"/>
                <w:szCs w:val="20"/>
                <w:color w:val="auto"/>
              </w:rPr>
            </w:pPr>
            <w:r>
              <w:rPr>
                <w:rFonts w:ascii="Arial" w:cs="Arial" w:eastAsia="Arial" w:hAnsi="Arial"/>
                <w:sz w:val="18"/>
                <w:szCs w:val="18"/>
                <w:color w:val="auto"/>
              </w:rPr>
              <w:t>Residential mortgage and other asset backed</w:t>
            </w:r>
          </w:p>
        </w:tc>
        <w:tc>
          <w:tcPr>
            <w:tcW w:w="100" w:type="dxa"/>
            <w:vAlign w:val="bottom"/>
          </w:tcPr>
          <w:p>
            <w:pPr>
              <w:spacing w:after="0"/>
              <w:rPr>
                <w:sz w:val="17"/>
                <w:szCs w:val="17"/>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7"/>
              </w:rPr>
              <w:t>58,036,959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355,985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(489,258)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(120,344)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7"/>
              </w:rPr>
              <w:t>57,783,342</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7"/>
        </w:trPr>
        <w:tc>
          <w:tcPr>
            <w:tcW w:w="3980" w:type="dxa"/>
            <w:vAlign w:val="bottom"/>
            <w:gridSpan w:val="5"/>
          </w:tcPr>
          <w:p>
            <w:pPr>
              <w:spacing w:after="0"/>
              <w:rPr>
                <w:sz w:val="20"/>
                <w:szCs w:val="20"/>
                <w:color w:val="auto"/>
              </w:rPr>
            </w:pPr>
            <w:r>
              <w:rPr>
                <w:rFonts w:ascii="Arial" w:cs="Arial" w:eastAsia="Arial" w:hAnsi="Arial"/>
                <w:sz w:val="18"/>
                <w:szCs w:val="18"/>
                <w:color w:val="auto"/>
              </w:rPr>
              <w:t>securities (1)</w:t>
            </w: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9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Total fixed-maturity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155,808,478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3,206,144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(814,168)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(120,344)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158,080,110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29"/>
        </w:trPr>
        <w:tc>
          <w:tcPr>
            <w:tcW w:w="62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2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320" w:type="dxa"/>
            <w:vAlign w:val="bottom"/>
            <w:tcBorders>
              <w:bottom w:val="single" w:sz="8" w:color="0000EE"/>
            </w:tcBorders>
            <w:gridSpan w:val="2"/>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266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20" w:type="dxa"/>
            <w:vAlign w:val="bottom"/>
          </w:tcPr>
          <w:p>
            <w:pPr>
              <w:spacing w:after="0"/>
              <w:rPr>
                <w:sz w:val="24"/>
                <w:szCs w:val="24"/>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presents a breakdown of the cost and estimated fair value of, and gross gains and losses on, investments in equity securities as of March 31, 2022 and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3"/>
              </w:rPr>
              <w:t>March 31,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12"/>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19,944,128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333,811</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(1,793,476)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18,484,463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Common stocks and exchange traded funds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13,145,504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837,696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(702,254)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13,280,946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41.8%</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33,089,632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1,171,507</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(2,495,730)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31,765,409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399"/>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2021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12"/>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22,019,509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1,007,009</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(184,617)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22,841,901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Common stocks and exchange traded funds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15,451,160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1,573,653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(179,712)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16,845,101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37,470,669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2,580,662</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(364,329)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39,687,002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The following table presents a breakdown of the cost and estimated fair value of, and gross gains on, our other investments as of March 31, 2022 and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March 31, 2022</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December 31, 2021</w:t>
            </w:r>
          </w:p>
        </w:tc>
      </w:tr>
      <w:tr>
        <w:trPr>
          <w:trHeight w:val="191"/>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r>
      <w:tr>
        <w:trPr>
          <w:trHeight w:val="234"/>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412"/>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Hedge fund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$ 3,999,381</w:t>
            </w:r>
          </w:p>
        </w:tc>
        <w:tc>
          <w:tcPr>
            <w:tcW w:w="12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$ 2,626,502</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$ 6,625,883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$ 3,999,381</w:t>
            </w:r>
          </w:p>
        </w:tc>
        <w:tc>
          <w:tcPr>
            <w:tcW w:w="10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$ 3,562,034</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$ 7,561,415</w:t>
            </w:r>
          </w:p>
        </w:tc>
      </w:tr>
      <w:tr>
        <w:trPr>
          <w:trHeight w:val="628"/>
        </w:trPr>
        <w:tc>
          <w:tcPr>
            <w:tcW w:w="49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53</w:t>
            </w: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pacing w:after="0" w:line="188"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Held-to-Maturity Securities</w:t>
      </w:r>
    </w:p>
    <w:p>
      <w:pPr>
        <w:sectPr>
          <w:pgSz w:w="11900" w:h="16838" w:orient="portrait"/>
          <w:cols w:equalWidth="0" w:num="1">
            <w:col w:w="11240"/>
          </w:cols>
          <w:pgMar w:left="320" w:top="140" w:right="339" w:bottom="0" w:gutter="0" w:footer="0" w:header="0"/>
        </w:sectPr>
      </w:pPr>
    </w:p>
    <w:bookmarkStart w:id="34" w:name="page35"/>
    <w:bookmarkEnd w:id="34"/>
    <w:p>
      <w:pPr>
        <w:spacing w:after="0" w:line="6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a breakdown of the amortized cost and estimated fair value of, and gross unrealized gains and losses on, investments in held-to-maturity securities as of March 31, 2022 and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 2022</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Cost or</w:t>
            </w:r>
          </w:p>
        </w:tc>
        <w:tc>
          <w:tcPr>
            <w:tcW w:w="180" w:type="dxa"/>
            <w:vAlign w:val="bottom"/>
          </w:tcPr>
          <w:p>
            <w:pPr>
              <w:spacing w:after="0"/>
              <w:rPr>
                <w:sz w:val="24"/>
                <w:szCs w:val="2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Gross Unrealized Losses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Estimated</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 of</w:t>
            </w:r>
          </w:p>
        </w:tc>
        <w:tc>
          <w:tcPr>
            <w:tcW w:w="0" w:type="dxa"/>
            <w:vAlign w:val="bottom"/>
          </w:tcPr>
          <w:p>
            <w:pPr>
              <w:spacing w:after="0"/>
              <w:rPr>
                <w:sz w:val="1"/>
                <w:szCs w:val="1"/>
                <w:color w:val="auto"/>
              </w:rPr>
            </w:pPr>
          </w:p>
        </w:tc>
      </w:tr>
      <w:tr>
        <w:trPr>
          <w:trHeight w:val="191"/>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34"/>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Months</w:t>
            </w:r>
          </w:p>
        </w:tc>
        <w:tc>
          <w:tcPr>
            <w:tcW w:w="2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Months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729,654</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202,788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(1,177)</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931,265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498,249</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8,421</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506,670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Exchange traded debt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304,111</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(21,611)</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282,500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6,233,124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56,601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(380,860)</w:t>
            </w:r>
          </w:p>
        </w:tc>
        <w:tc>
          <w:tcPr>
            <w:tcW w:w="9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5,908,865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7,765,138</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267,810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(403,648)</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7,629,300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December 31, 2021</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Cost or</w:t>
            </w:r>
          </w:p>
        </w:tc>
        <w:tc>
          <w:tcPr>
            <w:tcW w:w="180" w:type="dxa"/>
            <w:vAlign w:val="bottom"/>
          </w:tcPr>
          <w:p>
            <w:pPr>
              <w:spacing w:after="0"/>
              <w:rPr>
                <w:sz w:val="24"/>
                <w:szCs w:val="2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Gross Unrealized Losses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Estimated</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 of</w:t>
            </w:r>
          </w:p>
        </w:tc>
        <w:tc>
          <w:tcPr>
            <w:tcW w:w="0" w:type="dxa"/>
            <w:vAlign w:val="bottom"/>
          </w:tcPr>
          <w:p>
            <w:pPr>
              <w:spacing w:after="0"/>
              <w:rPr>
                <w:sz w:val="1"/>
                <w:szCs w:val="1"/>
                <w:color w:val="auto"/>
              </w:rPr>
            </w:pPr>
          </w:p>
        </w:tc>
      </w:tr>
      <w:tr>
        <w:trPr>
          <w:trHeight w:val="191"/>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22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1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Less than 12</w:t>
            </w:r>
          </w:p>
        </w:tc>
        <w:tc>
          <w:tcPr>
            <w:tcW w:w="9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126"/>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12</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Months</w:t>
            </w:r>
          </w:p>
        </w:tc>
        <w:tc>
          <w:tcPr>
            <w:tcW w:w="2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Months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729,642</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209,633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939,275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998,239</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22,856</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1,021,095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Exchange traded debt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304,111</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(13,921)</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290,275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6,234,342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280,951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(12,779)</w:t>
            </w:r>
          </w:p>
        </w:tc>
        <w:tc>
          <w:tcPr>
            <w:tcW w:w="9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6,502,514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8,266,334</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513,525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(26,700)</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8,753,159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amortized cost and fair value of our investments in held-to-maturity securities by contractual maturity as of March 31,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2021</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5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494,595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501,795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994,712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1,008,180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1,206,159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1,262,780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1,205,829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1,290,465</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1,516,810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1,494,773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1,513,942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1,648,808</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4,547,574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4,369,952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4,551,851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4,805,706</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7,765,138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7,629,300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8,266,334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8,753,159</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Rating of Fixed-Maturity Securities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summarizes the credit quality of our available-for-sale fixed-maturity securities as of March 31, 2022 and December 31, 2021 as rated by Standard &amp; Poor’s (or, if unavailable from Standard &amp; Poor’s, then Moody’s, Fitch, or Kroll):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March 31, 2022</w:t>
            </w:r>
          </w:p>
        </w:tc>
        <w:tc>
          <w:tcPr>
            <w:tcW w:w="246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2021</w:t>
            </w:r>
          </w:p>
        </w:tc>
      </w:tr>
      <w:tr>
        <w:trPr>
          <w:trHeight w:val="191"/>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c>
          <w:tcPr>
            <w:tcW w:w="15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Estimated</w:t>
            </w: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5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12"/>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Rating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  $</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26"/>
        </w:trPr>
        <w:tc>
          <w:tcPr>
            <w:tcW w:w="5840" w:type="dxa"/>
            <w:vAlign w:val="bottom"/>
            <w:tcBorders>
              <w:top w:val="single" w:sz="8" w:color="CCEEFF"/>
              <w:bottom w:val="single" w:sz="8" w:color="CCEEFF"/>
            </w:tcBorders>
          </w:tcPr>
          <w:p>
            <w:pPr>
              <w:spacing w:after="0"/>
              <w:rPr>
                <w:sz w:val="19"/>
                <w:szCs w:val="19"/>
                <w:color w:val="auto"/>
              </w:rPr>
            </w:pPr>
          </w:p>
        </w:tc>
        <w:tc>
          <w:tcPr>
            <w:tcW w:w="10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CCEEFF"/>
              <w:bottom w:val="single" w:sz="8" w:color="CCEEFF"/>
            </w:tcBorders>
          </w:tcPr>
          <w:p>
            <w:pPr>
              <w:spacing w:after="0"/>
              <w:rPr>
                <w:sz w:val="19"/>
                <w:szCs w:val="19"/>
                <w:color w:val="auto"/>
              </w:rPr>
            </w:pPr>
          </w:p>
        </w:tc>
        <w:tc>
          <w:tcPr>
            <w:tcW w:w="1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CCEEFF"/>
              <w:bottom w:val="single" w:sz="8" w:color="CCEEFF"/>
            </w:tcBorders>
          </w:tcPr>
          <w:p>
            <w:pPr>
              <w:spacing w:after="0"/>
              <w:rPr>
                <w:sz w:val="19"/>
                <w:szCs w:val="19"/>
                <w:color w:val="auto"/>
              </w:rPr>
            </w:pPr>
          </w:p>
        </w:tc>
        <w:tc>
          <w:tcPr>
            <w:tcW w:w="11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CCEEFF"/>
              <w:bottom w:val="single" w:sz="8" w:color="CCEEFF"/>
            </w:tcBorders>
          </w:tcPr>
          <w:p>
            <w:pPr>
              <w:spacing w:after="0"/>
              <w:rPr>
                <w:sz w:val="19"/>
                <w:szCs w:val="19"/>
                <w:color w:val="auto"/>
              </w:rPr>
            </w:pPr>
          </w:p>
        </w:tc>
      </w:tr>
    </w:tbl>
    <w:p>
      <w:pPr>
        <w:sectPr>
          <w:pgSz w:w="11900" w:h="16900" w:orient="portrait"/>
          <w:cols w:equalWidth="0" w:num="1">
            <w:col w:w="11240"/>
          </w:cols>
          <w:pgMar w:left="320" w:top="125" w:right="3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municipal bonds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AAA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2,245,760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1,321,809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12,316,338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11,532,572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32,664,514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38,272,571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BBB+</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20,651,573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17,936,359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BBB</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23,866,792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25,161,776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BBB-</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4,867,458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4,193,401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320" w:type="dxa"/>
            <w:vAlign w:val="bottom"/>
            <w:shd w:val="clear" w:color="auto" w:fill="CCEEFF"/>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Total corporate and municipal bonds</w:t>
            </w:r>
          </w:p>
        </w:tc>
        <w:tc>
          <w:tcPr>
            <w:tcW w:w="1120" w:type="dxa"/>
            <w:vAlign w:val="bottom"/>
          </w:tcPr>
          <w:p>
            <w:pPr>
              <w:jc w:val="right"/>
              <w:spacing w:after="0"/>
              <w:rPr>
                <w:sz w:val="20"/>
                <w:szCs w:val="20"/>
                <w:color w:val="auto"/>
              </w:rPr>
            </w:pPr>
            <w:r>
              <w:rPr>
                <w:rFonts w:ascii="Arial" w:cs="Arial" w:eastAsia="Arial" w:hAnsi="Arial"/>
                <w:sz w:val="18"/>
                <w:szCs w:val="18"/>
                <w:color w:val="auto"/>
              </w:rPr>
              <w:t>96,612,435</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63.6%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98,418,488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196"/>
        </w:trPr>
        <w:tc>
          <w:tcPr>
            <w:tcW w:w="1320" w:type="dxa"/>
            <w:vAlign w:val="bottom"/>
            <w:shd w:val="clear" w:color="auto" w:fill="CCEEFF"/>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w w:val="93"/>
              </w:rPr>
              <w:t>Residential mortgage backed, asset backed, and other collateralized obligations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AAA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17,992,573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17,350,192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AA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28,895,548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34,241,907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7,142,509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6,306,161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BBB</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23,684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24,254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CCC</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577,944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664,628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CC</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125,412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77,605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55,306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Non rated</w:t>
            </w:r>
          </w:p>
        </w:tc>
        <w:tc>
          <w:tcPr>
            <w:tcW w:w="1120" w:type="dxa"/>
            <w:vAlign w:val="bottom"/>
          </w:tcPr>
          <w:p>
            <w:pPr>
              <w:jc w:val="right"/>
              <w:spacing w:after="0"/>
              <w:rPr>
                <w:sz w:val="20"/>
                <w:szCs w:val="20"/>
                <w:color w:val="auto"/>
              </w:rPr>
            </w:pPr>
            <w:r>
              <w:rPr>
                <w:rFonts w:ascii="Arial" w:cs="Arial" w:eastAsia="Arial" w:hAnsi="Arial"/>
                <w:sz w:val="18"/>
                <w:szCs w:val="18"/>
                <w:color w:val="auto"/>
              </w:rPr>
              <w:t>456,119</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893,762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40" w:type="dxa"/>
            <w:vAlign w:val="bottom"/>
            <w:gridSpan w:val="2"/>
            <w:shd w:val="clear" w:color="auto" w:fill="CCEEFF"/>
          </w:tcPr>
          <w:p>
            <w:pPr>
              <w:ind w:left="420"/>
              <w:spacing w:after="0" w:line="195" w:lineRule="exact"/>
              <w:rPr>
                <w:sz w:val="20"/>
                <w:szCs w:val="20"/>
                <w:color w:val="auto"/>
              </w:rPr>
            </w:pPr>
            <w:r>
              <w:rPr>
                <w:rFonts w:ascii="Arial" w:cs="Arial" w:eastAsia="Arial" w:hAnsi="Arial"/>
                <w:sz w:val="18"/>
                <w:szCs w:val="18"/>
                <w:color w:val="auto"/>
                <w:w w:val="94"/>
              </w:rPr>
              <w:t>Total residential mortgage backed, asset backed, and other collateralized</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55,285,061</w:t>
            </w:r>
          </w:p>
        </w:tc>
        <w:tc>
          <w:tcPr>
            <w:tcW w:w="220" w:type="dxa"/>
            <w:vAlign w:val="bottom"/>
            <w:vMerge w:val="restart"/>
            <w:shd w:val="clear" w:color="auto" w:fill="CCEEFF"/>
          </w:tcPr>
          <w:p>
            <w:pPr>
              <w:spacing w:after="0"/>
              <w:rPr>
                <w:sz w:val="16"/>
                <w:szCs w:val="16"/>
                <w:color w:val="auto"/>
              </w:rPr>
            </w:pPr>
          </w:p>
        </w:tc>
        <w:tc>
          <w:tcPr>
            <w:tcW w:w="1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59,661,622</w:t>
            </w:r>
          </w:p>
        </w:tc>
        <w:tc>
          <w:tcPr>
            <w:tcW w:w="1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420"/>
              <w:spacing w:after="0" w:line="190" w:lineRule="exact"/>
              <w:rPr>
                <w:sz w:val="20"/>
                <w:szCs w:val="20"/>
                <w:color w:val="auto"/>
              </w:rPr>
            </w:pPr>
            <w:r>
              <w:rPr>
                <w:rFonts w:ascii="Arial" w:cs="Arial" w:eastAsia="Arial" w:hAnsi="Arial"/>
                <w:sz w:val="18"/>
                <w:szCs w:val="18"/>
                <w:color w:val="auto"/>
              </w:rPr>
              <w:t>obligations</w:t>
            </w:r>
          </w:p>
        </w:tc>
        <w:tc>
          <w:tcPr>
            <w:tcW w:w="11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28"/>
        </w:trPr>
        <w:tc>
          <w:tcPr>
            <w:tcW w:w="5940" w:type="dxa"/>
            <w:vAlign w:val="bottom"/>
            <w:tcBorders>
              <w:top w:val="single" w:sz="8" w:color="CCEEFF"/>
              <w:bottom w:val="single" w:sz="8" w:color="auto"/>
            </w:tcBorders>
            <w:gridSpan w:val="2"/>
          </w:tcPr>
          <w:p>
            <w:pPr>
              <w:ind w:left="5540"/>
              <w:spacing w:after="0"/>
              <w:rPr>
                <w:sz w:val="20"/>
                <w:szCs w:val="20"/>
                <w:color w:val="auto"/>
              </w:rPr>
            </w:pPr>
            <w:r>
              <w:rPr>
                <w:rFonts w:ascii="Arial" w:cs="Arial" w:eastAsia="Arial" w:hAnsi="Arial"/>
                <w:sz w:val="18"/>
                <w:szCs w:val="18"/>
                <w:color w:val="auto"/>
              </w:rPr>
              <w:t>55</w:t>
            </w: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32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4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table below summarizes the average yield by type of fixed-maturity security as of March 31,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4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March 31, 2022</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 obligations of U.S. government corporations and agencies</w:t>
            </w:r>
          </w:p>
        </w:tc>
        <w:tc>
          <w:tcPr>
            <w:tcW w:w="1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3.09%</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r>
      <w:tr>
        <w:trPr>
          <w:trHeight w:val="203"/>
        </w:trPr>
        <w:tc>
          <w:tcPr>
            <w:tcW w:w="7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3.05%</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r>
      <w:tr>
        <w:trPr>
          <w:trHeight w:val="203"/>
        </w:trPr>
        <w:tc>
          <w:tcPr>
            <w:tcW w:w="7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3.32%</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r>
      <w:tr>
        <w:trPr>
          <w:trHeight w:val="203"/>
        </w:trPr>
        <w:tc>
          <w:tcPr>
            <w:tcW w:w="7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1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r>
      <w:tr>
        <w:trPr>
          <w:trHeight w:val="203"/>
        </w:trPr>
        <w:tc>
          <w:tcPr>
            <w:tcW w:w="7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3.05%</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lists the weighted average maturity and effective duration in years on our fixed-maturity securities as of March 31,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March 31, 2022</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effective maturity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final maturity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Effective duration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Fair Value Consideration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March 31, 2022 and December 31, 2021, 62% of the investment portfolio recorded at fair value was priced based upon quoted market prices.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table below summarizes the gross unrealized losses of our fixed-maturity securities available-for-sale and equity securities by length of time the security has continuously been in an unrealized loss position as of March 31, 2022 and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March 31, 2022</w:t>
            </w: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10"/>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8"/>
              </w:rPr>
              <w:t>Less than 12 months</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12 months or more</w:t>
            </w:r>
          </w:p>
        </w:tc>
        <w:tc>
          <w:tcPr>
            <w:tcW w:w="220" w:type="dxa"/>
            <w:vAlign w:val="bottom"/>
          </w:tcPr>
          <w:p>
            <w:pPr>
              <w:spacing w:after="0"/>
              <w:rPr>
                <w:sz w:val="18"/>
                <w:szCs w:val="18"/>
                <w:color w:val="auto"/>
              </w:rPr>
            </w:pPr>
          </w:p>
        </w:tc>
        <w:tc>
          <w:tcPr>
            <w:tcW w:w="124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83"/>
              </w:rPr>
              <w:t>Total</w:t>
            </w:r>
          </w:p>
        </w:tc>
        <w:tc>
          <w:tcPr>
            <w:tcW w:w="880" w:type="dxa"/>
            <w:vAlign w:val="bottom"/>
            <w:tcBorders>
              <w:bottom w:val="single" w:sz="8" w:color="auto"/>
            </w:tcBorders>
          </w:tcPr>
          <w:p>
            <w:pPr>
              <w:spacing w:after="0"/>
              <w:rPr>
                <w:sz w:val="18"/>
                <w:szCs w:val="18"/>
                <w:color w:val="auto"/>
              </w:rPr>
            </w:pPr>
          </w:p>
        </w:tc>
      </w:tr>
      <w:tr>
        <w:trPr>
          <w:trHeight w:val="191"/>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6"/>
          </w:tcPr>
          <w:p>
            <w:pPr>
              <w:jc w:val="center"/>
              <w:ind w:right="1360"/>
              <w:spacing w:after="0" w:line="191" w:lineRule="exact"/>
              <w:rPr>
                <w:sz w:val="20"/>
                <w:szCs w:val="20"/>
                <w:color w:val="auto"/>
              </w:rPr>
            </w:pPr>
            <w:r>
              <w:rPr>
                <w:rFonts w:ascii="Arial" w:cs="Arial" w:eastAsia="Arial" w:hAnsi="Arial"/>
                <w:sz w:val="18"/>
                <w:szCs w:val="18"/>
                <w:b w:val="1"/>
                <w:bCs w:val="1"/>
                <w:color w:val="auto"/>
                <w:w w:val="88"/>
              </w:rPr>
              <w:t>Estimated</w:t>
            </w:r>
          </w:p>
        </w:tc>
        <w:tc>
          <w:tcPr>
            <w:tcW w:w="7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20" w:type="dxa"/>
            <w:vAlign w:val="bottom"/>
          </w:tcPr>
          <w:p>
            <w:pPr>
              <w:spacing w:after="0"/>
              <w:rPr>
                <w:sz w:val="16"/>
                <w:szCs w:val="16"/>
                <w:color w:val="auto"/>
              </w:rPr>
            </w:pPr>
          </w:p>
        </w:tc>
        <w:tc>
          <w:tcPr>
            <w:tcW w:w="2080" w:type="dxa"/>
            <w:vAlign w:val="bottom"/>
            <w:gridSpan w:val="5"/>
          </w:tcPr>
          <w:p>
            <w:pPr>
              <w:jc w:val="center"/>
              <w:ind w:right="1260"/>
              <w:spacing w:after="0" w:line="191" w:lineRule="exact"/>
              <w:rPr>
                <w:sz w:val="20"/>
                <w:szCs w:val="20"/>
                <w:color w:val="auto"/>
              </w:rPr>
            </w:pPr>
            <w:r>
              <w:rPr>
                <w:rFonts w:ascii="Arial" w:cs="Arial" w:eastAsia="Arial" w:hAnsi="Arial"/>
                <w:sz w:val="18"/>
                <w:szCs w:val="18"/>
                <w:b w:val="1"/>
                <w:bCs w:val="1"/>
                <w:color w:val="auto"/>
                <w:w w:val="90"/>
              </w:rPr>
              <w:t>Estimated</w:t>
            </w: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20" w:type="dxa"/>
            <w:vAlign w:val="bottom"/>
          </w:tcPr>
          <w:p>
            <w:pPr>
              <w:spacing w:after="0"/>
              <w:rPr>
                <w:sz w:val="16"/>
                <w:szCs w:val="16"/>
                <w:color w:val="auto"/>
              </w:rPr>
            </w:pPr>
          </w:p>
        </w:tc>
        <w:tc>
          <w:tcPr>
            <w:tcW w:w="1240" w:type="dxa"/>
            <w:vAlign w:val="bottom"/>
            <w:gridSpan w:val="3"/>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Estimated</w:t>
            </w:r>
          </w:p>
        </w:tc>
        <w:tc>
          <w:tcPr>
            <w:tcW w:w="880" w:type="dxa"/>
            <w:vAlign w:val="bottom"/>
          </w:tcPr>
          <w:p>
            <w:pPr>
              <w:spacing w:after="0"/>
              <w:rPr>
                <w:sz w:val="16"/>
                <w:szCs w:val="16"/>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center"/>
              <w:ind w:left="170"/>
              <w:spacing w:after="0"/>
              <w:rPr>
                <w:sz w:val="20"/>
                <w:szCs w:val="20"/>
                <w:color w:val="auto"/>
              </w:rPr>
            </w:pPr>
            <w:r>
              <w:rPr>
                <w:rFonts w:ascii="Arial" w:cs="Arial" w:eastAsia="Arial" w:hAnsi="Arial"/>
                <w:sz w:val="18"/>
                <w:szCs w:val="18"/>
                <w:b w:val="1"/>
                <w:bCs w:val="1"/>
                <w:color w:val="auto"/>
                <w:w w:val="96"/>
              </w:rPr>
              <w:t>Fair</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c>
          <w:tcPr>
            <w:tcW w:w="220" w:type="dxa"/>
            <w:vAlign w:val="bottom"/>
          </w:tcPr>
          <w:p>
            <w:pPr>
              <w:spacing w:after="0"/>
              <w:rPr>
                <w:sz w:val="18"/>
                <w:szCs w:val="18"/>
                <w:color w:val="auto"/>
              </w:rPr>
            </w:pPr>
          </w:p>
        </w:tc>
        <w:tc>
          <w:tcPr>
            <w:tcW w:w="660" w:type="dxa"/>
            <w:vAlign w:val="bottom"/>
          </w:tcPr>
          <w:p>
            <w:pPr>
              <w:jc w:val="center"/>
              <w:ind w:left="70"/>
              <w:spacing w:after="0"/>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6"/>
              </w:rPr>
              <w:t>Positions</w:t>
            </w:r>
          </w:p>
        </w:tc>
        <w:tc>
          <w:tcPr>
            <w:tcW w:w="22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6"/>
              </w:rPr>
              <w:t>Fair</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7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1"/>
              </w:rPr>
              <w:t>Value</w:t>
            </w: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Held</w:t>
            </w:r>
          </w:p>
        </w:tc>
        <w:tc>
          <w:tcPr>
            <w:tcW w:w="220" w:type="dxa"/>
            <w:vAlign w:val="bottom"/>
          </w:tcPr>
          <w:p>
            <w:pPr>
              <w:spacing w:after="0"/>
              <w:rPr>
                <w:sz w:val="20"/>
                <w:szCs w:val="20"/>
                <w:color w:val="auto"/>
              </w:rPr>
            </w:pPr>
          </w:p>
        </w:tc>
        <w:tc>
          <w:tcPr>
            <w:tcW w:w="6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Held</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Losses</w:t>
            </w:r>
          </w:p>
        </w:tc>
      </w:tr>
    </w:tbl>
    <w:p>
      <w:pPr>
        <w:sectPr>
          <w:pgSz w:w="11900" w:h="16838" w:orient="portrait"/>
          <w:cols w:equalWidth="0" w:num="1">
            <w:col w:w="11240"/>
          </w:cols>
          <w:pgMar w:left="320" w:top="140" w:right="3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obligations of U.S. government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Political subdivisions of States,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3"/>
              </w:rPr>
              <w:t>14,959,121</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1"/>
              </w:rPr>
              <w:t>(1,614,463)</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14,959,121</w:t>
            </w:r>
          </w:p>
        </w:tc>
        <w:tc>
          <w:tcPr>
            <w:tcW w:w="14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(1,614,463)</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3"/>
              </w:rPr>
              <w:t>51,973,548</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1"/>
              </w:rPr>
              <w:t>(3,143,378)</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51,973,548</w:t>
            </w:r>
          </w:p>
        </w:tc>
        <w:tc>
          <w:tcPr>
            <w:tcW w:w="14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(3,143,378)</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Residential mortgage and other</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3"/>
              </w:rPr>
              <w:t>40,310,519</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1"/>
              </w:rPr>
              <w:t>(3,119,931)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7"/>
                <w:szCs w:val="17"/>
                <w:color w:val="auto"/>
              </w:rPr>
            </w:pPr>
          </w:p>
        </w:tc>
        <w:tc>
          <w:tcPr>
            <w:tcW w:w="1040" w:type="dxa"/>
            <w:vAlign w:val="bottom"/>
            <w:gridSpan w:val="5"/>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2,733,402</w:t>
            </w:r>
          </w:p>
        </w:tc>
        <w:tc>
          <w:tcPr>
            <w:tcW w:w="20" w:type="dxa"/>
            <w:vAlign w:val="bottom"/>
            <w:shd w:val="clear" w:color="auto" w:fill="CCEEFF"/>
          </w:tcPr>
          <w:p>
            <w:pPr>
              <w:spacing w:after="0"/>
              <w:rPr>
                <w:sz w:val="17"/>
                <w:szCs w:val="17"/>
                <w:color w:val="auto"/>
              </w:rPr>
            </w:pPr>
          </w:p>
        </w:tc>
        <w:tc>
          <w:tcPr>
            <w:tcW w:w="102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(306,849)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7"/>
                <w:szCs w:val="17"/>
                <w:color w:val="auto"/>
              </w:rPr>
            </w:pPr>
          </w:p>
        </w:tc>
        <w:tc>
          <w:tcPr>
            <w:tcW w:w="1120" w:type="dxa"/>
            <w:vAlign w:val="bottom"/>
            <w:gridSpan w:val="5"/>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43,043,921</w:t>
            </w:r>
          </w:p>
        </w:tc>
        <w:tc>
          <w:tcPr>
            <w:tcW w:w="14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(3,426,780)</w:t>
            </w:r>
          </w:p>
        </w:tc>
        <w:tc>
          <w:tcPr>
            <w:tcW w:w="0" w:type="dxa"/>
            <w:vAlign w:val="bottom"/>
          </w:tcPr>
          <w:p>
            <w:pPr>
              <w:spacing w:after="0"/>
              <w:rPr>
                <w:sz w:val="1"/>
                <w:szCs w:val="1"/>
                <w:color w:val="auto"/>
              </w:rPr>
            </w:pPr>
          </w:p>
        </w:tc>
      </w:tr>
      <w:tr>
        <w:trPr>
          <w:trHeight w:val="217"/>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4"/>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4"/>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5"/>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4"/>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5"/>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gridSpan w:val="2"/>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gridSpan w:val="2"/>
          </w:tcPr>
          <w:p>
            <w:pPr>
              <w:spacing w:after="0"/>
              <w:rPr>
                <w:sz w:val="17"/>
                <w:szCs w:val="17"/>
                <w:color w:val="auto"/>
              </w:rPr>
            </w:pPr>
          </w:p>
        </w:tc>
        <w:tc>
          <w:tcPr>
            <w:tcW w:w="660" w:type="dxa"/>
            <w:vAlign w:val="bottom"/>
            <w:tcBorders>
              <w:top w:val="single" w:sz="8" w:color="auto"/>
            </w:tcBorders>
            <w:gridSpan w:val="2"/>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136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107,243,188</w:t>
            </w:r>
          </w:p>
        </w:tc>
        <w:tc>
          <w:tcPr>
            <w:tcW w:w="110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 xml:space="preserve"> (7,877,772)</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22"/>
                <w:szCs w:val="22"/>
                <w:color w:val="auto"/>
              </w:rPr>
            </w:pPr>
          </w:p>
        </w:tc>
        <w:tc>
          <w:tcPr>
            <w:tcW w:w="1040" w:type="dxa"/>
            <w:vAlign w:val="bottom"/>
            <w:gridSpan w:val="5"/>
            <w:shd w:val="clear" w:color="auto" w:fill="CCEEFF"/>
          </w:tcPr>
          <w:p>
            <w:pPr>
              <w:jc w:val="right"/>
              <w:ind w:right="70"/>
              <w:spacing w:after="0"/>
              <w:rPr>
                <w:sz w:val="20"/>
                <w:szCs w:val="20"/>
                <w:color w:val="auto"/>
              </w:rPr>
            </w:pPr>
            <w:r>
              <w:rPr>
                <w:rFonts w:ascii="Arial" w:cs="Arial" w:eastAsia="Arial" w:hAnsi="Arial"/>
                <w:sz w:val="18"/>
                <w:szCs w:val="18"/>
                <w:color w:val="auto"/>
                <w:w w:val="90"/>
              </w:rPr>
              <w:t>$ 2,733,402</w:t>
            </w:r>
          </w:p>
        </w:tc>
        <w:tc>
          <w:tcPr>
            <w:tcW w:w="20" w:type="dxa"/>
            <w:vAlign w:val="bottom"/>
            <w:shd w:val="clear" w:color="auto" w:fill="CCEEFF"/>
          </w:tcPr>
          <w:p>
            <w:pPr>
              <w:spacing w:after="0"/>
              <w:rPr>
                <w:sz w:val="22"/>
                <w:szCs w:val="22"/>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 (306,849)</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2"/>
                <w:szCs w:val="22"/>
                <w:color w:val="auto"/>
              </w:rPr>
            </w:pP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 109,976,590</w:t>
            </w:r>
          </w:p>
        </w:tc>
        <w:tc>
          <w:tcPr>
            <w:tcW w:w="14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(8,184,621)</w:t>
            </w:r>
          </w:p>
        </w:tc>
        <w:tc>
          <w:tcPr>
            <w:tcW w:w="0" w:type="dxa"/>
            <w:vAlign w:val="bottom"/>
          </w:tcPr>
          <w:p>
            <w:pPr>
              <w:spacing w:after="0"/>
              <w:rPr>
                <w:sz w:val="1"/>
                <w:szCs w:val="1"/>
                <w:color w:val="auto"/>
              </w:rPr>
            </w:pPr>
          </w:p>
        </w:tc>
      </w:tr>
      <w:tr>
        <w:trPr>
          <w:trHeight w:val="628"/>
        </w:trPr>
        <w:tc>
          <w:tcPr>
            <w:tcW w:w="13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44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32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9"/>
          </w:tcPr>
          <w:p>
            <w:pPr>
              <w:jc w:val="right"/>
              <w:ind w:right="420"/>
              <w:spacing w:after="0"/>
              <w:rPr>
                <w:sz w:val="20"/>
                <w:szCs w:val="20"/>
                <w:color w:val="auto"/>
              </w:rPr>
            </w:pPr>
            <w:r>
              <w:rPr>
                <w:rFonts w:ascii="Arial" w:cs="Arial" w:eastAsia="Arial" w:hAnsi="Arial"/>
                <w:sz w:val="18"/>
                <w:szCs w:val="18"/>
                <w:b w:val="1"/>
                <w:bCs w:val="1"/>
                <w:color w:val="auto"/>
                <w:w w:val="94"/>
              </w:rPr>
              <w:t>December 31, 2021</w:t>
            </w: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14"/>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0" w:type="dxa"/>
            <w:vAlign w:val="bottom"/>
            <w:gridSpan w:val="11"/>
          </w:tcPr>
          <w:p>
            <w:pPr>
              <w:ind w:left="20"/>
              <w:spacing w:after="0"/>
              <w:rPr>
                <w:sz w:val="20"/>
                <w:szCs w:val="20"/>
                <w:color w:val="auto"/>
              </w:rPr>
            </w:pPr>
            <w:r>
              <w:rPr>
                <w:rFonts w:ascii="Arial" w:cs="Arial" w:eastAsia="Arial" w:hAnsi="Arial"/>
                <w:sz w:val="18"/>
                <w:szCs w:val="18"/>
                <w:b w:val="1"/>
                <w:bCs w:val="1"/>
                <w:color w:val="auto"/>
              </w:rPr>
              <w:t>12 months or more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center"/>
              <w:ind w:right="20"/>
              <w:spacing w:after="0" w:line="191" w:lineRule="exact"/>
              <w:rPr>
                <w:sz w:val="20"/>
                <w:szCs w:val="20"/>
                <w:color w:val="auto"/>
              </w:rPr>
            </w:pPr>
            <w:r>
              <w:rPr>
                <w:rFonts w:ascii="Arial" w:cs="Arial" w:eastAsia="Arial" w:hAnsi="Arial"/>
                <w:sz w:val="18"/>
                <w:szCs w:val="18"/>
                <w:b w:val="1"/>
                <w:bCs w:val="1"/>
                <w:color w:val="auto"/>
                <w:w w:val="90"/>
              </w:rPr>
              <w:t>No. of</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gridSpan w:val="4"/>
          </w:tcPr>
          <w:p>
            <w:pPr>
              <w:jc w:val="center"/>
              <w:ind w:right="40"/>
              <w:spacing w:after="0" w:line="191" w:lineRule="exact"/>
              <w:rPr>
                <w:sz w:val="20"/>
                <w:szCs w:val="20"/>
                <w:color w:val="auto"/>
              </w:rPr>
            </w:pPr>
            <w:r>
              <w:rPr>
                <w:rFonts w:ascii="Arial" w:cs="Arial" w:eastAsia="Arial" w:hAnsi="Arial"/>
                <w:sz w:val="18"/>
                <w:szCs w:val="18"/>
                <w:b w:val="1"/>
                <w:bCs w:val="1"/>
                <w:color w:val="auto"/>
                <w:w w:val="90"/>
              </w:rPr>
              <w:t>Estimated</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top w:val="single" w:sz="8" w:color="auto"/>
            </w:tcBorders>
            <w:gridSpan w:val="4"/>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Estimated</w:t>
            </w: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Fair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6"/>
          </w:tcPr>
          <w:p>
            <w:pPr>
              <w:ind w:left="140"/>
              <w:spacing w:after="0"/>
              <w:rPr>
                <w:sz w:val="20"/>
                <w:szCs w:val="20"/>
                <w:color w:val="auto"/>
              </w:rPr>
            </w:pPr>
            <w:r>
              <w:rPr>
                <w:rFonts w:ascii="Arial" w:cs="Arial" w:eastAsia="Arial" w:hAnsi="Arial"/>
                <w:sz w:val="18"/>
                <w:szCs w:val="18"/>
                <w:b w:val="1"/>
                <w:bCs w:val="1"/>
                <w:color w:val="auto"/>
              </w:rPr>
              <w:t>Unrealized</w:t>
            </w:r>
          </w:p>
        </w:tc>
        <w:tc>
          <w:tcPr>
            <w:tcW w:w="7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3"/>
              </w:rPr>
              <w:t>Positions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6"/>
              </w:rPr>
              <w:t>Fair</w:t>
            </w:r>
          </w:p>
        </w:tc>
        <w:tc>
          <w:tcPr>
            <w:tcW w:w="20" w:type="dxa"/>
            <w:vAlign w:val="bottom"/>
          </w:tcPr>
          <w:p>
            <w:pPr>
              <w:spacing w:after="0"/>
              <w:rPr>
                <w:sz w:val="18"/>
                <w:szCs w:val="18"/>
                <w:color w:val="auto"/>
              </w:rPr>
            </w:pPr>
          </w:p>
        </w:tc>
        <w:tc>
          <w:tcPr>
            <w:tcW w:w="12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Unrealized</w:t>
            </w:r>
          </w:p>
        </w:tc>
        <w:tc>
          <w:tcPr>
            <w:tcW w:w="8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6"/>
              </w:rPr>
              <w:t>Positions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rPr>
              <w:t>Fair</w:t>
            </w:r>
          </w:p>
        </w:tc>
        <w:tc>
          <w:tcPr>
            <w:tcW w:w="1000" w:type="dxa"/>
            <w:vAlign w:val="bottom"/>
            <w:gridSpan w:val="4"/>
          </w:tcPr>
          <w:p>
            <w:pPr>
              <w:ind w:left="60"/>
              <w:spacing w:after="0"/>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234"/>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Value</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83"/>
              </w:rPr>
              <w:t>Losses</w:t>
            </w:r>
          </w:p>
        </w:tc>
        <w:tc>
          <w:tcPr>
            <w:tcW w:w="7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Held</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Value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Losses</w:t>
            </w:r>
          </w:p>
        </w:tc>
        <w:tc>
          <w:tcPr>
            <w:tcW w:w="8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7"/>
              </w:rPr>
              <w:t>Held</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3"/>
              </w:rPr>
              <w:t>Losses</w:t>
            </w:r>
          </w:p>
        </w:tc>
        <w:tc>
          <w:tcPr>
            <w:tcW w:w="0" w:type="dxa"/>
            <w:vAlign w:val="bottom"/>
          </w:tcPr>
          <w:p>
            <w:pPr>
              <w:spacing w:after="0"/>
              <w:rPr>
                <w:sz w:val="1"/>
                <w:szCs w:val="1"/>
                <w:color w:val="auto"/>
              </w:rPr>
            </w:pPr>
          </w:p>
        </w:tc>
      </w:tr>
      <w:tr>
        <w:trPr>
          <w:trHeight w:val="412"/>
        </w:trPr>
        <w:tc>
          <w:tcPr>
            <w:tcW w:w="24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obligations of U.S. government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Political subdivisions of States,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6,768,123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5"/>
              </w:rPr>
              <w:t>(197,984)</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6,768,123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(197,984)</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4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3"/>
              </w:rPr>
              <w:t>Corporate and other bonds industrial</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miscellaneous</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17,593,707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5"/>
              </w:rPr>
              <w:t>(126,926)</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8"/>
              </w:rPr>
              <w:t>17,593,707</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(126,926)</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4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1"/>
              </w:rPr>
              <w:t>Residential mortgage and other asset</w:t>
            </w:r>
          </w:p>
        </w:tc>
        <w:tc>
          <w:tcPr>
            <w:tcW w:w="180" w:type="dxa"/>
            <w:vAlign w:val="bottom"/>
            <w:gridSpan w:val="2"/>
            <w:vMerge w:val="restart"/>
            <w:shd w:val="clear" w:color="auto" w:fill="CCEEFF"/>
          </w:tcPr>
          <w:p>
            <w:pPr>
              <w:spacing w:after="0"/>
              <w:rPr>
                <w:sz w:val="17"/>
                <w:szCs w:val="17"/>
                <w:color w:val="auto"/>
              </w:rPr>
            </w:pPr>
          </w:p>
        </w:tc>
        <w:tc>
          <w:tcPr>
            <w:tcW w:w="92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45,399,451</w:t>
            </w:r>
          </w:p>
        </w:tc>
        <w:tc>
          <w:tcPr>
            <w:tcW w:w="8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5"/>
              </w:rPr>
              <w:t>(489,258)</w:t>
            </w:r>
          </w:p>
        </w:tc>
        <w:tc>
          <w:tcPr>
            <w:tcW w:w="7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89"/>
              </w:rPr>
              <w:t>2,923,182</w:t>
            </w:r>
          </w:p>
        </w:tc>
        <w:tc>
          <w:tcPr>
            <w:tcW w:w="1220" w:type="dxa"/>
            <w:vAlign w:val="bottom"/>
            <w:gridSpan w:val="6"/>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(120,344)</w:t>
            </w:r>
          </w:p>
        </w:tc>
        <w:tc>
          <w:tcPr>
            <w:tcW w:w="8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88"/>
              </w:rPr>
              <w:t>48,322,633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5"/>
              </w:rPr>
              <w:t>(609,602)</w:t>
            </w:r>
          </w:p>
        </w:tc>
        <w:tc>
          <w:tcPr>
            <w:tcW w:w="0" w:type="dxa"/>
            <w:vAlign w:val="bottom"/>
          </w:tcPr>
          <w:p>
            <w:pPr>
              <w:spacing w:after="0"/>
              <w:rPr>
                <w:sz w:val="1"/>
                <w:szCs w:val="1"/>
                <w:color w:val="auto"/>
              </w:rPr>
            </w:pPr>
          </w:p>
        </w:tc>
      </w:tr>
      <w:tr>
        <w:trPr>
          <w:trHeight w:val="217"/>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backed securities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920" w:type="dxa"/>
            <w:vAlign w:val="bottom"/>
            <w:gridSpan w:val="4"/>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vMerge w:val="continue"/>
            <w:shd w:val="clear" w:color="auto" w:fill="CCEEFF"/>
          </w:tcPr>
          <w:p>
            <w:pPr>
              <w:spacing w:after="0"/>
              <w:rPr>
                <w:sz w:val="18"/>
                <w:szCs w:val="18"/>
                <w:color w:val="auto"/>
              </w:rPr>
            </w:pPr>
          </w:p>
        </w:tc>
        <w:tc>
          <w:tcPr>
            <w:tcW w:w="78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vMerge w:val="continue"/>
            <w:shd w:val="clear" w:color="auto" w:fill="CCEEFF"/>
          </w:tcPr>
          <w:p>
            <w:pPr>
              <w:spacing w:after="0"/>
              <w:rPr>
                <w:sz w:val="18"/>
                <w:szCs w:val="18"/>
                <w:color w:val="auto"/>
              </w:rPr>
            </w:pPr>
          </w:p>
        </w:tc>
        <w:tc>
          <w:tcPr>
            <w:tcW w:w="1220" w:type="dxa"/>
            <w:vAlign w:val="bottom"/>
            <w:gridSpan w:val="6"/>
            <w:vMerge w:val="continue"/>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gridSpan w:val="4"/>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2"/>
          </w:tcPr>
          <w:p>
            <w:pPr>
              <w:spacing w:after="0"/>
              <w:rPr>
                <w:sz w:val="17"/>
                <w:szCs w:val="17"/>
                <w:color w:val="auto"/>
              </w:rPr>
            </w:pPr>
          </w:p>
        </w:tc>
        <w:tc>
          <w:tcPr>
            <w:tcW w:w="220" w:type="dxa"/>
            <w:vAlign w:val="bottom"/>
            <w:tcBorders>
              <w:top w:val="single" w:sz="8" w:color="CCEEFF"/>
            </w:tcBorders>
            <w:gridSpan w:val="2"/>
          </w:tcPr>
          <w:p>
            <w:pPr>
              <w:spacing w:after="0"/>
              <w:rPr>
                <w:sz w:val="17"/>
                <w:szCs w:val="17"/>
                <w:color w:val="auto"/>
              </w:rPr>
            </w:pPr>
          </w:p>
        </w:tc>
        <w:tc>
          <w:tcPr>
            <w:tcW w:w="760" w:type="dxa"/>
            <w:vAlign w:val="bottom"/>
            <w:tcBorders>
              <w:top w:val="single" w:sz="8" w:color="auto"/>
            </w:tcBorders>
            <w:gridSpan w:val="2"/>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gridSpan w:val="2"/>
          </w:tcPr>
          <w:p>
            <w:pPr>
              <w:spacing w:after="0"/>
              <w:rPr>
                <w:sz w:val="17"/>
                <w:szCs w:val="17"/>
                <w:color w:val="auto"/>
              </w:rPr>
            </w:pPr>
          </w:p>
        </w:tc>
        <w:tc>
          <w:tcPr>
            <w:tcW w:w="840" w:type="dxa"/>
            <w:vAlign w:val="bottom"/>
            <w:tcBorders>
              <w:top w:val="single" w:sz="8" w:color="auto"/>
            </w:tcBorders>
            <w:gridSpan w:val="3"/>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gridSpan w:val="2"/>
          </w:tcPr>
          <w:p>
            <w:pPr>
              <w:spacing w:after="0"/>
              <w:rPr>
                <w:sz w:val="17"/>
                <w:szCs w:val="17"/>
                <w:color w:val="auto"/>
              </w:rPr>
            </w:pPr>
          </w:p>
        </w:tc>
        <w:tc>
          <w:tcPr>
            <w:tcW w:w="840" w:type="dxa"/>
            <w:vAlign w:val="bottom"/>
            <w:tcBorders>
              <w:top w:val="single" w:sz="8" w:color="auto"/>
            </w:tcBorders>
            <w:gridSpan w:val="2"/>
          </w:tcPr>
          <w:p>
            <w:pPr>
              <w:spacing w:after="0"/>
              <w:rPr>
                <w:sz w:val="17"/>
                <w:szCs w:val="17"/>
                <w:color w:val="auto"/>
              </w:rPr>
            </w:pPr>
          </w:p>
        </w:tc>
        <w:tc>
          <w:tcPr>
            <w:tcW w:w="200" w:type="dxa"/>
            <w:vAlign w:val="bottom"/>
            <w:tcBorders>
              <w:top w:val="single" w:sz="8" w:color="CCEEFF"/>
            </w:tcBorders>
            <w:gridSpan w:val="2"/>
          </w:tcPr>
          <w:p>
            <w:pPr>
              <w:spacing w:after="0"/>
              <w:rPr>
                <w:sz w:val="17"/>
                <w:szCs w:val="17"/>
                <w:color w:val="auto"/>
              </w:rPr>
            </w:pPr>
          </w:p>
        </w:tc>
        <w:tc>
          <w:tcPr>
            <w:tcW w:w="780" w:type="dxa"/>
            <w:vAlign w:val="bottom"/>
            <w:tcBorders>
              <w:top w:val="single" w:sz="8" w:color="auto"/>
            </w:tcBorders>
            <w:gridSpan w:val="2"/>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gridSpan w:val="2"/>
          </w:tcPr>
          <w:p>
            <w:pPr>
              <w:spacing w:after="0"/>
              <w:rPr>
                <w:sz w:val="17"/>
                <w:szCs w:val="17"/>
                <w:color w:val="auto"/>
              </w:rPr>
            </w:pPr>
          </w:p>
        </w:tc>
        <w:tc>
          <w:tcPr>
            <w:tcW w:w="920" w:type="dxa"/>
            <w:vAlign w:val="bottom"/>
            <w:tcBorders>
              <w:top w:val="single" w:sz="8" w:color="auto"/>
            </w:tcBorders>
            <w:gridSpan w:val="3"/>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gridSpan w:val="2"/>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69,761,281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5"/>
              </w:rPr>
              <w:t>(814,168)</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10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$ 2,923,182</w:t>
            </w:r>
          </w:p>
        </w:tc>
        <w:tc>
          <w:tcPr>
            <w:tcW w:w="122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 (120,344)</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26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72,684,463</w:t>
            </w: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(934,512)</w:t>
            </w:r>
          </w:p>
        </w:tc>
        <w:tc>
          <w:tcPr>
            <w:tcW w:w="0" w:type="dxa"/>
            <w:vAlign w:val="bottom"/>
          </w:tcPr>
          <w:p>
            <w:pPr>
              <w:spacing w:after="0"/>
              <w:rPr>
                <w:sz w:val="1"/>
                <w:szCs w:val="1"/>
                <w:color w:val="auto"/>
              </w:rPr>
            </w:pPr>
          </w:p>
        </w:tc>
      </w:tr>
      <w:tr>
        <w:trPr>
          <w:trHeight w:val="629"/>
        </w:trPr>
        <w:tc>
          <w:tcPr>
            <w:tcW w:w="13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32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607"/>
        <w:spacing w:after="0" w:line="255" w:lineRule="auto"/>
        <w:rPr>
          <w:sz w:val="20"/>
          <w:szCs w:val="20"/>
          <w:color w:val="auto"/>
        </w:rPr>
      </w:pPr>
      <w:r>
        <w:rPr>
          <w:rFonts w:ascii="Arial" w:cs="Arial" w:eastAsia="Arial" w:hAnsi="Arial"/>
          <w:sz w:val="18"/>
          <w:szCs w:val="18"/>
          <w:color w:val="auto"/>
        </w:rPr>
        <w:t>There were 100 securities at March 31, 2022 that accounted for the gross unrealized loss of our fixed-maturity securities available-for-sale, none of which were deemed by us to be other than temporarily impaired. There were 48 securities at December 31, 2021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2022, the primary source of cash flow for our holding company was the dividends received from KICO, subject to statutory restrictions. For the three months ended March 31, 2022, KICO paid dividends of $1,500,000 to us.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KICO currently does not have any securities pledged to FHLBNY; as such, there were no borrowings under this facility during the three months ended March 31, 2022 and 2021.</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December 19, 2017, we issued $30 million of our 5.50% Senior Unsecured Notes due December 30, 2022. As of March 31, 2022, invested assets and cash in our holding company was approximately $3,812,000. If the aforementioned sources of cash flow currently available are insufficient to</w:t>
      </w:r>
    </w:p>
    <w:p>
      <w:pPr>
        <w:sectPr>
          <w:pgSz w:w="11900" w:h="16838" w:orient="portrait"/>
          <w:cols w:equalWidth="0" w:num="1">
            <w:col w:w="11240"/>
          </w:cols>
          <w:pgMar w:left="320" w:top="121" w:right="339" w:bottom="0" w:gutter="0" w:footer="0" w:header="0"/>
        </w:sectPr>
      </w:pPr>
    </w:p>
    <w:bookmarkStart w:id="37" w:name="page38"/>
    <w:bookmarkEnd w:id="37"/>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cover our holding company debt service and other cash requirements, we will seek to obtain additional financing. See Notes 2 and 7 to our Condensed Consolidated Financial Statements included in this Quarterly Report for a discussion of our plans in this regard.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flow and liquidity are categorized into three sources: (1) operating activities; (2) investing activities; and (3) financing activities, which are shown in the following table:</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7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Three months ended March 31,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7240" w:type="dxa"/>
            <w:vAlign w:val="bottom"/>
            <w:gridSpan w:val="2"/>
          </w:tcPr>
          <w:p>
            <w:pPr>
              <w:spacing w:after="0"/>
              <w:rPr>
                <w:sz w:val="20"/>
                <w:szCs w:val="20"/>
                <w:color w:val="auto"/>
              </w:rPr>
            </w:pPr>
            <w:r>
              <w:rPr>
                <w:rFonts w:ascii="Arial" w:cs="Arial" w:eastAsia="Arial" w:hAnsi="Arial"/>
                <w:sz w:val="18"/>
                <w:szCs w:val="18"/>
                <w:color w:val="auto"/>
              </w:rPr>
              <w:t>Cash flows (used in) provided by:</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(17,388,078)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(285,069)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1,963,156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(783,565)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(639,738)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(18,456,712)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2,716,218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24,290,598</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19,463,742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5,833,886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22,179,960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cash used in operating activities was $17,388,000 in Three Months 2022 as compared to $1,393,000 provided by operating activities in Three Months 2021. The $18,781,000 decrease in cash flows provided by operating activities in Three Months 2022 was primarily the result of a decrease in cash arising from net fluctuations in assets and liabilities, partially offset by net loss (adjusted for non-cash items) of $3,530,000. The increase of cash used in operating activities is also attributable to the payment of $13,245,000 to reinsurers in Three Months 2022 pursuant to the inception of our quota share reinsurance treaty, effective December 31, 2021. The net fluctuations in assets and liabilities are related to operating activities of KICO as affected by growth or declines in its operations, payments on claims and other changes, which are described above.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was $285,000 in Three Months 2022 compared to $1,963,000 provided by investing activities in There Months 2021. The $2,248,000 increase in net cash used in investing activities was the result of a $2,305,000 decrease in disposals of invested assets and a $531,000 increase in the acquisition of property and equipment in Three Months 2022.</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was $784,000 in Three Months 2022 compared to $640,000 used in Three Months 2021. The $144,000 increase in net cash used in financing activities was attributable to a $211,000 increase in withholding taxes paid on the vesting of restricted stock awards in Three Months 2022 compared to Three Months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Effective December 31, 2021, we entered into a quota share reinsurance treaty for our personal lines business, which primarily consists of homeowners’ and dwelling fire policies, covering the period from December 31, 2021 through January 1, 2023 (“2021/2023 Treaty”).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entered into new excess of loss and catastrophe reinsurance treaties effective July 1, 2021. Effective October 18, 2021, we entered into a stub catastrophe reinsurance treaty covering the period from October 18, 2021 through December 31, 2021. The treaty provides reinsurance coverage for catastrophe losses of $5,000,000 in excess of $5,000,000. Effective January 1, 2022, we entered into an underlying excess of loss reinsurance treaty covering the period from January 1, 2022 through January 1, 2023. The treaty provides 50% reinsurance coverage for losses of $400,000 in excess of $600,000. Losses from named storms are excluded from the treaty. Material terms for our reinsurance treaties in effect for the treaty years shown below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8"/>
                <w:szCs w:val="18"/>
                <w:b w:val="1"/>
                <w:bCs w:val="1"/>
                <w:color w:val="auto"/>
              </w:rPr>
              <w:t>Treaty Year</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(2021/2023 Treaty)</w:t>
            </w:r>
          </w:p>
        </w:tc>
        <w:tc>
          <w:tcPr>
            <w:tcW w:w="180" w:type="dxa"/>
            <w:vAlign w:val="bottom"/>
          </w:tcPr>
          <w:p>
            <w:pPr>
              <w:spacing w:after="0"/>
              <w:rPr>
                <w:sz w:val="18"/>
                <w:szCs w:val="18"/>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2"/>
              </w:rPr>
              <w:t>July 1,</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2"/>
              </w:rPr>
              <w:t>July 1,</w:t>
            </w:r>
          </w:p>
        </w:tc>
        <w:tc>
          <w:tcPr>
            <w:tcW w:w="11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20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ind w:left="22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to</w:t>
            </w: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to</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to</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January 1,</w:t>
            </w: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30,</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5940" w:type="dxa"/>
            <w:vAlign w:val="bottom"/>
            <w:gridSpan w:val="3"/>
          </w:tcPr>
          <w:p>
            <w:pPr>
              <w:spacing w:after="0"/>
              <w:rPr>
                <w:sz w:val="20"/>
                <w:szCs w:val="20"/>
                <w:color w:val="auto"/>
              </w:rPr>
            </w:pPr>
            <w:r>
              <w:rPr>
                <w:rFonts w:ascii="Arial" w:cs="Arial" w:eastAsia="Arial" w:hAnsi="Arial"/>
                <w:sz w:val="18"/>
                <w:szCs w:val="18"/>
                <w:color w:val="auto"/>
              </w:rPr>
              <w:t>Personal Lines: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gridSpan w:val="3"/>
          </w:tcPr>
          <w:p>
            <w:pPr>
              <w:spacing w:after="0"/>
              <w:rPr>
                <w:sz w:val="20"/>
                <w:szCs w:val="20"/>
                <w:color w:val="auto"/>
              </w:rPr>
            </w:pPr>
            <w:r>
              <w:rPr>
                <w:rFonts w:ascii="Arial" w:cs="Arial" w:eastAsia="Arial" w:hAnsi="Arial"/>
                <w:sz w:val="18"/>
                <w:szCs w:val="18"/>
                <w:color w:val="auto"/>
              </w:rPr>
              <w:t>Homeowners, dwelling fire and and canine legal liability</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3"/>
          </w:tcPr>
          <w:p>
            <w:pPr>
              <w:ind w:left="220"/>
              <w:spacing w:after="0"/>
              <w:rPr>
                <w:sz w:val="20"/>
                <w:szCs w:val="20"/>
                <w:color w:val="auto"/>
              </w:rPr>
            </w:pPr>
            <w:r>
              <w:rPr>
                <w:rFonts w:ascii="Arial" w:cs="Arial" w:eastAsia="Arial" w:hAnsi="Arial"/>
                <w:sz w:val="18"/>
                <w:szCs w:val="18"/>
                <w:color w:val="auto"/>
              </w:rPr>
              <w:t>Quota share treaty:</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Percent ceded (9)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 (5)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None (5)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Risk retained on intial $1,000,000 of losses (5) (7) (9)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1,000,000</w:t>
            </w:r>
          </w:p>
        </w:tc>
        <w:tc>
          <w:tcPr>
            <w:tcW w:w="0" w:type="dxa"/>
            <w:vAlign w:val="bottom"/>
          </w:tcPr>
          <w:p>
            <w:pPr>
              <w:spacing w:after="0"/>
              <w:rPr>
                <w:sz w:val="1"/>
                <w:szCs w:val="1"/>
                <w:color w:val="auto"/>
              </w:rPr>
            </w:pPr>
          </w:p>
        </w:tc>
      </w:tr>
      <w:tr>
        <w:trPr>
          <w:trHeight w:val="216"/>
        </w:trPr>
        <w:tc>
          <w:tcPr>
            <w:tcW w:w="5940" w:type="dxa"/>
            <w:vAlign w:val="bottom"/>
            <w:gridSpan w:val="3"/>
          </w:tcPr>
          <w:p>
            <w:pPr>
              <w:ind w:left="2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1,000,000</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None (5)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None (5)</w:t>
            </w:r>
          </w:p>
        </w:tc>
        <w:tc>
          <w:tcPr>
            <w:tcW w:w="0" w:type="dxa"/>
            <w:vAlign w:val="bottom"/>
          </w:tcPr>
          <w:p>
            <w:pPr>
              <w:spacing w:after="0"/>
              <w:rPr>
                <w:sz w:val="1"/>
                <w:szCs w:val="1"/>
                <w:color w:val="auto"/>
              </w:rPr>
            </w:pPr>
          </w:p>
        </w:tc>
      </w:tr>
      <w:tr>
        <w:trPr>
          <w:trHeight w:val="202"/>
        </w:trPr>
        <w:tc>
          <w:tcPr>
            <w:tcW w:w="5940" w:type="dxa"/>
            <w:vAlign w:val="bottom"/>
            <w:gridSpan w:val="3"/>
            <w:shd w:val="clear" w:color="auto" w:fill="CCEEFF"/>
          </w:tcPr>
          <w:p>
            <w:pPr>
              <w:ind w:left="620"/>
              <w:spacing w:after="0" w:line="201" w:lineRule="exact"/>
              <w:rPr>
                <w:sz w:val="20"/>
                <w:szCs w:val="20"/>
                <w:color w:val="auto"/>
              </w:rPr>
            </w:pPr>
            <w:r>
              <w:rPr>
                <w:rFonts w:ascii="Arial" w:cs="Arial" w:eastAsia="Arial" w:hAnsi="Arial"/>
                <w:sz w:val="18"/>
                <w:szCs w:val="18"/>
                <w:color w:val="auto"/>
              </w:rPr>
              <w:t>Expiration date</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January 1,</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January 1,</w:t>
            </w:r>
          </w:p>
        </w:tc>
        <w:tc>
          <w:tcPr>
            <w:tcW w:w="18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NA (5</w:t>
            </w:r>
            <w:r>
              <w:rPr>
                <w:rFonts w:ascii="Arial" w:cs="Arial" w:eastAsia="Arial" w:hAnsi="Arial"/>
                <w:sz w:val="35"/>
                <w:szCs w:val="35"/>
                <w:color w:val="auto"/>
                <w:vertAlign w:val="subscript"/>
              </w:rPr>
              <w:t>)</w:t>
            </w: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NA (5</w:t>
            </w:r>
            <w:r>
              <w:rPr>
                <w:rFonts w:ascii="Arial" w:cs="Arial" w:eastAsia="Arial" w:hAnsi="Arial"/>
                <w:sz w:val="35"/>
                <w:szCs w:val="35"/>
                <w:color w:val="auto"/>
                <w:vertAlign w:val="subscript"/>
              </w:rPr>
              <w:t>)</w:t>
            </w: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20"/>
                <w:szCs w:val="20"/>
                <w:color w:val="auto"/>
              </w:rPr>
            </w:pPr>
          </w:p>
        </w:tc>
        <w:tc>
          <w:tcPr>
            <w:tcW w:w="4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4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Excess of loss coverage and facultative facility coverage (1) (7)</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400,000</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8,400,000</w:t>
            </w: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8,000,000</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99"/>
              </w:rPr>
              <w:t>8,000,000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in excess of</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in excess of</w:t>
            </w: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in excess of</w:t>
            </w:r>
          </w:p>
        </w:tc>
        <w:tc>
          <w:tcPr>
            <w:tcW w:w="16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w w:val="98"/>
              </w:rPr>
              <w:t>in excess of</w:t>
            </w:r>
          </w:p>
        </w:tc>
        <w:tc>
          <w:tcPr>
            <w:tcW w:w="0" w:type="dxa"/>
            <w:vAlign w:val="bottom"/>
          </w:tcPr>
          <w:p>
            <w:pPr>
              <w:spacing w:after="0"/>
              <w:rPr>
                <w:sz w:val="1"/>
                <w:szCs w:val="1"/>
                <w:color w:val="auto"/>
              </w:rPr>
            </w:pPr>
          </w:p>
        </w:tc>
      </w:tr>
      <w:tr>
        <w:trPr>
          <w:trHeight w:val="260"/>
        </w:trPr>
        <w:tc>
          <w:tcPr>
            <w:tcW w:w="1120" w:type="dxa"/>
            <w:vAlign w:val="bottom"/>
            <w:tcBorders>
              <w:bottom w:val="single" w:sz="8" w:color="CCEEFF"/>
            </w:tcBorders>
          </w:tcPr>
          <w:p>
            <w:pPr>
              <w:spacing w:after="0"/>
              <w:rPr>
                <w:sz w:val="22"/>
                <w:szCs w:val="22"/>
                <w:color w:val="auto"/>
              </w:rPr>
            </w:pPr>
          </w:p>
        </w:tc>
        <w:tc>
          <w:tcPr>
            <w:tcW w:w="4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600,000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600,000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1,000,000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w w:val="99"/>
              </w:rPr>
              <w:t>1,000,000</w:t>
            </w: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reinsurance coverage per occurrence (5) (7) (8)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216"/>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Losses per occurrence subject to reinsurance coverage (5) (8)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9,000,000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Expiration date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June 30, 2022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5"/>
              </w:rPr>
              <w:t>June 30, 2022</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June 30, 2021</w:t>
            </w: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Catastrophe Reinsurance:</w:t>
            </w:r>
          </w:p>
        </w:tc>
        <w:tc>
          <w:tcPr>
            <w:tcW w:w="39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Initial loss subject to personal lines quota share treaty</w:t>
            </w:r>
          </w:p>
        </w:tc>
        <w:tc>
          <w:tcPr>
            <w:tcW w:w="3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9"/>
              </w:rPr>
              <w:t>10,000,000</w:t>
            </w: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10,000,000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None (5)</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None (5)</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Risk retained per catastrophe occurrence (5) (9) (10)</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None (8)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Catastrophe loss coverage in excess of quota share coverage (2) (5)</w:t>
            </w: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None (8)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99"/>
              </w:rPr>
              <w:t>490,000,000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w w:val="97"/>
              </w:rPr>
              <w:t>490,000,000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9"/>
              </w:rPr>
              <w:t>475,000,000</w:t>
            </w:r>
          </w:p>
        </w:tc>
        <w:tc>
          <w:tcPr>
            <w:tcW w:w="0" w:type="dxa"/>
            <w:vAlign w:val="bottom"/>
          </w:tcPr>
          <w:p>
            <w:pPr>
              <w:spacing w:after="0"/>
              <w:rPr>
                <w:sz w:val="1"/>
                <w:szCs w:val="1"/>
                <w:color w:val="auto"/>
              </w:rPr>
            </w:pPr>
          </w:p>
        </w:tc>
      </w:tr>
      <w:tr>
        <w:trPr>
          <w:trHeight w:val="202"/>
        </w:trPr>
        <w:tc>
          <w:tcPr>
            <w:tcW w:w="584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Catastrophe stub coverage for the period from October 18, 2021 through</w:t>
            </w:r>
          </w:p>
        </w:tc>
        <w:tc>
          <w:tcPr>
            <w:tcW w:w="3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584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December 31, 2021 (6)</w:t>
            </w:r>
          </w:p>
        </w:tc>
        <w:tc>
          <w:tcPr>
            <w:tcW w:w="300" w:type="dxa"/>
            <w:vAlign w:val="bottom"/>
            <w:shd w:val="clear" w:color="auto" w:fill="CCEEFF"/>
          </w:tcPr>
          <w:p>
            <w:pPr>
              <w:spacing w:after="0"/>
              <w:rPr>
                <w:sz w:val="10"/>
                <w:szCs w:val="10"/>
                <w:color w:val="auto"/>
              </w:rPr>
            </w:pPr>
          </w:p>
        </w:tc>
        <w:tc>
          <w:tcPr>
            <w:tcW w:w="108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5,000,000</w:t>
            </w:r>
          </w:p>
        </w:tc>
        <w:tc>
          <w:tcPr>
            <w:tcW w:w="18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40" w:type="dxa"/>
            <w:vAlign w:val="bottom"/>
            <w:gridSpan w:val="2"/>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240" w:type="dxa"/>
            <w:vAlign w:val="bottom"/>
            <w:vMerge w:val="continue"/>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in excess of</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5,000,000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Reinstatement premium protection (3) (4) (8)</w:t>
            </w:r>
          </w:p>
        </w:tc>
        <w:tc>
          <w:tcPr>
            <w:tcW w:w="3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None</w:t>
            </w:r>
          </w:p>
        </w:tc>
        <w:tc>
          <w:tcPr>
            <w:tcW w:w="2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Yes</w:t>
            </w:r>
          </w:p>
        </w:tc>
        <w:tc>
          <w:tcPr>
            <w:tcW w:w="24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Yes</w:t>
            </w: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00" w:right="20" w:hanging="447"/>
        <w:spacing w:after="0" w:line="274"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personal lines, includes the addition of an automatic facultative facility allowing KICO to obtain homeowners single risk coverage up to $9,000,000 in total insured value, which covers direct losses from $3,500,000 to $9,000,000 through June 30, 2022.</w:t>
      </w:r>
    </w:p>
    <w:p>
      <w:pPr>
        <w:ind w:left="900" w:hanging="447"/>
        <w:spacing w:after="0" w:line="25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ind w:left="900" w:right="20" w:hanging="447"/>
        <w:spacing w:after="0" w:line="25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period July 1, 2020 through June 30, 2021, reinstatement premium protection for $70,000,000 of catastrophe coverage in excess of $10,000,000.</w:t>
      </w:r>
    </w:p>
    <w:p>
      <w:pPr>
        <w:ind w:left="900" w:right="20" w:hanging="447"/>
        <w:spacing w:after="0" w:line="26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period July 1, 2021 through June 30, 2022, reinstatement premium protection for $70,000,000 of catastrophe coverage in excess of $10,000,000.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900" w:right="20" w:hanging="447"/>
        <w:spacing w:after="0" w:line="25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personal lines quota share (homeowners, dwelling fire and canine legal liability) expired on December 30, 2020; reinsurance coverage from December 31, 2020 through December 30, 2021 is only for excess of loss and catastrophe reinsurance.</w:t>
      </w:r>
    </w:p>
    <w:p>
      <w:pPr>
        <w:spacing w:after="0" w:line="1" w:lineRule="exact"/>
        <w:rPr>
          <w:rFonts w:ascii="Arial" w:cs="Arial" w:eastAsia="Arial" w:hAnsi="Arial"/>
          <w:sz w:val="18"/>
          <w:szCs w:val="18"/>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freeze and freeze related claims.</w:t>
      </w:r>
    </w:p>
    <w:p>
      <w:pPr>
        <w:spacing w:after="0" w:line="9" w:lineRule="exact"/>
        <w:rPr>
          <w:rFonts w:ascii="Arial" w:cs="Arial" w:eastAsia="Arial" w:hAnsi="Arial"/>
          <w:sz w:val="18"/>
          <w:szCs w:val="18"/>
          <w:color w:val="auto"/>
        </w:rPr>
      </w:pPr>
    </w:p>
    <w:p>
      <w:pPr>
        <w:jc w:val="both"/>
        <w:ind w:left="900" w:hanging="447"/>
        <w:spacing w:after="0" w:line="25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period January 1, 2022 through January 1, 2023, underlying excess of loss treaty provides 50% reinsurance coverage for losses of $400,000 in excess of $600,000. Reduces retention to $500,000 from $700,000 under the 2021/2023 Treaty. Excludes losses from named storms.</w:t>
      </w:r>
    </w:p>
    <w:p>
      <w:pPr>
        <w:spacing w:after="0" w:line="1" w:lineRule="exact"/>
        <w:rPr>
          <w:rFonts w:ascii="Arial" w:cs="Arial" w:eastAsia="Arial" w:hAnsi="Arial"/>
          <w:sz w:val="18"/>
          <w:szCs w:val="18"/>
          <w:color w:val="auto"/>
        </w:rPr>
      </w:pPr>
    </w:p>
    <w:p>
      <w:pPr>
        <w:jc w:val="both"/>
        <w:ind w:left="900" w:hanging="447"/>
        <w:spacing w:after="0" w:line="25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Excess of loss and catastrophe reinsurance treaties will expire on June 30, 2022; reinsurance coverage in effect from July 1, 2022 through January 1, 2023 is only for personal lines quota share (homeowners, dwelling fire and canine legal liability) and underlying excess of loss reinsurance.</w:t>
      </w:r>
    </w:p>
    <w:p>
      <w:pPr>
        <w:spacing w:after="0" w:line="1" w:lineRule="exact"/>
        <w:rPr>
          <w:rFonts w:ascii="Arial" w:cs="Arial" w:eastAsia="Arial" w:hAnsi="Arial"/>
          <w:sz w:val="18"/>
          <w:szCs w:val="18"/>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2021/2023 Treaty, 4% of the 30% total of losses ceded under this treaty are excluded from a named catastrophe event.</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Treaty Year</w:t>
            </w:r>
          </w:p>
        </w:tc>
      </w:tr>
      <w:tr>
        <w:trPr>
          <w:trHeight w:val="191"/>
        </w:trPr>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July 1, 2021</w:t>
            </w: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July 1, 2020</w:t>
            </w:r>
          </w:p>
        </w:tc>
        <w:tc>
          <w:tcPr>
            <w:tcW w:w="1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w:t>
            </w:r>
          </w:p>
        </w:tc>
      </w:tr>
      <w:tr>
        <w:trPr>
          <w:trHeight w:val="234"/>
        </w:trPr>
        <w:tc>
          <w:tcPr>
            <w:tcW w:w="8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2022</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June 30, 2021</w:t>
            </w:r>
          </w:p>
        </w:tc>
        <w:tc>
          <w:tcPr>
            <w:tcW w:w="160" w:type="dxa"/>
            <w:vAlign w:val="bottom"/>
          </w:tcPr>
          <w:p>
            <w:pPr>
              <w:spacing w:after="0"/>
              <w:rPr>
                <w:sz w:val="20"/>
                <w:szCs w:val="20"/>
                <w:color w:val="auto"/>
              </w:rPr>
            </w:pPr>
          </w:p>
        </w:tc>
      </w:tr>
      <w:tr>
        <w:trPr>
          <w:trHeight w:val="372"/>
        </w:trPr>
        <w:tc>
          <w:tcPr>
            <w:tcW w:w="8600" w:type="dxa"/>
            <w:vAlign w:val="bottom"/>
            <w:gridSpan w:val="4"/>
          </w:tcPr>
          <w:p>
            <w:pPr>
              <w:spacing w:after="0"/>
              <w:rPr>
                <w:sz w:val="20"/>
                <w:szCs w:val="20"/>
                <w:color w:val="auto"/>
              </w:rPr>
            </w:pPr>
            <w:r>
              <w:rPr>
                <w:rFonts w:ascii="Arial" w:cs="Arial" w:eastAsia="Arial" w:hAnsi="Arial"/>
                <w:sz w:val="18"/>
                <w:szCs w:val="18"/>
                <w:color w:val="auto"/>
              </w:rPr>
              <w:t>Personal Lines: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8600" w:type="dxa"/>
            <w:vAlign w:val="bottom"/>
            <w:gridSpan w:val="4"/>
          </w:tcPr>
          <w:p>
            <w:pPr>
              <w:spacing w:after="0"/>
              <w:rPr>
                <w:sz w:val="20"/>
                <w:szCs w:val="20"/>
                <w:color w:val="auto"/>
              </w:rPr>
            </w:pPr>
            <w:r>
              <w:rPr>
                <w:rFonts w:ascii="Arial" w:cs="Arial" w:eastAsia="Arial" w:hAnsi="Arial"/>
                <w:sz w:val="18"/>
                <w:szCs w:val="18"/>
                <w:color w:val="auto"/>
              </w:rPr>
              <w:t>Personal Umbrella</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8600" w:type="dxa"/>
            <w:vAlign w:val="bottom"/>
            <w:gridSpan w:val="4"/>
          </w:tcPr>
          <w:p>
            <w:pPr>
              <w:ind w:left="220"/>
              <w:spacing w:after="0"/>
              <w:rPr>
                <w:sz w:val="20"/>
                <w:szCs w:val="20"/>
                <w:color w:val="auto"/>
              </w:rPr>
            </w:pPr>
            <w:r>
              <w:rPr>
                <w:rFonts w:ascii="Arial" w:cs="Arial" w:eastAsia="Arial" w:hAnsi="Arial"/>
                <w:sz w:val="18"/>
                <w:szCs w:val="18"/>
                <w:color w:val="auto"/>
              </w:rPr>
              <w:t>Quota share treaty:</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86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Percent ceded - first $1,000,000 of coverage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8600" w:type="dxa"/>
            <w:vAlign w:val="bottom"/>
            <w:gridSpan w:val="4"/>
          </w:tcPr>
          <w:p>
            <w:pPr>
              <w:ind w:left="420"/>
              <w:spacing w:after="0"/>
              <w:rPr>
                <w:sz w:val="20"/>
                <w:szCs w:val="20"/>
                <w:color w:val="auto"/>
              </w:rPr>
            </w:pPr>
            <w:r>
              <w:rPr>
                <w:rFonts w:ascii="Arial" w:cs="Arial" w:eastAsia="Arial" w:hAnsi="Arial"/>
                <w:sz w:val="18"/>
                <w:szCs w:val="18"/>
                <w:color w:val="auto"/>
              </w:rPr>
              <w:t>Percent ceded - excess of $1,000,000 dollars of coverage</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86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Risk retained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r>
      <w:tr>
        <w:trPr>
          <w:trHeight w:val="216"/>
        </w:trPr>
        <w:tc>
          <w:tcPr>
            <w:tcW w:w="8600" w:type="dxa"/>
            <w:vAlign w:val="bottom"/>
            <w:gridSpan w:val="4"/>
          </w:tcPr>
          <w:p>
            <w:pPr>
              <w:ind w:left="420"/>
              <w:spacing w:after="0"/>
              <w:rPr>
                <w:sz w:val="20"/>
                <w:szCs w:val="20"/>
                <w:color w:val="auto"/>
              </w:rPr>
            </w:pPr>
            <w:r>
              <w:rPr>
                <w:rFonts w:ascii="Arial" w:cs="Arial" w:eastAsia="Arial" w:hAnsi="Arial"/>
                <w:sz w:val="18"/>
                <w:szCs w:val="18"/>
                <w:color w:val="auto"/>
              </w:rPr>
              <w:t>Total reinsurance coverage per occurrence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4,700,000</w:t>
            </w:r>
          </w:p>
        </w:tc>
      </w:tr>
      <w:tr>
        <w:trPr>
          <w:trHeight w:val="216"/>
        </w:trPr>
        <w:tc>
          <w:tcPr>
            <w:tcW w:w="86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r>
      <w:tr>
        <w:trPr>
          <w:trHeight w:val="216"/>
        </w:trPr>
        <w:tc>
          <w:tcPr>
            <w:tcW w:w="8600" w:type="dxa"/>
            <w:vAlign w:val="bottom"/>
            <w:gridSpan w:val="4"/>
          </w:tcPr>
          <w:p>
            <w:pPr>
              <w:ind w:left="220"/>
              <w:spacing w:after="0"/>
              <w:rPr>
                <w:sz w:val="20"/>
                <w:szCs w:val="20"/>
                <w:color w:val="auto"/>
              </w:rPr>
            </w:pPr>
            <w:r>
              <w:rPr>
                <w:rFonts w:ascii="Arial" w:cs="Arial" w:eastAsia="Arial" w:hAnsi="Arial"/>
                <w:sz w:val="18"/>
                <w:szCs w:val="18"/>
                <w:color w:val="auto"/>
              </w:rPr>
              <w:t>Expiration date</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June 30, 2022</w:t>
            </w: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June 30, 2021</w:t>
            </w:r>
          </w:p>
        </w:tc>
      </w:tr>
      <w:tr>
        <w:trPr>
          <w:trHeight w:val="203"/>
        </w:trPr>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75"/>
        </w:trPr>
        <w:tc>
          <w:tcPr>
            <w:tcW w:w="8600" w:type="dxa"/>
            <w:vAlign w:val="bottom"/>
            <w:gridSpan w:val="4"/>
          </w:tcPr>
          <w:p>
            <w:pPr>
              <w:spacing w:after="0" w:line="176" w:lineRule="exact"/>
              <w:rPr>
                <w:sz w:val="20"/>
                <w:szCs w:val="20"/>
                <w:color w:val="auto"/>
              </w:rPr>
            </w:pPr>
            <w:r>
              <w:rPr>
                <w:rFonts w:ascii="Arial" w:cs="Arial" w:eastAsia="Arial" w:hAnsi="Arial"/>
                <w:sz w:val="18"/>
                <w:szCs w:val="18"/>
                <w:color w:val="auto"/>
              </w:rPr>
              <w:t>Commercial Lines (1):</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1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8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General liability commercial policies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gridSpan w:val="4"/>
          </w:tcPr>
          <w:p>
            <w:pPr>
              <w:ind w:left="220"/>
              <w:spacing w:after="0"/>
              <w:rPr>
                <w:sz w:val="20"/>
                <w:szCs w:val="20"/>
                <w:color w:val="auto"/>
              </w:rPr>
            </w:pPr>
            <w:r>
              <w:rPr>
                <w:rFonts w:ascii="Arial" w:cs="Arial" w:eastAsia="Arial" w:hAnsi="Arial"/>
                <w:sz w:val="18"/>
                <w:szCs w:val="18"/>
                <w:color w:val="auto"/>
              </w:rPr>
              <w:t>Quota share treaty</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r>
        <w:trPr>
          <w:trHeight w:val="216"/>
        </w:trPr>
        <w:tc>
          <w:tcPr>
            <w:tcW w:w="86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Risk retained</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750,000</w:t>
            </w:r>
          </w:p>
        </w:tc>
      </w:tr>
      <w:tr>
        <w:trPr>
          <w:trHeight w:val="202"/>
        </w:trPr>
        <w:tc>
          <w:tcPr>
            <w:tcW w:w="860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Excess of loss coverage above risk retained</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3,750,000</w:t>
            </w: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in excess of</w:t>
            </w:r>
          </w:p>
        </w:tc>
      </w:tr>
      <w:tr>
        <w:trPr>
          <w:trHeight w:val="230"/>
        </w:trPr>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750,000</w:t>
            </w:r>
          </w:p>
        </w:tc>
      </w:tr>
      <w:tr>
        <w:trPr>
          <w:trHeight w:val="216"/>
        </w:trPr>
        <w:tc>
          <w:tcPr>
            <w:tcW w:w="86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Total reinsurance coverage per occurrence</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3,750,000</w:t>
            </w:r>
          </w:p>
        </w:tc>
      </w:tr>
      <w:tr>
        <w:trPr>
          <w:trHeight w:val="216"/>
        </w:trPr>
        <w:tc>
          <w:tcPr>
            <w:tcW w:w="8600" w:type="dxa"/>
            <w:vAlign w:val="bottom"/>
            <w:gridSpan w:val="4"/>
          </w:tcPr>
          <w:p>
            <w:pPr>
              <w:ind w:left="220"/>
              <w:spacing w:after="0"/>
              <w:rPr>
                <w:sz w:val="20"/>
                <w:szCs w:val="20"/>
                <w:color w:val="auto"/>
              </w:rPr>
            </w:pPr>
            <w:r>
              <w:rPr>
                <w:rFonts w:ascii="Arial" w:cs="Arial" w:eastAsia="Arial" w:hAnsi="Arial"/>
                <w:sz w:val="18"/>
                <w:szCs w:val="18"/>
                <w:color w:val="auto"/>
              </w:rPr>
              <w:t>Losses per occurrence subject to reinsurance coverage</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4,500,000</w:t>
            </w:r>
          </w:p>
        </w:tc>
      </w:tr>
      <w:tr>
        <w:trPr>
          <w:trHeight w:val="203"/>
        </w:trPr>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600" w:type="dxa"/>
            <w:vAlign w:val="bottom"/>
            <w:gridSpan w:val="4"/>
          </w:tcPr>
          <w:p>
            <w:pPr>
              <w:spacing w:after="0"/>
              <w:rPr>
                <w:sz w:val="20"/>
                <w:szCs w:val="20"/>
                <w:color w:val="auto"/>
              </w:rPr>
            </w:pPr>
            <w:r>
              <w:rPr>
                <w:rFonts w:ascii="Arial" w:cs="Arial" w:eastAsia="Arial" w:hAnsi="Arial"/>
                <w:sz w:val="18"/>
                <w:szCs w:val="18"/>
                <w:color w:val="auto"/>
              </w:rPr>
              <w:t>Commercial Umbrella</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Quota share treaty</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202" w:lineRule="exact"/>
        <w:rPr>
          <w:sz w:val="20"/>
          <w:szCs w:val="20"/>
          <w:color w:val="auto"/>
        </w:rPr>
      </w:pPr>
    </w:p>
    <w:p>
      <w:pPr>
        <w:ind w:left="900" w:hanging="447"/>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Coverage on all commercial lines policies expired in September 2020; reinsurance coverage is based on treaties in effect on the date of loss.</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Inflation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ectPr>
          <w:pgSz w:w="11900" w:h="16838" w:orient="portrait"/>
          <w:cols w:equalWidth="0" w:num="1">
            <w:col w:w="11240"/>
          </w:cols>
          <w:pgMar w:left="320" w:top="140" w:right="339" w:bottom="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731"/>
        <w:spacing w:after="0" w:line="277" w:lineRule="auto"/>
        <w:rPr>
          <w:sz w:val="20"/>
          <w:szCs w:val="20"/>
          <w:color w:val="auto"/>
        </w:rPr>
      </w:pPr>
      <w:r>
        <w:rPr>
          <w:rFonts w:ascii="Arial" w:cs="Arial" w:eastAsia="Arial" w:hAnsi="Arial"/>
          <w:sz w:val="18"/>
          <w:szCs w:val="18"/>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quarter included elevated economic inflation, which resulted in a significant increase in interest rates, a widening of credit spreads, lower public equity valuations, and significant financial market volatility. The higher interest rates and widening of credit spreads reduced the value of our fixed income securities, which lowered our stockholders’ equity materially for Three Months 2022. The higher economic inflation impacted our loss and loss adjustment expenses as well; should these trends continue in the near-term, it would in all likelihood negatively impact our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976"/>
        <w:spacing w:after="0" w:line="34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753"/>
        <w:spacing w:after="0" w:line="291" w:lineRule="auto"/>
        <w:rPr>
          <w:sz w:val="20"/>
          <w:szCs w:val="20"/>
          <w:color w:val="auto"/>
        </w:rPr>
      </w:pPr>
      <w:r>
        <w:rPr>
          <w:rFonts w:ascii="Arial" w:cs="Arial" w:eastAsia="Arial" w:hAnsi="Arial"/>
          <w:sz w:val="16"/>
          <w:szCs w:val="16"/>
          <w:color w:val="auto"/>
        </w:rPr>
        <w:t>The COVID-19 pandemic caused significant financial market volatility, economic uncertainty, and interruptions to normal business activities. As of the date of this report, we expect the effect of the COVID-19 pandemic on claims currently under our coverages to be manageable, based on the information presently available. However, the effects of the COVID-19 pandemic, including the emergence of variant strains, continue to evolve and we cannot predict the extent to which our business, results of operations, financial condition, liquidity, capital position, the value of investments we hold in our investment portfolio, premiums and the demand for our products and our ability to collect premiums or requirement to return premiums to our policyholders will ultimately be impacted. For additional information on the risks posed by COVID-19, see “The impact of COVID-19 and related risks could materially affect our results of operations, financial position and/or liquidity” included in Part II, Item 1A— “Risk Factors” in this Quarterly Report.</w:t>
      </w:r>
    </w:p>
    <w:p>
      <w:pPr>
        <w:spacing w:after="0" w:line="166" w:lineRule="exact"/>
        <w:rPr>
          <w:sz w:val="20"/>
          <w:szCs w:val="20"/>
          <w:color w:val="auto"/>
        </w:rPr>
      </w:pPr>
    </w:p>
    <w:p>
      <w:pPr>
        <w:jc w:val="both"/>
        <w:ind w:firstLine="886"/>
        <w:spacing w:after="0" w:line="270" w:lineRule="auto"/>
        <w:rPr>
          <w:sz w:val="20"/>
          <w:szCs w:val="20"/>
          <w:color w:val="auto"/>
        </w:rPr>
      </w:pPr>
      <w:r>
        <w:rPr>
          <w:rFonts w:ascii="Arial" w:cs="Arial" w:eastAsia="Arial" w:hAnsi="Arial"/>
          <w:sz w:val="17"/>
          <w:szCs w:val="17"/>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As a result of COVID-19, economic conditions in the United States rapidly deteriorated. The decreased levels of economic activity have negatively impacted, and may continue to negatively impact, premium volumes generated by new business. We began to experience this impact in March 2020 and it became more significant in the second and third quarters of 2020. While we are now seeing a reversal of this impact, it may resume in the future, but the degree of any new impact will depend on the extent and duration of any economic contraction and could be material. We have also made underwriting changes to emphasize profitability over growth and have culled out the type of risks that do not generate an acceptable level of return. This action has led, and may continue to lead, to a slowdown in premium growth, particularly in new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applicable to smaller reporting companies.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Principal Financial Officer, as appropriate, to allow timely decisions regarding required disclosures. Based on this evaluation, our Chief Executive Officer and Principal Financial Officer have concluded that, as of March 31, 2022, our disclosure controls and procedures were: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Principal Financial Officer, as appropriate, to allow timely decisions regarding required disclosure.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required by Exchange Act Rule 13a-15(b), as of the end of the period covered by this Quarterly Report, under the supervision and with the participation of our Chief Executive Officer and Principal Financial Officer, we evaluated the effectiveness of our disclosure controls and procedures. Based on this evaluation, our Chief Executive Officer and Principal Financial Officer concluded that our disclosure controls and procedures were effective as of March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Effectiveness of Controls</w:t>
      </w:r>
    </w:p>
    <w:p>
      <w:pPr>
        <w:sectPr>
          <w:pgSz w:w="11900" w:h="16838" w:orient="portrait"/>
          <w:cols w:equalWidth="0" w:num="1">
            <w:col w:w="11240"/>
          </w:cols>
          <w:pgMar w:left="320" w:top="557" w:right="339" w:bottom="173" w:gutter="0" w:footer="0" w:header="0"/>
        </w:sectPr>
      </w:pPr>
    </w:p>
    <w:bookmarkStart w:id="40" w:name="page41"/>
    <w:bookmarkEnd w:id="40"/>
    <w:p>
      <w:pPr>
        <w:jc w:val="both"/>
        <w:ind w:firstLine="648"/>
        <w:spacing w:after="0" w:line="287" w:lineRule="auto"/>
        <w:rPr>
          <w:sz w:val="20"/>
          <w:szCs w:val="20"/>
          <w:color w:val="auto"/>
        </w:rPr>
      </w:pPr>
      <w:r>
        <w:rPr>
          <w:rFonts w:ascii="Arial" w:cs="Arial" w:eastAsia="Arial" w:hAnsi="Arial"/>
          <w:sz w:val="16"/>
          <w:szCs w:val="16"/>
          <w:color w:val="auto"/>
        </w:rPr>
        <w:t>Internal control over financial reporting is a process designed by, or under the supervision of, our Chief Executive Officer and Principal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w:t>
      </w:r>
    </w:p>
    <w:p>
      <w:pPr>
        <w:spacing w:after="0" w:line="2" w:lineRule="exact"/>
        <w:rPr>
          <w:sz w:val="20"/>
          <w:szCs w:val="20"/>
          <w:color w:val="auto"/>
        </w:rPr>
      </w:pPr>
    </w:p>
    <w:p>
      <w:pPr>
        <w:jc w:val="both"/>
        <w:ind w:firstLine="8"/>
        <w:spacing w:after="0" w:line="295" w:lineRule="auto"/>
        <w:tabs>
          <w:tab w:leader="none" w:pos="2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1" w:lineRule="exact"/>
        <w:rPr>
          <w:sz w:val="20"/>
          <w:szCs w:val="20"/>
          <w:color w:val="auto"/>
        </w:rPr>
      </w:pPr>
    </w:p>
    <w:p>
      <w:pPr>
        <w:jc w:val="both"/>
        <w:ind w:firstLine="87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w:t>
      </w:r>
    </w:p>
    <w:p>
      <w:pPr>
        <w:spacing w:after="0" w:line="229" w:lineRule="exact"/>
        <w:rPr>
          <w:sz w:val="20"/>
          <w:szCs w:val="20"/>
          <w:color w:val="auto"/>
        </w:rPr>
      </w:pPr>
    </w:p>
    <w:p>
      <w:pPr>
        <w:jc w:val="center"/>
        <w:ind w:right="9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For a discussion of the Company’s potential risks and uncertainties, see Part I, Item 1A— “Risk Factors” and Part II, Item 7— “Management’s Discussion and Analysis of Financial Condition and Results of Operations” in the Company’s 2021 Annual Report filed with the SEC, and Part I, Item 2 —“Management’s Discussion and Analysis of Financial Condition and Results of Operations” herein, in each case as updated by the Company's periodic filings with the SEC. Except as discussed under Part I, Item 2 – “Management’s Discussion and Analysis of Financial Condition and Results of Operations</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Preliminary Non-Binding Indication of Interest” herein, there have been no material changes to the risk factors disclosed in Part I, Item 1A of the Company’s 2021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r>
        <w:rPr>
          <w:rFonts w:ascii="Arial" w:cs="Arial" w:eastAsia="Arial" w:hAnsi="Arial"/>
          <w:sz w:val="18"/>
          <w:szCs w:val="18"/>
          <w:color w:val="auto"/>
        </w:rPr>
        <w:t>.</w:t>
      </w:r>
    </w:p>
    <w:p>
      <w:pPr>
        <w:spacing w:after="0" w:line="229" w:lineRule="exact"/>
        <w:rPr>
          <w:sz w:val="20"/>
          <w:szCs w:val="20"/>
          <w:color w:val="auto"/>
        </w:rPr>
      </w:pPr>
    </w:p>
    <w:p>
      <w:pPr>
        <w:ind w:left="860" w:hanging="245"/>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80" w:hanging="265"/>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860" w:hanging="245"/>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u w:val="single" w:color="auto"/>
          <w:color w:val="auto"/>
        </w:rPr>
        <w:t>Mine Safety Disclosures</w:t>
      </w:r>
      <w:r>
        <w:rPr>
          <w:rFonts w:ascii="Arial" w:cs="Arial" w:eastAsia="Arial" w:hAnsi="Arial"/>
          <w:sz w:val="16"/>
          <w:szCs w:val="16"/>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5"/>
            <w:shd w:val="clear" w:color="auto" w:fill="CCEEFF"/>
          </w:tcPr>
          <w:p>
            <w:pPr>
              <w:spacing w:after="0"/>
              <w:rPr>
                <w:rFonts w:ascii="Arial" w:cs="Arial" w:eastAsia="Arial" w:hAnsi="Arial"/>
                <w:sz w:val="18"/>
                <w:szCs w:val="18"/>
                <w:color w:val="0000EE"/>
              </w:rPr>
            </w:pPr>
            <w:hyperlink r:id="rId83">
              <w:r>
                <w:rPr>
                  <w:rFonts w:ascii="Arial" w:cs="Arial" w:eastAsia="Arial" w:hAnsi="Arial"/>
                  <w:sz w:val="18"/>
                  <w:szCs w:val="18"/>
                  <w:color w:val="0000EE"/>
                </w:rPr>
                <w:t>3(a)</w:t>
              </w:r>
            </w:hyperlink>
          </w:p>
        </w:tc>
        <w:tc>
          <w:tcPr>
            <w:tcW w:w="10020" w:type="dxa"/>
            <w:vAlign w:val="bottom"/>
            <w:gridSpan w:val="6"/>
            <w:shd w:val="clear" w:color="auto" w:fill="CCEEFF"/>
          </w:tcPr>
          <w:p>
            <w:pPr>
              <w:spacing w:after="0"/>
              <w:rPr>
                <w:rFonts w:ascii="Arial" w:cs="Arial" w:eastAsia="Arial" w:hAnsi="Arial"/>
                <w:sz w:val="18"/>
                <w:szCs w:val="18"/>
                <w:color w:val="0000EE"/>
                <w:w w:val="92"/>
              </w:rPr>
            </w:pPr>
            <w:hyperlink r:id="rId83">
              <w:r>
                <w:rPr>
                  <w:rFonts w:ascii="Arial" w:cs="Arial" w:eastAsia="Arial" w:hAnsi="Arial"/>
                  <w:sz w:val="18"/>
                  <w:szCs w:val="18"/>
                  <w:color w:val="0000EE"/>
                  <w:w w:val="92"/>
                </w:rPr>
                <w:t>Restated Certificate of Incorporation, as amended (incorporated by reference to Exhibit 3(a) to the Company’s Quarterly Report on Form</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20" w:type="dxa"/>
            <w:vAlign w:val="bottom"/>
            <w:tcBorders>
              <w:top w:val="single" w:sz="8" w:color="0000EE"/>
            </w:tcBorders>
            <w:gridSpan w:val="6"/>
            <w:shd w:val="clear" w:color="auto" w:fill="CCEEFF"/>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10-Q for the period ended March 31, 2014 filed on May 15, 2014).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20" w:type="dxa"/>
            <w:vAlign w:val="bottom"/>
            <w:gridSpan w:val="5"/>
            <w:shd w:val="clear" w:color="auto" w:fill="CCEEFF"/>
          </w:tcPr>
          <w:p>
            <w:pPr>
              <w:spacing w:after="0" w:line="176" w:lineRule="exact"/>
              <w:rPr>
                <w:rFonts w:ascii="Arial" w:cs="Arial" w:eastAsia="Arial" w:hAnsi="Arial"/>
                <w:sz w:val="18"/>
                <w:szCs w:val="18"/>
                <w:color w:val="0000EE"/>
              </w:rPr>
            </w:pPr>
            <w:hyperlink r:id="rId84">
              <w:r>
                <w:rPr>
                  <w:rFonts w:ascii="Arial" w:cs="Arial" w:eastAsia="Arial" w:hAnsi="Arial"/>
                  <w:sz w:val="18"/>
                  <w:szCs w:val="18"/>
                  <w:color w:val="0000EE"/>
                </w:rPr>
                <w:t>3(b)</w:t>
              </w:r>
            </w:hyperlink>
          </w:p>
        </w:tc>
        <w:tc>
          <w:tcPr>
            <w:tcW w:w="10020" w:type="dxa"/>
            <w:vAlign w:val="bottom"/>
            <w:gridSpan w:val="6"/>
            <w:shd w:val="clear" w:color="auto" w:fill="CCEEFF"/>
          </w:tcPr>
          <w:p>
            <w:pPr>
              <w:spacing w:after="0" w:line="176" w:lineRule="exact"/>
              <w:rPr>
                <w:rFonts w:ascii="Arial" w:cs="Arial" w:eastAsia="Arial" w:hAnsi="Arial"/>
                <w:sz w:val="18"/>
                <w:szCs w:val="18"/>
                <w:color w:val="0000EE"/>
                <w:w w:val="95"/>
              </w:rPr>
            </w:pPr>
            <w:hyperlink r:id="rId84">
              <w:r>
                <w:rPr>
                  <w:rFonts w:ascii="Arial" w:cs="Arial" w:eastAsia="Arial" w:hAnsi="Arial"/>
                  <w:sz w:val="18"/>
                  <w:szCs w:val="18"/>
                  <w:color w:val="0000EE"/>
                  <w:w w:val="95"/>
                </w:rPr>
                <w:t>By-laws, as amended (incorporated by reference to Exhibit 3.1 to the Company’s Current Report on Form 8-K filed on November 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2009).</w:t>
              </w:r>
            </w:hyperlink>
          </w:p>
        </w:tc>
        <w:tc>
          <w:tcPr>
            <w:tcW w:w="1400" w:type="dxa"/>
            <w:vAlign w:val="bottom"/>
            <w:tcBorders>
              <w:top w:val="single" w:sz="8" w:color="0000EE"/>
            </w:tcBorders>
            <w:shd w:val="clear" w:color="auto" w:fill="CCEEFF"/>
          </w:tcPr>
          <w:p>
            <w:pPr>
              <w:spacing w:after="0"/>
              <w:rPr>
                <w:sz w:val="18"/>
                <w:szCs w:val="18"/>
                <w:color w:val="auto"/>
              </w:rPr>
            </w:pPr>
          </w:p>
        </w:tc>
        <w:tc>
          <w:tcPr>
            <w:tcW w:w="506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20" w:type="dxa"/>
            <w:vAlign w:val="bottom"/>
            <w:gridSpan w:val="5"/>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31(a)</w:t>
              </w:r>
            </w:hyperlink>
          </w:p>
        </w:tc>
        <w:tc>
          <w:tcPr>
            <w:tcW w:w="10020" w:type="dxa"/>
            <w:vAlign w:val="bottom"/>
            <w:gridSpan w:val="6"/>
            <w:shd w:val="clear" w:color="auto" w:fill="CCEEFF"/>
          </w:tcPr>
          <w:p>
            <w:pPr>
              <w:spacing w:after="0" w:line="17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Rule 13a-14(a)/15d-14(a) Certification of Chief Executive Officer as adopted pursuant to Section 302 of the Sarbanes-Oxley Act of 2002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50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20" w:type="dxa"/>
            <w:vAlign w:val="bottom"/>
            <w:gridSpan w:val="5"/>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31(b)</w:t>
              </w:r>
            </w:hyperlink>
          </w:p>
        </w:tc>
        <w:tc>
          <w:tcPr>
            <w:tcW w:w="10020" w:type="dxa"/>
            <w:vAlign w:val="bottom"/>
            <w:gridSpan w:val="6"/>
            <w:shd w:val="clear" w:color="auto" w:fill="CCEEFF"/>
          </w:tcPr>
          <w:p>
            <w:pPr>
              <w:spacing w:after="0" w:line="176" w:lineRule="exact"/>
              <w:rPr>
                <w:rFonts w:ascii="Arial" w:cs="Arial" w:eastAsia="Arial" w:hAnsi="Arial"/>
                <w:sz w:val="18"/>
                <w:szCs w:val="18"/>
                <w:color w:val="0000EE"/>
                <w:w w:val="94"/>
              </w:rPr>
            </w:pPr>
            <w:hyperlink w:anchor="page44">
              <w:r>
                <w:rPr>
                  <w:rFonts w:ascii="Arial" w:cs="Arial" w:eastAsia="Arial" w:hAnsi="Arial"/>
                  <w:sz w:val="18"/>
                  <w:szCs w:val="18"/>
                  <w:color w:val="0000EE"/>
                  <w:w w:val="94"/>
                </w:rPr>
                <w:t>Rule 13a-14(a)/15d-14(a) Certification of Principal Financial Officer as adopted pursuant to Section 302 of the Sarbanes-Oxley Act of</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4"/>
              </w:rPr>
            </w:pPr>
            <w:hyperlink w:anchor="page44">
              <w:r>
                <w:rPr>
                  <w:rFonts w:ascii="Arial" w:cs="Arial" w:eastAsia="Arial" w:hAnsi="Arial"/>
                  <w:sz w:val="18"/>
                  <w:szCs w:val="18"/>
                  <w:color w:val="0000EE"/>
                  <w:w w:val="84"/>
                </w:rPr>
                <w:t>2002</w:t>
              </w:r>
            </w:hyperlink>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2960" w:type="dxa"/>
            <w:vAlign w:val="bottom"/>
            <w:tcBorders>
              <w:top w:val="single" w:sz="8" w:color="0000EE"/>
              <w:bottom w:val="single" w:sz="8" w:color="CCEEFF"/>
            </w:tcBorders>
            <w:shd w:val="clear" w:color="auto" w:fill="CCEEFF"/>
          </w:tcPr>
          <w:p>
            <w:pPr>
              <w:spacing w:after="0"/>
              <w:rPr>
                <w:sz w:val="18"/>
                <w:szCs w:val="18"/>
                <w:color w:val="auto"/>
              </w:rPr>
            </w:pPr>
          </w:p>
        </w:tc>
        <w:tc>
          <w:tcPr>
            <w:tcW w:w="1400" w:type="dxa"/>
            <w:vAlign w:val="bottom"/>
            <w:tcBorders>
              <w:top w:val="single" w:sz="8" w:color="0000EE"/>
              <w:bottom w:val="single" w:sz="8" w:color="CCEEFF"/>
            </w:tcBorders>
            <w:shd w:val="clear" w:color="auto" w:fill="CCEEFF"/>
          </w:tcPr>
          <w:p>
            <w:pPr>
              <w:spacing w:after="0"/>
              <w:rPr>
                <w:sz w:val="18"/>
                <w:szCs w:val="18"/>
                <w:color w:val="auto"/>
              </w:rPr>
            </w:pPr>
          </w:p>
        </w:tc>
        <w:tc>
          <w:tcPr>
            <w:tcW w:w="506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00" w:type="dxa"/>
            <w:vAlign w:val="bottom"/>
            <w:gridSpan w:val="2"/>
            <w:shd w:val="clear" w:color="auto" w:fill="CCEEFF"/>
          </w:tcPr>
          <w:p>
            <w:pPr>
              <w:spacing w:after="0" w:line="17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32+</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20" w:type="dxa"/>
            <w:vAlign w:val="bottom"/>
            <w:gridSpan w:val="6"/>
            <w:shd w:val="clear" w:color="auto" w:fill="CCEEFF"/>
          </w:tcPr>
          <w:p>
            <w:pPr>
              <w:spacing w:after="0" w:line="17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Certification of Chief Executive Officer and Principal Financial Officer Pursuant to 18 U.S.C. Section 1350, as Adopted Pursuant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20" w:type="dxa"/>
            <w:vAlign w:val="bottom"/>
            <w:tcBorders>
              <w:top w:val="single" w:sz="8" w:color="0000EE"/>
            </w:tcBorders>
            <w:gridSpan w:val="6"/>
            <w:shd w:val="clear" w:color="auto" w:fill="CCEEFF"/>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Section 906 of the Sarbanes-Oxley Act of 2002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101.SCH XBRL Taxonomy Extension Schema.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101.CAL XBRL Taxonomy Extension Calculation Linkbase.</w:t>
            </w:r>
          </w:p>
        </w:tc>
      </w:tr>
      <w:tr>
        <w:trPr>
          <w:trHeight w:val="216"/>
        </w:trPr>
        <w:tc>
          <w:tcPr>
            <w:tcW w:w="96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101.DEF XBRL Taxonomy Extension Definition Linkbase.</w:t>
            </w:r>
          </w:p>
        </w:tc>
      </w:tr>
      <w:tr>
        <w:trPr>
          <w:trHeight w:val="216"/>
        </w:trPr>
        <w:tc>
          <w:tcPr>
            <w:tcW w:w="96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101.LAB XBRL Taxonomy Extension Label Linkbase.</w:t>
            </w:r>
          </w:p>
        </w:tc>
      </w:tr>
      <w:tr>
        <w:trPr>
          <w:trHeight w:val="216"/>
        </w:trPr>
        <w:tc>
          <w:tcPr>
            <w:tcW w:w="96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101.PRE XBRL Taxonomy Extension Presentation Linkbase.</w:t>
            </w:r>
          </w:p>
        </w:tc>
      </w:tr>
    </w:tbl>
    <w:p>
      <w:pPr>
        <w:spacing w:after="0" w:line="202" w:lineRule="exact"/>
        <w:rPr>
          <w:sz w:val="20"/>
          <w:szCs w:val="20"/>
          <w:color w:val="auto"/>
        </w:rPr>
      </w:pPr>
    </w:p>
    <w:p>
      <w:pPr>
        <w:jc w:val="both"/>
        <w:ind w:left="900" w:hanging="447"/>
        <w:spacing w:after="0" w:line="263"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360" w:type="dxa"/>
            <w:vAlign w:val="bottom"/>
            <w:gridSpan w:val="2"/>
          </w:tcPr>
          <w:p>
            <w:pPr>
              <w:ind w:left="2100"/>
              <w:spacing w:after="0"/>
              <w:rPr>
                <w:sz w:val="20"/>
                <w:szCs w:val="20"/>
                <w:color w:val="auto"/>
              </w:rPr>
            </w:pPr>
            <w:r>
              <w:rPr>
                <w:rFonts w:ascii="Arial" w:cs="Arial" w:eastAsia="Arial" w:hAnsi="Arial"/>
                <w:sz w:val="18"/>
                <w:szCs w:val="18"/>
                <w:b w:val="1"/>
                <w:bCs w:val="1"/>
                <w:color w:val="auto"/>
              </w:rPr>
              <w:t>KINGSTONE COMPANIES, INC.</w:t>
            </w:r>
          </w:p>
        </w:tc>
        <w:tc>
          <w:tcPr>
            <w:tcW w:w="134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May 16, 2022</w:t>
            </w:r>
          </w:p>
        </w:tc>
        <w:tc>
          <w:tcPr>
            <w:tcW w:w="6360" w:type="dxa"/>
            <w:vAlign w:val="bottom"/>
            <w:gridSpan w:val="2"/>
          </w:tcPr>
          <w:p>
            <w:pPr>
              <w:ind w:left="2100"/>
              <w:spacing w:after="0"/>
              <w:rPr>
                <w:sz w:val="20"/>
                <w:szCs w:val="20"/>
                <w:color w:val="auto"/>
              </w:rPr>
            </w:pPr>
            <w:r>
              <w:rPr>
                <w:rFonts w:ascii="Arial" w:cs="Arial" w:eastAsia="Arial" w:hAnsi="Arial"/>
                <w:sz w:val="18"/>
                <w:szCs w:val="18"/>
                <w:color w:val="auto"/>
              </w:rPr>
              <w:t>By: /s/ Barry B. Goldstein</w:t>
            </w:r>
          </w:p>
        </w:tc>
        <w:tc>
          <w:tcPr>
            <w:tcW w:w="134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Barry B. Goldstein</w:t>
            </w:r>
          </w:p>
        </w:tc>
        <w:tc>
          <w:tcPr>
            <w:tcW w:w="13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34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May 16, 2022</w:t>
            </w:r>
          </w:p>
        </w:tc>
        <w:tc>
          <w:tcPr>
            <w:tcW w:w="6360" w:type="dxa"/>
            <w:vAlign w:val="bottom"/>
            <w:gridSpan w:val="2"/>
          </w:tcPr>
          <w:p>
            <w:pPr>
              <w:ind w:left="2100"/>
              <w:spacing w:after="0"/>
              <w:rPr>
                <w:sz w:val="20"/>
                <w:szCs w:val="20"/>
                <w:color w:val="auto"/>
              </w:rPr>
            </w:pPr>
            <w:r>
              <w:rPr>
                <w:rFonts w:ascii="Arial" w:cs="Arial" w:eastAsia="Arial" w:hAnsi="Arial"/>
                <w:sz w:val="18"/>
                <w:szCs w:val="18"/>
                <w:color w:val="auto"/>
              </w:rPr>
              <w:t>By: /s/ Richard Swartz</w:t>
            </w:r>
          </w:p>
        </w:tc>
        <w:tc>
          <w:tcPr>
            <w:tcW w:w="134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Swartz</w:t>
            </w:r>
          </w:p>
        </w:tc>
        <w:tc>
          <w:tcPr>
            <w:tcW w:w="13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340" w:type="dxa"/>
            <w:vAlign w:val="bottom"/>
          </w:tcPr>
          <w:p>
            <w:pPr>
              <w:spacing w:after="0"/>
              <w:rPr>
                <w:sz w:val="20"/>
                <w:szCs w:val="20"/>
                <w:color w:val="auto"/>
              </w:rPr>
            </w:pPr>
          </w:p>
        </w:tc>
      </w:tr>
      <w:tr>
        <w:trPr>
          <w:trHeight w:val="864"/>
        </w:trPr>
        <w:tc>
          <w:tcPr>
            <w:tcW w:w="3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67</w:t>
            </w:r>
          </w:p>
        </w:tc>
        <w:tc>
          <w:tcPr>
            <w:tcW w:w="3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6"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Barry B. Goldstein, certify that:</w:t>
      </w:r>
    </w:p>
    <w:p>
      <w:pPr>
        <w:spacing w:after="0" w:line="21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16, 2022</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color w:val="auto"/>
        </w:rPr>
        <w:t>Barry B. Goldstein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Richard Swartz, certify that:</w:t>
      </w:r>
    </w:p>
    <w:p>
      <w:pPr>
        <w:spacing w:after="0" w:line="21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16, 2022</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Richard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color w:val="auto"/>
        </w:rPr>
        <w:t>Richard Swartz</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Quarterly Report of Kingstone Companies, Inc. (the “Company”) on Form 10-Q for the period ended March 31, 2022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Dated: May 16, 2022</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B. Goldstein</w:t>
            </w:r>
          </w:p>
        </w:tc>
      </w:tr>
      <w:tr>
        <w:trPr>
          <w:trHeight w:val="195"/>
        </w:trPr>
        <w:tc>
          <w:tcPr>
            <w:tcW w:w="59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Barry B. Goldstein</w:t>
            </w:r>
          </w:p>
        </w:tc>
      </w:tr>
      <w:tr>
        <w:trPr>
          <w:trHeight w:val="230"/>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98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Swartz</w:t>
            </w:r>
          </w:p>
        </w:tc>
      </w:tr>
      <w:tr>
        <w:trPr>
          <w:trHeight w:val="195"/>
        </w:trPr>
        <w:tc>
          <w:tcPr>
            <w:tcW w:w="59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Richard Swartz</w:t>
            </w:r>
          </w:p>
        </w:tc>
      </w:tr>
      <w:tr>
        <w:trPr>
          <w:trHeight w:val="230"/>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lvl w:ilvl="1">
      <w:lvlJc w:val="left"/>
      <w:lvlText w:val="(%2)"/>
      <w:numFmt w:val="upperLetter"/>
      <w:start w:val="1"/>
    </w:lvl>
  </w:abstractNum>
  <w:abstractNum w:abstractNumId="7">
    <w:nsid w:val="7FDCC233"/>
    <w:multiLevelType w:val="hybridMultilevel"/>
    <w:lvl w:ilvl="0">
      <w:lvlJc w:val="left"/>
      <w:lvlText w:val="(%1)"/>
      <w:numFmt w:val="decimal"/>
      <w:start w:val="2"/>
    </w:lvl>
    <w:lvl w:ilvl="1">
      <w:lvlJc w:val="left"/>
      <w:lvlText w:val="%2"/>
      <w:numFmt w:val="upperLetter"/>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lowerRoman"/>
      <w:start w:val="1"/>
    </w:lvl>
  </w:abstractNum>
  <w:abstractNum w:abstractNumId="16">
    <w:nsid w:val="7C83E458"/>
    <w:multiLevelType w:val="hybridMultilevel"/>
    <w:lvl w:ilvl="0">
      <w:lvlJc w:val="left"/>
      <w:lvlText w:val="\endash "/>
      <w:numFmt w:val="bullet"/>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3" Type="http://schemas.openxmlformats.org/officeDocument/2006/relationships/hyperlink" Target="http://www.sec.gov/Archives/edgar/data/33992/000135448814002619/kins_ex3a.htm" TargetMode="External"/><Relationship Id="rId84" Type="http://schemas.openxmlformats.org/officeDocument/2006/relationships/hyperlink" Target="http://www.sec.gov/Archives/edgar/data/33992/000102177109000069/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2022-05-16T17:02:35Z</dcterms:created>
  <dcterms:modified xsi:type="dcterms:W3CDTF">2022-05-16T17:02:35Z</dcterms:modified>
</cp:coreProperties>
</file>