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5280"/>
        <w:spacing w:after="0"/>
        <w:rPr>
          <w:sz w:val="20"/>
          <w:szCs w:val="20"/>
          <w:color w:val="auto"/>
        </w:rPr>
      </w:pPr>
      <w:r>
        <w:rPr>
          <w:rFonts w:ascii="Times New Roman" w:cs="Times New Roman" w:eastAsia="Times New Roman" w:hAnsi="Times New Roman"/>
          <w:sz w:val="20"/>
          <w:szCs w:val="20"/>
          <w:color w:val="auto"/>
        </w:rPr>
        <w:t>_______</w:t>
      </w:r>
    </w:p>
    <w:p>
      <w:pPr>
        <w:spacing w:after="0" w:line="21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Pursuant to Section 13 or 15(d) of the</w:t>
      </w:r>
    </w:p>
    <w:p>
      <w:pPr>
        <w:jc w:val="center"/>
        <w:ind w:right="60"/>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Date of Report May 19, 2026</w:t>
      </w:r>
    </w:p>
    <w:p>
      <w:pPr>
        <w:spacing w:after="0" w:line="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u w:val="single" w:color="auto"/>
          <w:color w:val="auto"/>
        </w:rPr>
        <w:t>KINGSTONE COMPANIES, INC.</w:t>
      </w:r>
    </w:p>
    <w:p>
      <w:pPr>
        <w:spacing w:after="0" w:line="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120" w:type="dxa"/>
            <w:vAlign w:val="bottom"/>
            <w:tcBorders>
              <w:bottom w:val="single" w:sz="8" w:color="auto"/>
            </w:tcBorders>
            <w:gridSpan w:val="2"/>
          </w:tcPr>
          <w:p>
            <w:pPr>
              <w:ind w:left="162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0-1665</w:t>
            </w:r>
          </w:p>
        </w:tc>
        <w:tc>
          <w:tcPr>
            <w:tcW w:w="4440" w:type="dxa"/>
            <w:vAlign w:val="bottom"/>
            <w:tcBorders>
              <w:bottom w:val="single" w:sz="8" w:color="auto"/>
            </w:tcBorders>
            <w:gridSpan w:val="2"/>
          </w:tcPr>
          <w:p>
            <w:pPr>
              <w:jc w:val="right"/>
              <w:ind w:right="1500"/>
              <w:spacing w:after="0"/>
              <w:rPr>
                <w:sz w:val="20"/>
                <w:szCs w:val="20"/>
                <w:color w:val="auto"/>
              </w:rPr>
            </w:pPr>
            <w:r>
              <w:rPr>
                <w:rFonts w:ascii="Times New Roman" w:cs="Times New Roman" w:eastAsia="Times New Roman" w:hAnsi="Times New Roman"/>
                <w:sz w:val="20"/>
                <w:szCs w:val="20"/>
                <w:color w:val="auto"/>
              </w:rPr>
              <w:t>36-2476480</w:t>
            </w:r>
          </w:p>
        </w:tc>
      </w:tr>
      <w:tr>
        <w:trPr>
          <w:trHeight w:val="252"/>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(State or Other Jurisdiction of Incorporation)</w:t>
            </w:r>
          </w:p>
        </w:tc>
        <w:tc>
          <w:tcPr>
            <w:tcW w:w="26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(Commission File No.)</w:t>
            </w:r>
          </w:p>
        </w:tc>
        <w:tc>
          <w:tcPr>
            <w:tcW w:w="444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(IRS Employer Identification Number)</w:t>
            </w:r>
          </w:p>
        </w:tc>
      </w:tr>
      <w:tr>
        <w:trPr>
          <w:trHeight w:val="457"/>
        </w:trPr>
        <w:tc>
          <w:tcPr>
            <w:tcW w:w="2800" w:type="dxa"/>
            <w:vAlign w:val="bottom"/>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120 Wood Road, Kingston, NY</w:t>
            </w:r>
          </w:p>
        </w:tc>
        <w:tc>
          <w:tcPr>
            <w:tcW w:w="1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12401</w:t>
            </w:r>
          </w:p>
        </w:tc>
        <w:tc>
          <w:tcPr>
            <w:tcW w:w="2780" w:type="dxa"/>
            <w:vAlign w:val="bottom"/>
          </w:tcPr>
          <w:p>
            <w:pPr>
              <w:spacing w:after="0"/>
              <w:rPr>
                <w:sz w:val="24"/>
                <w:szCs w:val="24"/>
                <w:color w:val="auto"/>
              </w:rPr>
            </w:pPr>
          </w:p>
        </w:tc>
      </w:tr>
      <w:tr>
        <w:trPr>
          <w:trHeight w:val="252"/>
        </w:trPr>
        <w:tc>
          <w:tcPr>
            <w:tcW w:w="280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1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(Zip Code)</w:t>
            </w:r>
          </w:p>
        </w:tc>
        <w:tc>
          <w:tcPr>
            <w:tcW w:w="2780" w:type="dxa"/>
            <w:vAlign w:val="bottom"/>
          </w:tcPr>
          <w:p>
            <w:pPr>
              <w:spacing w:after="0"/>
              <w:rPr>
                <w:sz w:val="21"/>
                <w:szCs w:val="21"/>
                <w:color w:val="auto"/>
              </w:rPr>
            </w:pPr>
          </w:p>
        </w:tc>
      </w:tr>
    </w:tbl>
    <w:p>
      <w:pPr>
        <w:spacing w:after="0" w:line="19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u w:val="single" w:color="auto"/>
          <w:color w:val="auto"/>
        </w:rPr>
        <w:t>(845) 802-7900</w:t>
      </w:r>
    </w:p>
    <w:p>
      <w:pPr>
        <w:spacing w:after="0" w:line="243" w:lineRule="exact"/>
        <w:rPr>
          <w:sz w:val="24"/>
          <w:szCs w:val="24"/>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1300"/>
          </w:cols>
          <w:pgMar w:left="320" w:top="221" w:right="279" w:bottom="1440" w:gutter="0" w:footer="0" w:header="0"/>
        </w:sectPr>
      </w:pPr>
    </w:p>
    <w:p>
      <w:pPr>
        <w:spacing w:after="0" w:line="18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____</w:t>
      </w:r>
    </w:p>
    <w:p>
      <w:pPr>
        <w:spacing w:after="0" w:line="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____</w:t>
      </w:r>
    </w:p>
    <w:p>
      <w:pPr>
        <w:ind w:left="60"/>
        <w:spacing w:after="0"/>
        <w:rPr>
          <w:sz w:val="20"/>
          <w:szCs w:val="20"/>
          <w:color w:val="auto"/>
        </w:rPr>
      </w:pPr>
      <w:r>
        <w:rPr>
          <w:rFonts w:ascii="Times New Roman" w:cs="Times New Roman" w:eastAsia="Times New Roman" w:hAnsi="Times New Roman"/>
          <w:sz w:val="20"/>
          <w:szCs w:val="20"/>
          <w:color w:val="auto"/>
        </w:rPr>
        <w:t>____</w:t>
      </w:r>
    </w:p>
    <w:p>
      <w:pPr>
        <w:ind w:left="60"/>
        <w:spacing w:after="0"/>
        <w:rPr>
          <w:sz w:val="20"/>
          <w:szCs w:val="20"/>
          <w:color w:val="auto"/>
        </w:rPr>
      </w:pPr>
      <w:r>
        <w:rPr>
          <w:rFonts w:ascii="Times New Roman" w:cs="Times New Roman" w:eastAsia="Times New Roman" w:hAnsi="Times New Roman"/>
          <w:sz w:val="20"/>
          <w:szCs w:val="20"/>
          <w:color w:val="auto"/>
        </w:rPr>
        <w:t>____</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rPr>
          <w:sz w:val="20"/>
          <w:szCs w:val="20"/>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Pre-commencement communications pursuant to Rule 13e-4(c) under the Exchange Act (17 CFR 240.13e-4(c))</w:t>
      </w:r>
    </w:p>
    <w:p>
      <w:pPr>
        <w:spacing w:after="0" w:line="211" w:lineRule="exact"/>
        <w:rPr>
          <w:sz w:val="24"/>
          <w:szCs w:val="24"/>
          <w:color w:val="auto"/>
        </w:rPr>
      </w:pPr>
    </w:p>
    <w:p>
      <w:pPr>
        <w:sectPr>
          <w:pgSz w:w="11900" w:h="16838" w:orient="portrait"/>
          <w:cols w:equalWidth="0" w:num="2">
            <w:col w:w="460" w:space="680"/>
            <w:col w:w="10160"/>
          </w:cols>
          <w:pgMar w:left="320" w:top="221" w:right="27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45" w:lineRule="exact"/>
        <w:rPr>
          <w:sz w:val="24"/>
          <w:szCs w:val="24"/>
          <w:color w:val="auto"/>
        </w:rPr>
      </w:pPr>
    </w:p>
    <w:tbl>
      <w:tblPr>
        <w:tblLayout w:type="fixed"/>
        <w:tblInd w:w="70" w:type="dxa"/>
        <w:tblCellMar>
          <w:top w:w="0" w:type="dxa"/>
          <w:left w:w="0" w:type="dxa"/>
          <w:bottom w:w="0" w:type="dxa"/>
          <w:right w:w="0" w:type="dxa"/>
        </w:tblCellMar>
      </w:tblPr>
      <w:tr>
        <w:trPr>
          <w:trHeight w:val="243"/>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Name of each exchange on which registered</w:t>
            </w:r>
          </w:p>
        </w:tc>
      </w:tr>
      <w:tr>
        <w:trPr>
          <w:trHeight w:val="223"/>
        </w:trPr>
        <w:tc>
          <w:tcPr>
            <w:tcW w:w="4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Common Stock, $0.01 par value per share</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KINS</w:t>
            </w:r>
          </w:p>
        </w:tc>
        <w:tc>
          <w:tcPr>
            <w:tcW w:w="46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Nasdaq Capital Market</w:t>
            </w:r>
          </w:p>
        </w:tc>
      </w:tr>
    </w:tbl>
    <w:p>
      <w:pPr>
        <w:spacing w:after="0" w:line="220" w:lineRule="exact"/>
        <w:rPr>
          <w:sz w:val="24"/>
          <w:szCs w:val="24"/>
          <w:color w:val="auto"/>
        </w:rPr>
      </w:pPr>
    </w:p>
    <w:p>
      <w:pPr>
        <w:ind w:right="920"/>
        <w:spacing w:after="0" w:line="250"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900"/>
        <w:spacing w:after="0"/>
        <w:rPr>
          <w:sz w:val="20"/>
          <w:szCs w:val="20"/>
          <w:color w:val="auto"/>
        </w:rPr>
      </w:pPr>
      <w:r>
        <w:rPr>
          <w:rFonts w:ascii="Times New Roman" w:cs="Times New Roman" w:eastAsia="Times New Roman" w:hAnsi="Times New Roman"/>
          <w:sz w:val="20"/>
          <w:szCs w:val="20"/>
          <w:color w:val="auto"/>
        </w:rPr>
        <w:t>Emerging growth company □</w:t>
      </w:r>
    </w:p>
    <w:p>
      <w:pPr>
        <w:spacing w:after="0" w:line="221"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21" w:right="279" w:bottom="1440" w:gutter="0" w:footer="0" w:header="0"/>
          <w:type w:val="continuous"/>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r>
        <w:rPr>
          <w:rFonts w:ascii="Times New Roman" w:cs="Times New Roman" w:eastAsia="Times New Roman" w:hAnsi="Times New Roman"/>
          <w:sz w:val="21"/>
          <w:szCs w:val="21"/>
          <w:color w:val="auto"/>
        </w:rPr>
        <w:t>.</w:t>
      </w:r>
    </w:p>
    <w:p>
      <w:pPr>
        <w:spacing w:after="0" w:line="26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On May 19, 2026, Kingstone Companies, Inc. (the “Company”) issued a press release (the “Press Release”) announcing that the Company’s Board of Directors has authorized a share repurchase program under which the Company may repurchase up to 1,000,000 shares of its outstanding common stock over the next two years. A copy of the Press Release is furnished as Exhibit 99.1 hereto.</w:t>
      </w:r>
    </w:p>
    <w:p>
      <w:pPr>
        <w:spacing w:after="0" w:line="23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information in the Press Release is being furnished, not filed, pursuant to this Item 7.01. Accordingly, the information in the Press Release will not be subject to the liabilities of Section 18 of the Securities Exchange Act of 1934, as amended (the “Exchange Act”), nor will it be deemed incorporated by reference into any registration statement filed by the Company under the Securities Act of 1933, as amended, or any filing under the Exchange Act, unless specifically identified therein as being incorporated therein by reference. The furnishing of the information in this Current Report on Form 8-K with respect to the Press Release is not intended to, and does not, constitute a determination or admission by the Company that the information in this Report with respect to the Press Release is material or complete, or that investors should consider this information before making an investment decision with respect to any security of the Company.</w:t>
      </w:r>
    </w:p>
    <w:p>
      <w:pPr>
        <w:spacing w:after="0" w:line="22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7" w:lineRule="exact"/>
        <w:rPr>
          <w:sz w:val="20"/>
          <w:szCs w:val="20"/>
          <w:color w:val="auto"/>
        </w:rPr>
      </w:pPr>
    </w:p>
    <w:p>
      <w:pPr>
        <w:ind w:left="1060" w:hanging="1054"/>
        <w:spacing w:after="0"/>
        <w:tabs>
          <w:tab w:leader="none" w:pos="10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73" w:lineRule="exact"/>
        <w:rPr>
          <w:rFonts w:ascii="Times New Roman" w:cs="Times New Roman" w:eastAsia="Times New Roman" w:hAnsi="Times New Roman"/>
          <w:sz w:val="22"/>
          <w:szCs w:val="22"/>
          <w:color w:val="auto"/>
        </w:rPr>
      </w:pPr>
    </w:p>
    <w:p>
      <w:pPr>
        <w:ind w:left="10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99.1</w:t>
      </w:r>
      <w:r>
        <w:rPr>
          <w:rFonts w:ascii="Times New Roman" w:cs="Times New Roman" w:eastAsia="Times New Roman" w:hAnsi="Times New Roman"/>
          <w:sz w:val="21"/>
          <w:szCs w:val="21"/>
          <w:color w:val="auto"/>
        </w:rPr>
        <w:t>Press release, dated May 19, 2026, issued by Kingstone Companies, Inc.</w:t>
      </w:r>
    </w:p>
    <w:p>
      <w:pPr>
        <w:spacing w:after="0" w:line="192" w:lineRule="exact"/>
        <w:rPr>
          <w:rFonts w:ascii="Times New Roman" w:cs="Times New Roman" w:eastAsia="Times New Roman" w:hAnsi="Times New Roman"/>
          <w:sz w:val="22"/>
          <w:szCs w:val="22"/>
          <w:color w:val="auto"/>
        </w:rPr>
      </w:pPr>
    </w:p>
    <w:p>
      <w:pPr>
        <w:ind w:left="10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104</w:t>
      </w:r>
      <w:r>
        <w:rPr>
          <w:rFonts w:ascii="Times New Roman" w:cs="Times New Roman" w:eastAsia="Times New Roman" w:hAnsi="Times New Roman"/>
          <w:sz w:val="21"/>
          <w:szCs w:val="21"/>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702"/>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b w:val="1"/>
          <w:bCs w:val="1"/>
          <w:color w:val="auto"/>
        </w:rPr>
        <w:t>KINGSTONE COMPANIES, INC.</w:t>
      </w:r>
    </w:p>
    <w:p>
      <w:pPr>
        <w:spacing w:after="0" w:line="237" w:lineRule="exact"/>
        <w:rPr>
          <w:sz w:val="20"/>
          <w:szCs w:val="20"/>
          <w:color w:val="auto"/>
        </w:rPr>
      </w:pPr>
    </w:p>
    <w:p>
      <w:pPr>
        <w:ind w:left="100"/>
        <w:spacing w:after="0"/>
        <w:tabs>
          <w:tab w:leader="none" w:pos="5480" w:val="left"/>
          <w:tab w:leader="none" w:pos="6340" w:val="left"/>
        </w:tabs>
        <w:rPr>
          <w:sz w:val="20"/>
          <w:szCs w:val="20"/>
          <w:color w:val="auto"/>
        </w:rPr>
      </w:pPr>
      <w:r>
        <w:rPr>
          <w:rFonts w:ascii="Times New Roman" w:cs="Times New Roman" w:eastAsia="Times New Roman" w:hAnsi="Times New Roman"/>
          <w:sz w:val="22"/>
          <w:szCs w:val="22"/>
          <w:color w:val="auto"/>
        </w:rPr>
        <w:t>Dated: May 19,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Randy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10795</wp:posOffset>
            </wp:positionV>
            <wp:extent cx="3162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22"/>
          <w:szCs w:val="22"/>
          <w:color w:val="auto"/>
        </w:rPr>
        <w:t>Randy Patten</w:t>
      </w:r>
    </w:p>
    <w:p>
      <w:pPr>
        <w:ind w:left="6260"/>
        <w:spacing w:after="0"/>
        <w:rPr>
          <w:sz w:val="20"/>
          <w:szCs w:val="20"/>
          <w:color w:val="auto"/>
        </w:rPr>
      </w:pPr>
      <w:r>
        <w:rPr>
          <w:rFonts w:ascii="Times New Roman" w:cs="Times New Roman" w:eastAsia="Times New Roman" w:hAnsi="Times New Roman"/>
          <w:sz w:val="22"/>
          <w:szCs w:val="22"/>
          <w:color w:val="auto"/>
        </w:rPr>
        <w:t>Chief Financial Officer</w:t>
      </w:r>
    </w:p>
    <w:p>
      <w:pPr>
        <w:sectPr>
          <w:pgSz w:w="11900" w:h="16838" w:orient="portrait"/>
          <w:cols w:equalWidth="0" w:num="1">
            <w:col w:w="10720"/>
          </w:cols>
          <w:pgMar w:left="320" w:top="108" w:right="8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1296670</wp:posOffset>
            </wp:positionH>
            <wp:positionV relativeFrom="page">
              <wp:posOffset>88900</wp:posOffset>
            </wp:positionV>
            <wp:extent cx="155130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308610"/>
                    </a:xfrm>
                    <a:prstGeom prst="rect">
                      <a:avLst/>
                    </a:prstGeom>
                    <a:noFill/>
                  </pic:spPr>
                </pic:pic>
              </a:graphicData>
            </a:graphic>
          </wp:anchor>
        </w:drawing>
        <w:t>Kingstone Announces Share Repurchase Program of up to 1,000,000 Shares</w:t>
      </w:r>
    </w:p>
    <w:p>
      <w:pPr>
        <w:spacing w:after="0" w:line="200" w:lineRule="exact"/>
        <w:rPr>
          <w:sz w:val="20"/>
          <w:szCs w:val="20"/>
          <w:color w:val="auto"/>
        </w:rPr>
      </w:pPr>
    </w:p>
    <w:p>
      <w:pPr>
        <w:spacing w:after="0" w:line="391"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22"/>
          <w:szCs w:val="22"/>
          <w:b w:val="1"/>
          <w:bCs w:val="1"/>
          <w:color w:val="auto"/>
        </w:rPr>
        <w:t xml:space="preserve">Kingston, NY — May 19, 2026 – Kingstone Companies, Inc. (Nasdaq: KINS) </w:t>
      </w:r>
      <w:r>
        <w:rPr>
          <w:rFonts w:ascii="Times New Roman" w:cs="Times New Roman" w:eastAsia="Times New Roman" w:hAnsi="Times New Roman"/>
          <w:sz w:val="22"/>
          <w:szCs w:val="22"/>
          <w:color w:val="auto"/>
        </w:rPr>
        <w:t>(“Kingstone” or the “Company”), a regional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and casualty insurance holding company, today announced that its Board of Directors (the “Board”) has authorized a share repurchase program under which the Company may repurchase up to 1,000,000 shares of its outstanding common stock, representing approximately 6.9% of the Company’s outstanding common stock as of March 31, 2026, over the next two years.</w:t>
      </w:r>
    </w:p>
    <w:p>
      <w:pPr>
        <w:spacing w:after="0" w:line="17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color w:val="auto"/>
        </w:rPr>
        <w:t>Meryl Golden, President and Chief Executive Officer of Kingstone, stated, “This authorization reflects the Board’s confidence in the Kingstone franchise we have built and the trajectory ahead of us. Share repurchases under this program are intended to complement our investments in profitable growth and our quarterly dividend. We will continue to allocate capital with discipline, prioritizing the highest-return uses we see in our business. We remain confident in the long-term value we are creating for our shareholders.”</w:t>
      </w:r>
    </w:p>
    <w:p>
      <w:pPr>
        <w:spacing w:after="0" w:line="19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color w:val="auto"/>
        </w:rPr>
        <w:t>Repurchases under the program may be made from time to time through open market purchases, privately negotiated transactions, block transactions, and transactions effected pursuant to trading plans intended to qualify under Rule 10b5-1 of the Securities Exchange Act of 1934, as amended. The Company intends to effect repurchases in compliance with Rule 10b-18 of the Securities Exchange Act of 1934, as amended, and the Company’s insider trading policy. The timing and total amount of any repurchases will be determined at management’s discretion based on its evaluation of market conditions, the Company’s share price, regulatory requirements, the Company’s liquidity needs, and other factors. The program has a term of two years, does not obligate the Company to acquire any specific number of shares, and may be modified, suspended, or discontinued at any time without prior notice.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7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may be forward-looking statements. These statements are based on management’s current expectations and are subject to uncertainty and changes in circumstances. These statements involve risks and uncertainties that could cause actual results to differ materially from those included in forward-looking statements due to a variety of factors. For more details on factors that could affect expectations, see Part I, Item 1A of our Annual Report on Form 10-K for the year ended December 31, 2025</w:t>
      </w:r>
      <w:r>
        <w:rPr>
          <w:rFonts w:ascii="Times New Roman" w:cs="Times New Roman" w:eastAsia="Times New Roman" w:hAnsi="Times New Roman"/>
          <w:sz w:val="22"/>
          <w:szCs w:val="22"/>
          <w:i w:val="1"/>
          <w:iCs w:val="1"/>
          <w:color w:val="auto"/>
        </w:rPr>
        <w:t>.</w:t>
      </w:r>
    </w:p>
    <w:p>
      <w:pPr>
        <w:spacing w:after="0" w:line="195"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2"/>
          <w:szCs w:val="22"/>
          <w:color w:val="auto"/>
        </w:rPr>
        <w:t>Kingstone undertakes no obligation to publicly update or revise any forward-looking statements, whether as a result of new information, future events or otherwise, except as required by law</w:t>
      </w:r>
      <w:r>
        <w:rPr>
          <w:rFonts w:ascii="Times New Roman" w:cs="Times New Roman" w:eastAsia="Times New Roman" w:hAnsi="Times New Roman"/>
          <w:sz w:val="22"/>
          <w:szCs w:val="22"/>
          <w:i w:val="1"/>
          <w:iCs w:val="1"/>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Kingstone Companies, Inc.</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Kingstone is a regional property and casualty insurance holding company whose principal operating subsidiary is Kingstone Insurance Company ("KICO"). KICO is a New York domiciled carrier writing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KICO was the 11th largest writer of homeowners insurance in New York in 2025 and is also licensed in New Jersey, Rhode Island, Massachusetts, Connecticut, Pennsylvania, New Hampshire, and Maine.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Elevate IR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67886"/>
        </w:rPr>
        <w:t>KINS@elevate-ir.com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720-330-2829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884" w:right="339"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2026-05-20T15:26:05Z</dcterms:created>
  <dcterms:modified xsi:type="dcterms:W3CDTF">2026-05-20T15:26:05Z</dcterms:modified>
</cp:coreProperties>
</file>