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660" w:right="1640" w:hanging="3510"/>
        <w:spacing w:after="0" w:line="500" w:lineRule="auto"/>
        <w:tabs>
          <w:tab w:leader="none" w:pos="4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540" w:right="1620" w:hanging="3390"/>
        <w:spacing w:after="0" w:line="500" w:lineRule="auto"/>
        <w:tabs>
          <w:tab w:leader="none" w:pos="46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0-1665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6380" w:type="dxa"/>
            <w:vAlign w:val="bottom"/>
            <w:gridSpan w:val="5"/>
          </w:tcPr>
          <w:p>
            <w:pPr>
              <w:jc w:val="center"/>
              <w:ind w:right="210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36-2476480</w:t>
            </w:r>
          </w:p>
        </w:tc>
      </w:tr>
      <w:tr>
        <w:trPr>
          <w:trHeight w:val="191"/>
        </w:trPr>
        <w:tc>
          <w:tcPr>
            <w:tcW w:w="43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(State or other jurisdiction of</w:t>
            </w:r>
          </w:p>
        </w:tc>
        <w:tc>
          <w:tcPr>
            <w:tcW w:w="9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tcPr>
          <w:p>
            <w:pPr>
              <w:jc w:val="center"/>
              <w:ind w:right="10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6380" w:type="dxa"/>
            <w:vAlign w:val="bottom"/>
            <w:gridSpan w:val="5"/>
          </w:tcPr>
          <w:p>
            <w:pPr>
              <w:jc w:val="center"/>
              <w:ind w:right="2080"/>
              <w:spacing w:after="0"/>
              <w:rPr>
                <w:sz w:val="20"/>
                <w:szCs w:val="20"/>
                <w:color w:val="auto"/>
              </w:rPr>
            </w:pPr>
            <w:r>
              <w:rPr>
                <w:rFonts w:ascii="Arial" w:cs="Arial" w:eastAsia="Arial" w:hAnsi="Arial"/>
                <w:sz w:val="18"/>
                <w:szCs w:val="18"/>
                <w:b w:val="1"/>
                <w:bCs w:val="1"/>
                <w:color w:val="auto"/>
                <w:w w:val="91"/>
              </w:rPr>
              <w:t>incorporation or organization)</w:t>
            </w:r>
          </w:p>
        </w:tc>
        <w:tc>
          <w:tcPr>
            <w:tcW w:w="316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4000" w:type="dxa"/>
            <w:vAlign w:val="bottom"/>
          </w:tcPr>
          <w:p>
            <w:pPr>
              <w:spacing w:after="0"/>
              <w:rPr>
                <w:sz w:val="24"/>
                <w:szCs w:val="24"/>
                <w:color w:val="auto"/>
              </w:rPr>
            </w:pPr>
          </w:p>
        </w:tc>
        <w:tc>
          <w:tcPr>
            <w:tcW w:w="2380" w:type="dxa"/>
            <w:vAlign w:val="bottom"/>
            <w:gridSpan w:val="4"/>
          </w:tcPr>
          <w:p>
            <w:pPr>
              <w:jc w:val="center"/>
              <w:ind w:right="860"/>
              <w:spacing w:after="0"/>
              <w:rPr>
                <w:sz w:val="20"/>
                <w:szCs w:val="20"/>
                <w:color w:val="auto"/>
              </w:rPr>
            </w:pPr>
            <w:r>
              <w:rPr>
                <w:rFonts w:ascii="Arial" w:cs="Arial" w:eastAsia="Arial" w:hAnsi="Arial"/>
                <w:sz w:val="18"/>
                <w:szCs w:val="18"/>
                <w:b w:val="1"/>
                <w:bCs w:val="1"/>
                <w:color w:val="auto"/>
                <w:w w:val="88"/>
              </w:rPr>
              <w:t>15 Joys Lane</w:t>
            </w:r>
          </w:p>
        </w:tc>
        <w:tc>
          <w:tcPr>
            <w:tcW w:w="3160" w:type="dxa"/>
            <w:vAlign w:val="bottom"/>
          </w:tcPr>
          <w:p>
            <w:pPr>
              <w:spacing w:after="0"/>
              <w:rPr>
                <w:sz w:val="24"/>
                <w:szCs w:val="24"/>
                <w:color w:val="auto"/>
              </w:rPr>
            </w:pPr>
          </w:p>
        </w:tc>
      </w:tr>
      <w:tr>
        <w:trPr>
          <w:trHeight w:val="194"/>
        </w:trPr>
        <w:tc>
          <w:tcPr>
            <w:tcW w:w="4000" w:type="dxa"/>
            <w:vAlign w:val="bottom"/>
          </w:tcPr>
          <w:p>
            <w:pPr>
              <w:spacing w:after="0"/>
              <w:rPr>
                <w:sz w:val="16"/>
                <w:szCs w:val="16"/>
                <w:color w:val="auto"/>
              </w:rPr>
            </w:pPr>
          </w:p>
        </w:tc>
        <w:tc>
          <w:tcPr>
            <w:tcW w:w="15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1"/>
              </w:rPr>
              <w:t>Kingston, NY 12401</w:t>
            </w:r>
          </w:p>
        </w:tc>
        <w:tc>
          <w:tcPr>
            <w:tcW w:w="84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37"/>
        </w:trPr>
        <w:tc>
          <w:tcPr>
            <w:tcW w:w="6380" w:type="dxa"/>
            <w:vAlign w:val="bottom"/>
            <w:gridSpan w:val="5"/>
          </w:tcPr>
          <w:p>
            <w:pPr>
              <w:jc w:val="center"/>
              <w:ind w:left="3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(845) 802-7900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KINS</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12, 2021, there were 10,483,132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4"/>
          <w:szCs w:val="24"/>
          <w:color w:val="auto"/>
        </w:rPr>
      </w:pPr>
    </w:p>
    <w:p>
      <w:pPr>
        <w:ind w:left="1038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6434455</wp:posOffset>
            </wp:positionH>
            <wp:positionV relativeFrom="paragraph">
              <wp:posOffset>17145</wp:posOffset>
            </wp:positionV>
            <wp:extent cx="634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ectPr>
          <w:pgSz w:w="11900" w:h="16838" w:orient="portrait"/>
          <w:cols w:equalWidth="0" w:num="1">
            <w:col w:w="11240"/>
          </w:cols>
          <w:pgMar w:left="320" w:top="67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20" w:type="dxa"/>
            <w:vAlign w:val="bottom"/>
            <w:gridSpan w:val="2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
        </w:trPr>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9420" w:type="dxa"/>
            <w:vAlign w:val="bottom"/>
            <w:gridSpan w:val="21"/>
            <w:shd w:val="clear" w:color="auto" w:fill="CCEEFF"/>
          </w:tcPr>
          <w:p>
            <w:pPr>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820" w:type="dxa"/>
            <w:vAlign w:val="bottom"/>
            <w:shd w:val="clear" w:color="auto" w:fill="CCEEFF"/>
          </w:tcPr>
          <w:p>
            <w:pPr>
              <w:spacing w:after="0"/>
              <w:rPr>
                <w:sz w:val="15"/>
                <w:szCs w:val="15"/>
                <w:color w:val="auto"/>
              </w:rPr>
            </w:pPr>
          </w:p>
        </w:tc>
      </w:tr>
      <w:tr>
        <w:trPr>
          <w:trHeight w:val="217"/>
        </w:trPr>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w:t>
              </w:r>
            </w:hyperlink>
          </w:p>
        </w:tc>
        <w:tc>
          <w:tcPr>
            <w:tcW w:w="320" w:type="dxa"/>
            <w:vAlign w:val="bottom"/>
            <w:tcBorders>
              <w:top w:val="single" w:sz="8" w:color="CCEEFF"/>
            </w:tcBorders>
            <w:gridSpan w:val="3"/>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w:t>
            </w:r>
          </w:p>
        </w:tc>
      </w:tr>
      <w:tr>
        <w:trPr>
          <w:trHeight w:val="176"/>
        </w:trPr>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420" w:type="dxa"/>
            <w:vAlign w:val="bottom"/>
            <w:tcBorders>
              <w:top w:val="single" w:sz="8" w:color="CCEEFF"/>
            </w:tcBorders>
            <w:gridSpan w:val="21"/>
          </w:tcPr>
          <w:p>
            <w:pPr>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at September 30, 2021 (Unaudited) and December 31, 2020</w:t>
              </w:r>
            </w:hyperlink>
          </w:p>
        </w:tc>
        <w:tc>
          <w:tcPr>
            <w:tcW w:w="820" w:type="dxa"/>
            <w:vAlign w:val="bottom"/>
            <w:tcBorders>
              <w:top w:val="single" w:sz="8" w:color="CCEEFF"/>
            </w:tcBorders>
          </w:tcPr>
          <w:p>
            <w:pPr>
              <w:jc w:val="right"/>
              <w:ind w:right="10"/>
              <w:spacing w:after="0" w:line="176"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96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Income (Loss) for the three months and nine months</w:t>
              </w:r>
            </w:hyperlink>
          </w:p>
        </w:tc>
        <w:tc>
          <w:tcPr>
            <w:tcW w:w="4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217"/>
        </w:trPr>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46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ended September 30, 2021 (Unaudited) and 2020 (Unaudited)</w:t>
              </w:r>
            </w:hyperlink>
          </w:p>
        </w:tc>
        <w:tc>
          <w:tcPr>
            <w:tcW w:w="4960" w:type="dxa"/>
            <w:vAlign w:val="bottom"/>
            <w:tcBorders>
              <w:bottom w:val="single" w:sz="8" w:color="CCEEFF"/>
            </w:tcBorders>
            <w:gridSpan w:val="7"/>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w:t>
            </w:r>
          </w:p>
        </w:tc>
      </w:tr>
      <w:tr>
        <w:trPr>
          <w:trHeight w:val="175"/>
        </w:trPr>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80" w:type="dxa"/>
            <w:vAlign w:val="bottom"/>
            <w:tcBorders>
              <w:bottom w:val="single" w:sz="8" w:color="0000EE"/>
            </w:tcBorders>
            <w:gridSpan w:val="18"/>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Stockholders’ Equity for the three months and nine months ended September 30,</w:t>
              </w:r>
            </w:hyperlink>
          </w:p>
        </w:tc>
        <w:tc>
          <w:tcPr>
            <w:tcW w:w="74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2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2021 (Unaudited) and 2020 (Unaudited)</w:t>
              </w:r>
            </w:hyperlink>
          </w:p>
        </w:tc>
        <w:tc>
          <w:tcPr>
            <w:tcW w:w="8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6-7</w:t>
            </w:r>
          </w:p>
        </w:tc>
      </w:tr>
      <w:tr>
        <w:trPr>
          <w:trHeight w:val="21"/>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20" w:type="dxa"/>
            <w:vAlign w:val="bottom"/>
            <w:gridSpan w:val="21"/>
            <w:shd w:val="clear" w:color="auto" w:fill="CCEEFF"/>
          </w:tcPr>
          <w:p>
            <w:pPr>
              <w:spacing w:after="0" w:line="17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nine months ended September 30, 2021 (Unaudited) and 2020</w:t>
              </w:r>
            </w:hyperlink>
          </w:p>
        </w:tc>
        <w:tc>
          <w:tcPr>
            <w:tcW w:w="820" w:type="dxa"/>
            <w:vAlign w:val="bottom"/>
            <w:shd w:val="clear" w:color="auto" w:fill="CCEEFF"/>
          </w:tcPr>
          <w:p>
            <w:pPr>
              <w:spacing w:after="0"/>
              <w:rPr>
                <w:sz w:val="15"/>
                <w:szCs w:val="15"/>
                <w:color w:val="auto"/>
              </w:rPr>
            </w:pP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74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68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20" w:type="dxa"/>
            <w:vAlign w:val="bottom"/>
            <w:gridSpan w:val="21"/>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9</w:t>
            </w:r>
          </w:p>
        </w:tc>
      </w:tr>
      <w:tr>
        <w:trPr>
          <w:trHeight w:val="21"/>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9420" w:type="dxa"/>
            <w:vAlign w:val="bottom"/>
            <w:gridSpan w:val="2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820" w:type="dxa"/>
            <w:vAlign w:val="bottom"/>
            <w:shd w:val="clear" w:color="auto" w:fill="CCEEFF"/>
          </w:tcPr>
          <w:p>
            <w:pPr>
              <w:spacing w:after="0"/>
              <w:rPr>
                <w:sz w:val="15"/>
                <w:szCs w:val="15"/>
                <w:color w:val="auto"/>
              </w:rPr>
            </w:pP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w:t>
              </w:r>
            </w:hyperlink>
          </w:p>
        </w:tc>
        <w:tc>
          <w:tcPr>
            <w:tcW w:w="320" w:type="dxa"/>
            <w:vAlign w:val="bottom"/>
            <w:tcBorders>
              <w:top w:val="single" w:sz="8" w:color="CCEEFF"/>
            </w:tcBorders>
            <w:gridSpan w:val="3"/>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14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1560" w:type="dxa"/>
            <w:vAlign w:val="bottom"/>
            <w:tcBorders>
              <w:top w:val="single" w:sz="8" w:color="0000EE"/>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40</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780" w:type="dxa"/>
            <w:vAlign w:val="bottom"/>
            <w:gridSpan w:val="5"/>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3</w:t>
              </w:r>
            </w:hyperlink>
          </w:p>
        </w:tc>
        <w:tc>
          <w:tcPr>
            <w:tcW w:w="9420" w:type="dxa"/>
            <w:vAlign w:val="bottom"/>
            <w:gridSpan w:val="21"/>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820" w:type="dxa"/>
            <w:vAlign w:val="bottom"/>
          </w:tcPr>
          <w:p>
            <w:pPr>
              <w:spacing w:after="0"/>
              <w:rPr>
                <w:sz w:val="15"/>
                <w:szCs w:val="15"/>
                <w:color w:val="auto"/>
              </w:rPr>
            </w:pPr>
          </w:p>
        </w:tc>
      </w:tr>
      <w:tr>
        <w:trPr>
          <w:trHeight w:val="196"/>
        </w:trPr>
        <w:tc>
          <w:tcPr>
            <w:tcW w:w="220" w:type="dxa"/>
            <w:vAlign w:val="bottom"/>
          </w:tcPr>
          <w:p>
            <w:pPr>
              <w:spacing w:after="0"/>
              <w:rPr>
                <w:sz w:val="17"/>
                <w:szCs w:val="17"/>
                <w:color w:val="auto"/>
              </w:rPr>
            </w:pPr>
          </w:p>
        </w:tc>
        <w:tc>
          <w:tcPr>
            <w:tcW w:w="4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t>
              </w:r>
            </w:hyperlink>
          </w:p>
        </w:tc>
        <w:tc>
          <w:tcPr>
            <w:tcW w:w="320" w:type="dxa"/>
            <w:vAlign w:val="bottom"/>
            <w:gridSpan w:val="3"/>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72</w:t>
            </w:r>
          </w:p>
        </w:tc>
      </w:tr>
      <w:tr>
        <w:trPr>
          <w:trHeight w:val="20"/>
        </w:trPr>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4</w:t>
              </w:r>
            </w:hyperlink>
          </w:p>
        </w:tc>
        <w:tc>
          <w:tcPr>
            <w:tcW w:w="9420" w:type="dxa"/>
            <w:vAlign w:val="bottom"/>
            <w:gridSpan w:val="21"/>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820" w:type="dxa"/>
            <w:vAlign w:val="bottom"/>
            <w:shd w:val="clear" w:color="auto" w:fill="CCEEFF"/>
          </w:tcPr>
          <w:p>
            <w:pPr>
              <w:spacing w:after="0"/>
              <w:rPr>
                <w:sz w:val="15"/>
                <w:szCs w:val="15"/>
                <w:color w:val="auto"/>
              </w:rPr>
            </w:pP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t>
              </w:r>
            </w:hyperlink>
          </w:p>
        </w:tc>
        <w:tc>
          <w:tcPr>
            <w:tcW w:w="320" w:type="dxa"/>
            <w:vAlign w:val="bottom"/>
            <w:tcBorders>
              <w:top w:val="single" w:sz="8" w:color="CCEEFF"/>
            </w:tcBorders>
            <w:gridSpan w:val="3"/>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72</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391"/>
        </w:trPr>
        <w:tc>
          <w:tcPr>
            <w:tcW w:w="10420" w:type="dxa"/>
            <w:vAlign w:val="bottom"/>
            <w:gridSpan w:val="27"/>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 OTHER INFORMATION</w:t>
              </w:r>
            </w:hyperlink>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1"/>
        </w:trPr>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1</w:t>
              </w:r>
            </w:hyperlink>
          </w:p>
        </w:tc>
        <w:tc>
          <w:tcPr>
            <w:tcW w:w="9420" w:type="dxa"/>
            <w:vAlign w:val="bottom"/>
            <w:gridSpan w:val="21"/>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74</w:t>
            </w: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w:t>
              </w:r>
            </w:hyperlink>
          </w:p>
        </w:tc>
        <w:tc>
          <w:tcPr>
            <w:tcW w:w="320" w:type="dxa"/>
            <w:vAlign w:val="bottom"/>
            <w:tcBorders>
              <w:top w:val="single" w:sz="8" w:color="CCEEFF"/>
            </w:tcBorders>
            <w:gridSpan w:val="3"/>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600" w:type="dxa"/>
            <w:vAlign w:val="bottom"/>
            <w:tcBorders>
              <w:bottom w:val="single" w:sz="8" w:color="0000EE"/>
            </w:tcBorders>
            <w:gridSpan w:val="4"/>
          </w:tcPr>
          <w:p>
            <w:pPr>
              <w:spacing w:after="0" w:line="176" w:lineRule="exact"/>
              <w:rPr>
                <w:rFonts w:ascii="Arial" w:cs="Arial" w:eastAsia="Arial" w:hAnsi="Arial"/>
                <w:sz w:val="18"/>
                <w:szCs w:val="18"/>
                <w:color w:val="0000EE"/>
                <w:w w:val="93"/>
              </w:rPr>
            </w:pPr>
            <w:hyperlink w:anchor="page49">
              <w:r>
                <w:rPr>
                  <w:rFonts w:ascii="Arial" w:cs="Arial" w:eastAsia="Arial" w:hAnsi="Arial"/>
                  <w:sz w:val="18"/>
                  <w:szCs w:val="18"/>
                  <w:color w:val="0000EE"/>
                  <w:w w:val="93"/>
                </w:rPr>
                <w:t>Item 1A</w:t>
              </w:r>
            </w:hyperlink>
          </w:p>
        </w:tc>
        <w:tc>
          <w:tcPr>
            <w:tcW w:w="180" w:type="dxa"/>
            <w:vAlign w:val="bottom"/>
          </w:tcPr>
          <w:p>
            <w:pPr>
              <w:spacing w:after="0"/>
              <w:rPr>
                <w:sz w:val="15"/>
                <w:szCs w:val="15"/>
                <w:color w:val="auto"/>
              </w:rPr>
            </w:pPr>
          </w:p>
        </w:tc>
        <w:tc>
          <w:tcPr>
            <w:tcW w:w="900" w:type="dxa"/>
            <w:vAlign w:val="bottom"/>
            <w:tcBorders>
              <w:bottom w:val="single" w:sz="8" w:color="0000EE"/>
            </w:tcBorders>
            <w:gridSpan w:val="3"/>
          </w:tcPr>
          <w:p>
            <w:pPr>
              <w:spacing w:after="0" w:line="17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Risk Factors</w:t>
              </w:r>
            </w:hyperlink>
          </w:p>
        </w:tc>
        <w:tc>
          <w:tcPr>
            <w:tcW w:w="8520" w:type="dxa"/>
            <w:vAlign w:val="bottom"/>
            <w:gridSpan w:val="18"/>
          </w:tcPr>
          <w:p>
            <w:pPr>
              <w:spacing w:after="0"/>
              <w:rPr>
                <w:sz w:val="15"/>
                <w:szCs w:val="15"/>
                <w:color w:val="auto"/>
              </w:rPr>
            </w:pPr>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74</w:t>
            </w:r>
          </w:p>
        </w:tc>
      </w:tr>
      <w:tr>
        <w:trPr>
          <w:trHeight w:val="196"/>
        </w:trPr>
        <w:tc>
          <w:tcPr>
            <w:tcW w:w="220" w:type="dxa"/>
            <w:vAlign w:val="bottom"/>
          </w:tcPr>
          <w:p>
            <w:pPr>
              <w:spacing w:after="0"/>
              <w:rPr>
                <w:sz w:val="17"/>
                <w:szCs w:val="17"/>
                <w:color w:val="auto"/>
              </w:rPr>
            </w:pPr>
          </w:p>
        </w:tc>
        <w:tc>
          <w:tcPr>
            <w:tcW w:w="780" w:type="dxa"/>
            <w:vAlign w:val="bottom"/>
            <w:gridSpan w:val="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w:t>
              </w:r>
            </w:hyperlink>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
        </w:trPr>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2</w:t>
              </w:r>
            </w:hyperlink>
          </w:p>
        </w:tc>
        <w:tc>
          <w:tcPr>
            <w:tcW w:w="9420" w:type="dxa"/>
            <w:vAlign w:val="bottom"/>
            <w:gridSpan w:val="21"/>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74</w:t>
            </w: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w:t>
              </w:r>
            </w:hyperlink>
          </w:p>
        </w:tc>
        <w:tc>
          <w:tcPr>
            <w:tcW w:w="320" w:type="dxa"/>
            <w:vAlign w:val="bottom"/>
            <w:tcBorders>
              <w:top w:val="single" w:sz="8" w:color="CCEEFF"/>
            </w:tcBorders>
            <w:gridSpan w:val="3"/>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14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780" w:type="dxa"/>
            <w:vAlign w:val="bottom"/>
            <w:gridSpan w:val="5"/>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3</w:t>
              </w:r>
            </w:hyperlink>
          </w:p>
        </w:tc>
        <w:tc>
          <w:tcPr>
            <w:tcW w:w="9420" w:type="dxa"/>
            <w:vAlign w:val="bottom"/>
            <w:gridSpan w:val="21"/>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74</w:t>
            </w:r>
          </w:p>
        </w:tc>
      </w:tr>
      <w:tr>
        <w:trPr>
          <w:trHeight w:val="196"/>
        </w:trPr>
        <w:tc>
          <w:tcPr>
            <w:tcW w:w="220" w:type="dxa"/>
            <w:vAlign w:val="bottom"/>
          </w:tcPr>
          <w:p>
            <w:pPr>
              <w:spacing w:after="0"/>
              <w:rPr>
                <w:sz w:val="17"/>
                <w:szCs w:val="17"/>
                <w:color w:val="auto"/>
              </w:rPr>
            </w:pPr>
          </w:p>
        </w:tc>
        <w:tc>
          <w:tcPr>
            <w:tcW w:w="4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w:t>
              </w:r>
            </w:hyperlink>
          </w:p>
        </w:tc>
        <w:tc>
          <w:tcPr>
            <w:tcW w:w="320" w:type="dxa"/>
            <w:vAlign w:val="bottom"/>
            <w:gridSpan w:val="3"/>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9420" w:type="dxa"/>
            <w:vAlign w:val="bottom"/>
            <w:gridSpan w:val="21"/>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74</w:t>
            </w: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w:t>
              </w:r>
            </w:hyperlink>
          </w:p>
        </w:tc>
        <w:tc>
          <w:tcPr>
            <w:tcW w:w="320" w:type="dxa"/>
            <w:vAlign w:val="bottom"/>
            <w:tcBorders>
              <w:top w:val="single" w:sz="8" w:color="CCEEFF"/>
            </w:tcBorders>
            <w:gridSpan w:val="3"/>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780" w:type="dxa"/>
            <w:vAlign w:val="bottom"/>
            <w:gridSpan w:val="5"/>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5</w:t>
              </w:r>
            </w:hyperlink>
          </w:p>
        </w:tc>
        <w:tc>
          <w:tcPr>
            <w:tcW w:w="9420" w:type="dxa"/>
            <w:vAlign w:val="bottom"/>
            <w:gridSpan w:val="21"/>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74</w:t>
            </w:r>
          </w:p>
        </w:tc>
      </w:tr>
      <w:tr>
        <w:trPr>
          <w:trHeight w:val="196"/>
        </w:trPr>
        <w:tc>
          <w:tcPr>
            <w:tcW w:w="220" w:type="dxa"/>
            <w:vAlign w:val="bottom"/>
          </w:tcPr>
          <w:p>
            <w:pPr>
              <w:spacing w:after="0"/>
              <w:rPr>
                <w:sz w:val="17"/>
                <w:szCs w:val="17"/>
                <w:color w:val="auto"/>
              </w:rPr>
            </w:pPr>
          </w:p>
        </w:tc>
        <w:tc>
          <w:tcPr>
            <w:tcW w:w="4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w:t>
              </w:r>
            </w:hyperlink>
          </w:p>
        </w:tc>
        <w:tc>
          <w:tcPr>
            <w:tcW w:w="320" w:type="dxa"/>
            <w:vAlign w:val="bottom"/>
            <w:gridSpan w:val="3"/>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6</w:t>
              </w:r>
            </w:hyperlink>
          </w:p>
        </w:tc>
        <w:tc>
          <w:tcPr>
            <w:tcW w:w="9420" w:type="dxa"/>
            <w:vAlign w:val="bottom"/>
            <w:gridSpan w:val="21"/>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75</w:t>
            </w: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w:t>
              </w:r>
            </w:hyperlink>
          </w:p>
        </w:tc>
        <w:tc>
          <w:tcPr>
            <w:tcW w:w="320" w:type="dxa"/>
            <w:vAlign w:val="bottom"/>
            <w:tcBorders>
              <w:top w:val="single" w:sz="8" w:color="CCEEFF"/>
            </w:tcBorders>
            <w:gridSpan w:val="3"/>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00" w:type="dxa"/>
            <w:vAlign w:val="bottom"/>
            <w:gridSpan w:val="6"/>
          </w:tcPr>
          <w:p>
            <w:pPr>
              <w:spacing w:after="0" w:line="176" w:lineRule="exact"/>
              <w:rPr>
                <w:sz w:val="20"/>
                <w:szCs w:val="20"/>
                <w:color w:val="auto"/>
              </w:rPr>
            </w:pPr>
            <w:r>
              <w:rPr>
                <w:rFonts w:ascii="Arial" w:cs="Arial" w:eastAsia="Arial" w:hAnsi="Arial"/>
                <w:sz w:val="18"/>
                <w:szCs w:val="18"/>
                <w:color w:val="0000EE"/>
              </w:rPr>
              <w:t>Signatures</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76</w:t>
            </w:r>
          </w:p>
        </w:tc>
      </w:tr>
      <w:tr>
        <w:trPr>
          <w:trHeight w:val="20"/>
        </w:trPr>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This Quarterly Report contains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within the meaning of the Private Securities Litigation Reform Act of 1995. The events described in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under “Factors That May Affect Future Results and Financial Condition” on Form 10-K for the year ended December 31, 2020 and Part II, Item 1A of this Quarterly Report.</w:t>
      </w:r>
    </w:p>
    <w:p>
      <w:pPr>
        <w:spacing w:after="0" w:line="20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Fixed-maturity securities, held-to-maturity, at amortized cost (fair value of</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$9,699,504 at September 30, 2021 and $8,194,824 at December 31, 2020)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9,166,983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7,368,815</w:t>
            </w:r>
          </w:p>
        </w:tc>
        <w:tc>
          <w:tcPr>
            <w:tcW w:w="0" w:type="dxa"/>
            <w:vAlign w:val="bottom"/>
          </w:tcPr>
          <w:p>
            <w:pPr>
              <w:spacing w:after="0"/>
              <w:rPr>
                <w:sz w:val="1"/>
                <w:szCs w:val="1"/>
                <w:color w:val="auto"/>
              </w:rPr>
            </w:pPr>
          </w:p>
        </w:tc>
      </w:tr>
    </w:tbl>
    <w:p>
      <w:pPr>
        <w:sectPr>
          <w:pgSz w:w="11900" w:h="16838" w:orient="portrait"/>
          <w:cols w:equalWidth="0" w:num="1">
            <w:col w:w="11240"/>
          </w:cols>
          <w:pgMar w:left="320" w:top="324"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Fixed-maturity securities, available-for-sale, at fair value (amortized cost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00" w:type="dxa"/>
            <w:vAlign w:val="bottom"/>
          </w:tcPr>
          <w:p>
            <w:pPr>
              <w:ind w:left="420"/>
              <w:spacing w:after="0"/>
              <w:rPr>
                <w:sz w:val="20"/>
                <w:szCs w:val="20"/>
                <w:color w:val="auto"/>
              </w:rPr>
            </w:pPr>
            <w:r>
              <w:rPr>
                <w:rFonts w:ascii="Arial" w:cs="Arial" w:eastAsia="Arial" w:hAnsi="Arial"/>
                <w:sz w:val="18"/>
                <w:szCs w:val="18"/>
                <w:color w:val="auto"/>
              </w:rPr>
              <w:t>$145,435,406 at September 30, 2021 and $145,045,584 at December 31, 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153,289,242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157,549,272</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securities, at fair value (cost of $37,545,241 at September 30, 2021 and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$32,571,166 at December 31, 2020)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40,060,872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34,413,313</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7,379,111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3,518,626</w:t>
            </w:r>
          </w:p>
        </w:tc>
      </w:tr>
      <w:tr>
        <w:trPr>
          <w:trHeight w:val="210"/>
        </w:trPr>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209,896,208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202,850,026</w:t>
            </w: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36,108,088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19,463,742</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11,309,319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11,819,639</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22,962,014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45,460,729</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21,261,916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20,142,515</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8,526,162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8,083,123</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9,662,834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9,262,493</w:t>
            </w:r>
          </w:p>
        </w:tc>
        <w:tc>
          <w:tcPr>
            <w:tcW w:w="100" w:type="dxa"/>
            <w:vAlign w:val="bottom"/>
          </w:tcPr>
          <w:p>
            <w:pPr>
              <w:spacing w:after="0"/>
              <w:rPr>
                <w:sz w:val="18"/>
                <w:szCs w:val="18"/>
                <w:color w:val="auto"/>
              </w:rPr>
            </w:pP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320,226,541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317,582,267</w:t>
            </w:r>
          </w:p>
        </w:tc>
      </w:tr>
      <w:tr>
        <w:trPr>
          <w:trHeight w:val="216"/>
        </w:trPr>
        <w:tc>
          <w:tcPr>
            <w:tcW w:w="8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101,044,118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82,801,228</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92,653,778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90,009,272</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Advance premiums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5,325,514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2,660,354</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balances payable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4,266,092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6,979,735</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Deferred ceding commission 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87,846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93,519</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8,700,342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8,433,233</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537,848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4,156,913</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29,779,746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29,647,611</w:t>
            </w:r>
          </w:p>
        </w:tc>
      </w:tr>
      <w:tr>
        <w:trPr>
          <w:trHeight w:val="209"/>
        </w:trPr>
        <w:tc>
          <w:tcPr>
            <w:tcW w:w="86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242,395,284</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224,781,865</w:t>
            </w:r>
          </w:p>
        </w:tc>
        <w:tc>
          <w:tcPr>
            <w:tcW w:w="100" w:type="dxa"/>
            <w:vAlign w:val="bottom"/>
            <w:tcBorders>
              <w:top w:val="single" w:sz="8" w:color="CCEEFF"/>
            </w:tcBorders>
          </w:tcPr>
          <w:p>
            <w:pPr>
              <w:spacing w:after="0"/>
              <w:rPr>
                <w:sz w:val="18"/>
                <w:szCs w:val="18"/>
                <w:color w:val="auto"/>
              </w:rPr>
            </w:pPr>
          </w:p>
        </w:tc>
      </w:tr>
      <w:tr>
        <w:trPr>
          <w:trHeight w:val="209"/>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$.01 par value; authorized 2,500,000 shares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00" w:type="dxa"/>
            <w:vAlign w:val="bottom"/>
          </w:tcPr>
          <w:p>
            <w:pPr>
              <w:ind w:left="420"/>
              <w:spacing w:after="0" w:line="201" w:lineRule="exact"/>
              <w:rPr>
                <w:sz w:val="20"/>
                <w:szCs w:val="20"/>
                <w:color w:val="auto"/>
              </w:rPr>
            </w:pPr>
            <w:r>
              <w:rPr>
                <w:rFonts w:ascii="Arial" w:cs="Arial" w:eastAsia="Arial" w:hAnsi="Arial"/>
                <w:sz w:val="18"/>
                <w:szCs w:val="18"/>
                <w:color w:val="auto"/>
              </w:rPr>
              <w:t>Common stock, $.01 par value; authorized 20,000,000 shares; issued 11,947,619 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00" w:type="dxa"/>
            <w:vAlign w:val="bottom"/>
          </w:tcPr>
          <w:p>
            <w:pPr>
              <w:ind w:left="620"/>
              <w:spacing w:after="0"/>
              <w:rPr>
                <w:sz w:val="20"/>
                <w:szCs w:val="20"/>
                <w:color w:val="auto"/>
              </w:rPr>
            </w:pPr>
            <w:r>
              <w:rPr>
                <w:rFonts w:ascii="Arial" w:cs="Arial" w:eastAsia="Arial" w:hAnsi="Arial"/>
                <w:sz w:val="18"/>
                <w:szCs w:val="18"/>
                <w:color w:val="auto"/>
              </w:rPr>
              <w:t>at September 30, 2021 and 11,871,307 shares at December 31, 2020; 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00" w:type="dxa"/>
            <w:vAlign w:val="bottom"/>
          </w:tcPr>
          <w:p>
            <w:pPr>
              <w:ind w:left="620"/>
              <w:spacing w:after="0"/>
              <w:rPr>
                <w:sz w:val="20"/>
                <w:szCs w:val="20"/>
                <w:color w:val="auto"/>
              </w:rPr>
            </w:pPr>
            <w:r>
              <w:rPr>
                <w:rFonts w:ascii="Arial" w:cs="Arial" w:eastAsia="Arial" w:hAnsi="Arial"/>
                <w:sz w:val="18"/>
                <w:szCs w:val="18"/>
                <w:color w:val="auto"/>
              </w:rPr>
              <w:t>10,476,213 shares at September 30, 2021 and 10,616,815 shares at December 31, 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119,476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118,713</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in excess of par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72,025,035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70,769,165</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6,206,680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9,880,062</w:t>
            </w:r>
          </w:p>
        </w:tc>
      </w:tr>
      <w:tr>
        <w:trPr>
          <w:trHeight w:val="216"/>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5,047,547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15,928,345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83,398,738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96,696,285</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at cost, 1,471,406 shares at September 30, 2021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1,254,492 shares at December 31, 2020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(5,567,481)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(3,895,883)</w:t>
            </w: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77,831,257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92,800,402</w:t>
            </w:r>
          </w:p>
        </w:tc>
      </w:tr>
      <w:tr>
        <w:trPr>
          <w:trHeight w:val="210"/>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320,226,541</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317,582,267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680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gridSpan w:val="7"/>
          </w:tcPr>
          <w:p>
            <w:pPr>
              <w:jc w:val="center"/>
              <w:ind w:right="220"/>
              <w:spacing w:after="0" w:line="205" w:lineRule="exact"/>
              <w:rPr>
                <w:sz w:val="20"/>
                <w:szCs w:val="20"/>
                <w:color w:val="auto"/>
              </w:rPr>
            </w:pPr>
            <w:r>
              <w:rPr>
                <w:rFonts w:ascii="Arial" w:cs="Arial" w:eastAsia="Arial" w:hAnsi="Arial"/>
                <w:sz w:val="18"/>
                <w:szCs w:val="18"/>
                <w:b w:val="1"/>
                <w:bCs w:val="1"/>
                <w:color w:val="auto"/>
                <w:w w:val="92"/>
              </w:rPr>
              <w:t>For the Three Months Ended</w:t>
            </w:r>
          </w:p>
        </w:tc>
        <w:tc>
          <w:tcPr>
            <w:tcW w:w="2440" w:type="dxa"/>
            <w:vAlign w:val="bottom"/>
            <w:tcBorders>
              <w:top w:val="single" w:sz="8" w:color="auto"/>
            </w:tcBorders>
            <w:gridSpan w:val="4"/>
          </w:tcPr>
          <w:p>
            <w:pPr>
              <w:jc w:val="right"/>
              <w:ind w:right="140"/>
              <w:spacing w:after="0" w:line="205" w:lineRule="exact"/>
              <w:rPr>
                <w:sz w:val="20"/>
                <w:szCs w:val="20"/>
                <w:color w:val="auto"/>
              </w:rPr>
            </w:pPr>
            <w:r>
              <w:rPr>
                <w:rFonts w:ascii="Arial" w:cs="Arial" w:eastAsia="Arial" w:hAnsi="Arial"/>
                <w:sz w:val="18"/>
                <w:szCs w:val="18"/>
                <w:b w:val="1"/>
                <w:bCs w:val="1"/>
                <w:color w:val="auto"/>
                <w:w w:val="97"/>
              </w:rPr>
              <w:t>For the Nine Months Ended</w:t>
            </w:r>
          </w:p>
        </w:tc>
        <w:tc>
          <w:tcPr>
            <w:tcW w:w="100" w:type="dxa"/>
            <w:vAlign w:val="bottom"/>
          </w:tcPr>
          <w:p>
            <w:pPr>
              <w:spacing w:after="0"/>
              <w:rPr>
                <w:sz w:val="17"/>
                <w:szCs w:val="17"/>
                <w:color w:val="auto"/>
              </w:rPr>
            </w:pPr>
          </w:p>
        </w:tc>
      </w:t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5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42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  36,803,251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27,521,081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106,828,895</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81,099,387</w:t>
            </w:r>
          </w:p>
        </w:tc>
      </w:tr>
      <w:tr>
        <w:trPr>
          <w:trHeight w:val="216"/>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Ceding commission revenue</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3,448,774</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37,400</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10,760,087</w:t>
            </w:r>
          </w:p>
        </w:tc>
      </w:tr>
      <w:tr>
        <w:trPr>
          <w:trHeight w:val="216"/>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1,676,596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1,494,086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5,137,867</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4,771,936</w:t>
            </w:r>
          </w:p>
        </w:tc>
      </w:tr>
      <w:tr>
        <w:trPr>
          <w:trHeight w:val="216"/>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Net gains (losses) on investments</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204,534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2,107,876</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5,480,202</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(1,638,674)</w:t>
            </w:r>
          </w:p>
        </w:tc>
      </w:tr>
      <w:tr>
        <w:trPr>
          <w:trHeight w:val="216"/>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280,869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250,654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577,261</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772,672</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gridSpan w:val="2"/>
          </w:tcPr>
          <w:p>
            <w:pPr>
              <w:ind w:left="420"/>
              <w:spacing w:after="0"/>
              <w:rPr>
                <w:sz w:val="20"/>
                <w:szCs w:val="20"/>
                <w:color w:val="auto"/>
              </w:rPr>
            </w:pPr>
            <w:r>
              <w:rPr>
                <w:rFonts w:ascii="Arial" w:cs="Arial" w:eastAsia="Arial" w:hAnsi="Arial"/>
                <w:sz w:val="18"/>
                <w:szCs w:val="18"/>
                <w:color w:val="auto"/>
              </w:rPr>
              <w:t>Total revenues</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38,957,974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34,822,471</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118,061,625</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95,765,408</w:t>
            </w:r>
          </w:p>
        </w:tc>
      </w:tr>
      <w:tr>
        <w:trPr>
          <w:trHeight w:val="209"/>
        </w:trPr>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35,740,235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20,117,975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79,060,117</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49,317,427</w:t>
            </w:r>
          </w:p>
        </w:tc>
      </w:tr>
      <w:tr>
        <w:trPr>
          <w:trHeight w:val="216"/>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Commission expense</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8,201,935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8,036,298</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24,711,115</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23,652,765</w:t>
            </w:r>
          </w:p>
        </w:tc>
      </w:tr>
      <w:tr>
        <w:trPr>
          <w:trHeight w:val="216"/>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6,562,743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6,346,846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19,722,705</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19,434,110</w:t>
            </w:r>
          </w:p>
        </w:tc>
      </w:tr>
      <w:tr>
        <w:trPr>
          <w:trHeight w:val="216"/>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Other operating expenses</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855,499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1,038,453</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3,141,077</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3,364,483</w:t>
            </w:r>
          </w:p>
        </w:tc>
      </w:tr>
      <w:tr>
        <w:trPr>
          <w:trHeight w:val="216"/>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820,091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710,181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2,480,085</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2,070,435</w:t>
            </w:r>
          </w:p>
        </w:tc>
      </w:tr>
      <w:tr>
        <w:trPr>
          <w:trHeight w:val="216"/>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456,545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456,545</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1,369,635</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1,369,635</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52,637,048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36,706,298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130,484,734</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99,208,855</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taxes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(13,679,074)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(1,883,827)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(12,423,109)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(3,443,447)</w:t>
            </w: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(3,060,809)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(655,971)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(2,817,108)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(1,379,578)</w:t>
            </w:r>
          </w:p>
        </w:tc>
      </w:tr>
      <w:tr>
        <w:trPr>
          <w:trHeight w:val="20"/>
        </w:trPr>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(10,618,265)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(1,227,856)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(9,606,001)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(2,063,869)</w:t>
            </w:r>
          </w:p>
        </w:tc>
      </w:tr>
      <w:tr>
        <w:trPr>
          <w:trHeight w:val="210"/>
        </w:trPr>
        <w:tc>
          <w:tcPr>
            <w:tcW w:w="6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060" w:type="dxa"/>
            <w:vAlign w:val="bottom"/>
          </w:tcPr>
          <w:p>
            <w:pPr>
              <w:ind w:left="220"/>
              <w:spacing w:after="0" w:line="201" w:lineRule="exact"/>
              <w:rPr>
                <w:sz w:val="20"/>
                <w:szCs w:val="20"/>
                <w:color w:val="auto"/>
              </w:rPr>
            </w:pPr>
            <w:r>
              <w:rPr>
                <w:rFonts w:ascii="Arial" w:cs="Arial" w:eastAsia="Arial" w:hAnsi="Arial"/>
                <w:sz w:val="18"/>
                <w:szCs w:val="18"/>
                <w:color w:val="auto"/>
              </w:rPr>
              <w:t>Gross change in unrealized (losses) gains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60" w:type="dxa"/>
            <w:vAlign w:val="bottom"/>
          </w:tcPr>
          <w:p>
            <w:pPr>
              <w:ind w:left="420"/>
              <w:spacing w:after="0"/>
              <w:rPr>
                <w:sz w:val="20"/>
                <w:szCs w:val="20"/>
                <w:color w:val="auto"/>
              </w:rPr>
            </w:pPr>
            <w:r>
              <w:rPr>
                <w:rFonts w:ascii="Arial" w:cs="Arial" w:eastAsia="Arial" w:hAnsi="Arial"/>
                <w:sz w:val="18"/>
                <w:szCs w:val="18"/>
                <w:color w:val="auto"/>
              </w:rPr>
              <w:t>on available-for-sale-securities</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(829,297)</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1,778,478</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(3,578,413)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5,938,600</w:t>
            </w:r>
          </w:p>
        </w:tc>
      </w:tr>
      <w:tr>
        <w:trPr>
          <w:trHeight w:val="216"/>
        </w:trPr>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060" w:type="dxa"/>
            <w:vAlign w:val="bottom"/>
          </w:tcPr>
          <w:p>
            <w:pPr>
              <w:ind w:left="220"/>
              <w:spacing w:after="0" w:line="201" w:lineRule="exact"/>
              <w:rPr>
                <w:sz w:val="20"/>
                <w:szCs w:val="20"/>
                <w:color w:val="auto"/>
              </w:rPr>
            </w:pPr>
            <w:r>
              <w:rPr>
                <w:rFonts w:ascii="Arial" w:cs="Arial" w:eastAsia="Arial" w:hAnsi="Arial"/>
                <w:sz w:val="18"/>
                <w:szCs w:val="18"/>
                <w:color w:val="auto"/>
              </w:rPr>
              <w:t>Reclassification adjustment for gains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60" w:type="dxa"/>
            <w:vAlign w:val="bottom"/>
          </w:tcPr>
          <w:p>
            <w:pPr>
              <w:ind w:left="420"/>
              <w:spacing w:after="0"/>
              <w:rPr>
                <w:sz w:val="20"/>
                <w:szCs w:val="20"/>
                <w:color w:val="auto"/>
              </w:rPr>
            </w:pPr>
            <w:r>
              <w:rPr>
                <w:rFonts w:ascii="Arial" w:cs="Arial" w:eastAsia="Arial" w:hAnsi="Arial"/>
                <w:sz w:val="18"/>
                <w:szCs w:val="18"/>
                <w:color w:val="auto"/>
              </w:rPr>
              <w:t>included in net loss</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(335,669)</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(606,969)</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(1,071,439)</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(560,696)</w:t>
            </w:r>
          </w:p>
        </w:tc>
      </w:tr>
      <w:tr>
        <w:trPr>
          <w:trHeight w:val="20"/>
        </w:trPr>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change in unrealized (losses) gains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(1,164,966)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1,171,509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(4,649,852)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5,377,904</w:t>
            </w: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Income tax benefit (expense) related to items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 other comprehensive (loss) income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(246,017)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976,470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(1,129,359)</w:t>
            </w:r>
          </w:p>
        </w:tc>
      </w:tr>
      <w:tr>
        <w:trPr>
          <w:trHeight w:val="20"/>
        </w:trPr>
        <w:tc>
          <w:tcPr>
            <w:tcW w:w="60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(920,323)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925,492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(3,673,382)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4,248,545</w:t>
            </w:r>
          </w:p>
        </w:tc>
      </w:tr>
      <w:tr>
        <w:trPr>
          <w:trHeight w:val="209"/>
        </w:trPr>
        <w:tc>
          <w:tcPr>
            <w:tcW w:w="6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060" w:type="dxa"/>
            <w:vAlign w:val="bottom"/>
          </w:tcPr>
          <w:p>
            <w:pPr>
              <w:spacing w:after="0"/>
              <w:rPr>
                <w:sz w:val="20"/>
                <w:szCs w:val="20"/>
                <w:color w:val="auto"/>
              </w:rPr>
            </w:pPr>
            <w:r>
              <w:rPr>
                <w:rFonts w:ascii="Arial" w:cs="Arial" w:eastAsia="Arial" w:hAnsi="Arial"/>
                <w:sz w:val="18"/>
                <w:szCs w:val="18"/>
                <w:b w:val="1"/>
                <w:bCs w:val="1"/>
                <w:color w:val="auto"/>
              </w:rPr>
              <w:t>Comprehensive (loss) 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line="216" w:lineRule="exact"/>
              <w:rPr>
                <w:sz w:val="20"/>
                <w:szCs w:val="20"/>
                <w:color w:val="auto"/>
              </w:rPr>
            </w:pPr>
            <w:r>
              <w:rPr>
                <w:rFonts w:ascii="Arial" w:cs="Arial" w:eastAsia="Arial" w:hAnsi="Arial"/>
                <w:sz w:val="14"/>
                <w:szCs w:val="14"/>
                <w:color w:val="auto"/>
              </w:rPr>
              <w:t>(11,538,588</w:t>
            </w:r>
            <w:r>
              <w:rPr>
                <w:rFonts w:ascii="Arial" w:cs="Arial" w:eastAsia="Arial" w:hAnsi="Arial"/>
                <w:sz w:val="25"/>
                <w:szCs w:val="25"/>
                <w:color w:val="auto"/>
                <w:vertAlign w:val="subscript"/>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line="216" w:lineRule="exact"/>
              <w:rPr>
                <w:sz w:val="20"/>
                <w:szCs w:val="20"/>
                <w:color w:val="auto"/>
              </w:rPr>
            </w:pPr>
            <w:r>
              <w:rPr>
                <w:rFonts w:ascii="Arial" w:cs="Arial" w:eastAsia="Arial" w:hAnsi="Arial"/>
                <w:sz w:val="14"/>
                <w:szCs w:val="14"/>
                <w:color w:val="auto"/>
              </w:rPr>
              <w:t>(302,364</w:t>
            </w:r>
            <w:r>
              <w:rPr>
                <w:rFonts w:ascii="Arial" w:cs="Arial" w:eastAsia="Arial" w:hAnsi="Arial"/>
                <w:sz w:val="25"/>
                <w:szCs w:val="25"/>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216" w:lineRule="exact"/>
              <w:rPr>
                <w:sz w:val="20"/>
                <w:szCs w:val="20"/>
                <w:color w:val="auto"/>
              </w:rPr>
            </w:pPr>
            <w:r>
              <w:rPr>
                <w:rFonts w:ascii="Arial" w:cs="Arial" w:eastAsia="Arial" w:hAnsi="Arial"/>
                <w:sz w:val="14"/>
                <w:szCs w:val="14"/>
                <w:color w:val="auto"/>
              </w:rPr>
              <w:t>(13,279,383</w:t>
            </w:r>
            <w:r>
              <w:rPr>
                <w:rFonts w:ascii="Arial" w:cs="Arial" w:eastAsia="Arial" w:hAnsi="Arial"/>
                <w:sz w:val="25"/>
                <w:szCs w:val="25"/>
                <w:color w:val="auto"/>
                <w:vertAlign w:val="sub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2,184,676</w:t>
            </w:r>
          </w:p>
        </w:tc>
      </w:tr>
      <w:tr>
        <w:trPr>
          <w:trHeight w:val="216"/>
        </w:trPr>
        <w:tc>
          <w:tcPr>
            <w:tcW w:w="6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Loss per common share: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4"/>
                <w:szCs w:val="14"/>
                <w:color w:val="auto"/>
              </w:rPr>
              <w:t>(1.01</w:t>
            </w:r>
            <w:r>
              <w:rPr>
                <w:rFonts w:ascii="Arial" w:cs="Arial" w:eastAsia="Arial" w:hAnsi="Arial"/>
                <w:sz w:val="25"/>
                <w:szCs w:val="25"/>
                <w:color w:val="auto"/>
                <w:vertAlign w:val="subscript"/>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4"/>
                <w:szCs w:val="14"/>
                <w:color w:val="auto"/>
              </w:rPr>
              <w:t>(0.12</w:t>
            </w:r>
            <w:r>
              <w:rPr>
                <w:rFonts w:ascii="Arial" w:cs="Arial" w:eastAsia="Arial" w:hAnsi="Arial"/>
                <w:sz w:val="25"/>
                <w:szCs w:val="25"/>
                <w:color w:val="auto"/>
                <w:vertAlign w:val="sub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4"/>
                <w:szCs w:val="14"/>
                <w:color w:val="auto"/>
              </w:rPr>
              <w:t>(0.90</w:t>
            </w:r>
            <w:r>
              <w:rPr>
                <w:rFonts w:ascii="Arial" w:cs="Arial" w:eastAsia="Arial" w:hAnsi="Arial"/>
                <w:sz w:val="25"/>
                <w:szCs w:val="25"/>
                <w:color w:val="auto"/>
                <w:vertAlign w:val="sub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14"/>
                <w:szCs w:val="14"/>
                <w:color w:val="auto"/>
              </w:rPr>
              <w:t>(0.19</w:t>
            </w:r>
            <w:r>
              <w:rPr>
                <w:rFonts w:ascii="Arial" w:cs="Arial" w:eastAsia="Arial" w:hAnsi="Arial"/>
                <w:sz w:val="25"/>
                <w:szCs w:val="25"/>
                <w:color w:val="auto"/>
                <w:vertAlign w:val="subscript"/>
              </w:rPr>
              <w:t>)</w:t>
            </w:r>
          </w:p>
        </w:tc>
      </w:tr>
      <w:tr>
        <w:trPr>
          <w:trHeight w:val="40"/>
        </w:trPr>
        <w:tc>
          <w:tcPr>
            <w:tcW w:w="606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237"/>
        </w:trPr>
        <w:tc>
          <w:tcPr>
            <w:tcW w:w="60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line="216" w:lineRule="exact"/>
              <w:rPr>
                <w:sz w:val="20"/>
                <w:szCs w:val="20"/>
                <w:color w:val="auto"/>
              </w:rPr>
            </w:pPr>
            <w:r>
              <w:rPr>
                <w:rFonts w:ascii="Arial" w:cs="Arial" w:eastAsia="Arial" w:hAnsi="Arial"/>
                <w:sz w:val="14"/>
                <w:szCs w:val="14"/>
                <w:color w:val="auto"/>
              </w:rPr>
              <w:t>(1.01</w:t>
            </w:r>
            <w:r>
              <w:rPr>
                <w:rFonts w:ascii="Arial" w:cs="Arial" w:eastAsia="Arial" w:hAnsi="Arial"/>
                <w:sz w:val="25"/>
                <w:szCs w:val="25"/>
                <w:color w:val="auto"/>
                <w:vertAlign w:val="subscript"/>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line="216" w:lineRule="exact"/>
              <w:rPr>
                <w:sz w:val="20"/>
                <w:szCs w:val="20"/>
                <w:color w:val="auto"/>
              </w:rPr>
            </w:pPr>
            <w:r>
              <w:rPr>
                <w:rFonts w:ascii="Arial" w:cs="Arial" w:eastAsia="Arial" w:hAnsi="Arial"/>
                <w:sz w:val="14"/>
                <w:szCs w:val="14"/>
                <w:color w:val="auto"/>
              </w:rPr>
              <w:t>(0.12</w:t>
            </w:r>
            <w:r>
              <w:rPr>
                <w:rFonts w:ascii="Arial" w:cs="Arial" w:eastAsia="Arial" w:hAnsi="Arial"/>
                <w:sz w:val="25"/>
                <w:szCs w:val="25"/>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216" w:lineRule="exact"/>
              <w:rPr>
                <w:sz w:val="20"/>
                <w:szCs w:val="20"/>
                <w:color w:val="auto"/>
              </w:rPr>
            </w:pPr>
            <w:r>
              <w:rPr>
                <w:rFonts w:ascii="Arial" w:cs="Arial" w:eastAsia="Arial" w:hAnsi="Arial"/>
                <w:sz w:val="14"/>
                <w:szCs w:val="14"/>
                <w:color w:val="auto"/>
              </w:rPr>
              <w:t>(0.90</w:t>
            </w:r>
            <w:r>
              <w:rPr>
                <w:rFonts w:ascii="Arial" w:cs="Arial" w:eastAsia="Arial" w:hAnsi="Arial"/>
                <w:sz w:val="25"/>
                <w:szCs w:val="25"/>
                <w:color w:val="auto"/>
                <w:vertAlign w:val="sub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line="216" w:lineRule="exact"/>
              <w:rPr>
                <w:sz w:val="20"/>
                <w:szCs w:val="20"/>
                <w:color w:val="auto"/>
              </w:rPr>
            </w:pPr>
            <w:r>
              <w:rPr>
                <w:rFonts w:ascii="Arial" w:cs="Arial" w:eastAsia="Arial" w:hAnsi="Arial"/>
                <w:sz w:val="14"/>
                <w:szCs w:val="14"/>
                <w:color w:val="auto"/>
              </w:rPr>
              <w:t>(0.19</w:t>
            </w:r>
            <w:r>
              <w:rPr>
                <w:rFonts w:ascii="Arial" w:cs="Arial" w:eastAsia="Arial" w:hAnsi="Arial"/>
                <w:sz w:val="25"/>
                <w:szCs w:val="25"/>
                <w:color w:val="auto"/>
                <w:vertAlign w:val="subscript"/>
              </w:rPr>
              <w:t>)</w:t>
            </w:r>
          </w:p>
        </w:tc>
      </w:tr>
      <w:tr>
        <w:trPr>
          <w:trHeight w:val="216"/>
        </w:trPr>
        <w:tc>
          <w:tcPr>
            <w:tcW w:w="6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10,523,515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10,673,077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10,622,988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10,737,853</w:t>
            </w:r>
          </w:p>
        </w:tc>
      </w:tr>
      <w:tr>
        <w:trPr>
          <w:trHeight w:val="41"/>
        </w:trPr>
        <w:tc>
          <w:tcPr>
            <w:tcW w:w="606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237"/>
        </w:trPr>
        <w:tc>
          <w:tcPr>
            <w:tcW w:w="60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10,523,515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10,673,077</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10,622,988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10,737,853</w:t>
            </w:r>
          </w:p>
        </w:tc>
      </w:tr>
      <w:tr>
        <w:trPr>
          <w:trHeight w:val="216"/>
        </w:trPr>
        <w:tc>
          <w:tcPr>
            <w:tcW w:w="6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0.0400</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0.0400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0.1200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0.1425</w:t>
            </w:r>
          </w:p>
        </w:tc>
      </w:tr>
      <w:tr>
        <w:trPr>
          <w:trHeight w:val="41"/>
        </w:trPr>
        <w:tc>
          <w:tcPr>
            <w:tcW w:w="606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30,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30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w w:val="89"/>
              </w:rPr>
              <w:t>Preferred Stock</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4"/>
            <w:vMerge w:val="restart"/>
          </w:tcPr>
          <w:p>
            <w:pPr>
              <w:jc w:val="right"/>
              <w:ind w:right="460"/>
              <w:spacing w:after="0"/>
              <w:rPr>
                <w:sz w:val="20"/>
                <w:szCs w:val="20"/>
                <w:color w:val="auto"/>
              </w:rPr>
            </w:pPr>
            <w:r>
              <w:rPr>
                <w:rFonts w:ascii="Arial" w:cs="Arial" w:eastAsia="Arial" w:hAnsi="Arial"/>
                <w:sz w:val="18"/>
                <w:szCs w:val="18"/>
                <w:b w:val="1"/>
                <w:bCs w:val="1"/>
                <w:color w:val="auto"/>
              </w:rPr>
              <w:t>Common Stock</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Capital</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5"/>
            <w:vMerge w:val="restart"/>
          </w:tcPr>
          <w:p>
            <w:pPr>
              <w:jc w:val="right"/>
              <w:ind w:right="540"/>
              <w:spacing w:after="0"/>
              <w:rPr>
                <w:sz w:val="20"/>
                <w:szCs w:val="20"/>
                <w:color w:val="auto"/>
              </w:rPr>
            </w:pPr>
            <w:r>
              <w:rPr>
                <w:rFonts w:ascii="Arial" w:cs="Arial" w:eastAsia="Arial" w:hAnsi="Arial"/>
                <w:sz w:val="18"/>
                <w:szCs w:val="18"/>
                <w:b w:val="1"/>
                <w:bCs w:val="1"/>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4"/>
            <w:vMerge w:val="continue"/>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in Excess</w:t>
            </w:r>
          </w:p>
        </w:tc>
        <w:tc>
          <w:tcPr>
            <w:tcW w:w="13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Retained</w:t>
            </w:r>
          </w:p>
        </w:tc>
        <w:tc>
          <w:tcPr>
            <w:tcW w:w="2080" w:type="dxa"/>
            <w:vAlign w:val="bottom"/>
            <w:gridSpan w:val="5"/>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Borders>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3"/>
              </w:rPr>
              <w:t>of Par</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Earnings</w:t>
            </w:r>
          </w:p>
        </w:tc>
        <w:tc>
          <w:tcPr>
            <w:tcW w:w="9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July</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1, 2020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11,866,254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$ 118,662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$69,951,549</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8,091,923</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$14,973,684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1,196,109</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 (3,514,340)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89,621,478</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9"/>
              </w:rPr>
              <w:t>compensation</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430,896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430,896</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deducted from</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restricted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stock</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awards for</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withholding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(9,595)</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Acquisition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9"/>
              </w:rPr>
              <w:t>treasury stock</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(426,990)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(426,990)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(1,227,856)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(1,227,856)</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unrealized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gains 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available-</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ind w:left="220"/>
              <w:spacing w:after="0" w:line="201" w:lineRule="exact"/>
              <w:rPr>
                <w:sz w:val="20"/>
                <w:szCs w:val="20"/>
                <w:color w:val="auto"/>
              </w:rPr>
            </w:pPr>
            <w:r>
              <w:rPr>
                <w:rFonts w:ascii="Arial" w:cs="Arial" w:eastAsia="Arial" w:hAnsi="Arial"/>
                <w:sz w:val="18"/>
                <w:szCs w:val="18"/>
                <w:color w:val="auto"/>
              </w:rPr>
              <w:t>for-sale</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securities, net</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74"/>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925,492</w:t>
            </w: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925,492</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20"/>
                <w:szCs w:val="20"/>
                <w:color w:val="auto"/>
              </w:rPr>
            </w:pPr>
            <w:r>
              <w:rPr>
                <w:rFonts w:ascii="Arial" w:cs="Arial" w:eastAsia="Arial" w:hAnsi="Arial"/>
                <w:sz w:val="18"/>
                <w:szCs w:val="18"/>
                <w:color w:val="auto"/>
              </w:rPr>
              <w:t>of tax</w:t>
            </w: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14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56" w:right="3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w:t>
            </w:r>
          </w:p>
        </w:tc>
        <w:tc>
          <w:tcPr>
            <w:tcW w:w="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11,871,307</w:t>
            </w: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2"/>
              </w:rPr>
              <w:t>$ 118,713</w:t>
            </w:r>
          </w:p>
        </w:tc>
        <w:tc>
          <w:tcPr>
            <w:tcW w:w="160" w:type="dxa"/>
            <w:vAlign w:val="bottom"/>
            <w:tcBorders>
              <w:right w:val="single" w:sz="8" w:color="CCEEFF"/>
            </w:tcBorders>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$70,372,799</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9,017,415</w:t>
            </w:r>
          </w:p>
        </w:tc>
        <w:tc>
          <w:tcPr>
            <w:tcW w:w="10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$13,318,838</w:t>
            </w:r>
          </w:p>
        </w:tc>
        <w:tc>
          <w:tcPr>
            <w:tcW w:w="16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1,196,109</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(3,514,340)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$89,313,425</w:t>
            </w:r>
          </w:p>
        </w:tc>
        <w:tc>
          <w:tcPr>
            <w:tcW w:w="0" w:type="dxa"/>
            <w:vAlign w:val="bottom"/>
          </w:tcPr>
          <w:p>
            <w:pPr>
              <w:spacing w:after="0"/>
              <w:rPr>
                <w:sz w:val="1"/>
                <w:szCs w:val="1"/>
                <w:color w:val="auto"/>
              </w:rPr>
            </w:pPr>
          </w:p>
        </w:tc>
      </w:tr>
      <w:tr>
        <w:trPr>
          <w:trHeight w:val="216"/>
        </w:trPr>
        <w:tc>
          <w:tcPr>
            <w:tcW w:w="1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880" w:type="dxa"/>
            <w:vAlign w:val="bottom"/>
            <w:tcBorders>
              <w:bottom w:val="single" w:sz="8" w:color="auto"/>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7"/>
            <w:vMerge w:val="restart"/>
          </w:tcPr>
          <w:p>
            <w:pPr>
              <w:jc w:val="right"/>
              <w:ind w:right="180"/>
              <w:spacing w:after="0"/>
              <w:rPr>
                <w:sz w:val="20"/>
                <w:szCs w:val="20"/>
                <w:color w:val="auto"/>
              </w:rPr>
            </w:pPr>
            <w:r>
              <w:rPr>
                <w:rFonts w:ascii="Arial" w:cs="Arial" w:eastAsia="Arial" w:hAnsi="Arial"/>
                <w:sz w:val="18"/>
                <w:szCs w:val="18"/>
                <w:b w:val="1"/>
                <w:bCs w:val="1"/>
                <w:color w:val="auto"/>
                <w:w w:val="90"/>
              </w:rPr>
              <w:t>Preferred Stock</w:t>
            </w:r>
          </w:p>
        </w:tc>
        <w:tc>
          <w:tcPr>
            <w:tcW w:w="1880" w:type="dxa"/>
            <w:vAlign w:val="bottom"/>
            <w:gridSpan w:val="4"/>
            <w:vMerge w:val="restart"/>
          </w:tcPr>
          <w:p>
            <w:pPr>
              <w:jc w:val="right"/>
              <w:ind w:right="420"/>
              <w:spacing w:after="0"/>
              <w:rPr>
                <w:sz w:val="20"/>
                <w:szCs w:val="20"/>
                <w:color w:val="auto"/>
              </w:rPr>
            </w:pPr>
            <w:r>
              <w:rPr>
                <w:rFonts w:ascii="Arial" w:cs="Arial" w:eastAsia="Arial" w:hAnsi="Arial"/>
                <w:sz w:val="18"/>
                <w:szCs w:val="18"/>
                <w:b w:val="1"/>
                <w:bCs w:val="1"/>
                <w:color w:val="auto"/>
              </w:rPr>
              <w:t>Common Stock</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19"/>
                <w:szCs w:val="19"/>
                <w:color w:val="auto"/>
              </w:rPr>
            </w:pPr>
          </w:p>
        </w:tc>
        <w:tc>
          <w:tcPr>
            <w:tcW w:w="1080" w:type="dxa"/>
            <w:vAlign w:val="bottom"/>
          </w:tcPr>
          <w:p>
            <w:pPr>
              <w:jc w:val="center"/>
              <w:ind w:right="29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4"/>
            <w:vMerge w:val="restart"/>
          </w:tcPr>
          <w:p>
            <w:pPr>
              <w:jc w:val="right"/>
              <w:ind w:right="560"/>
              <w:spacing w:after="0"/>
              <w:rPr>
                <w:sz w:val="20"/>
                <w:szCs w:val="20"/>
                <w:color w:val="auto"/>
              </w:rPr>
            </w:pPr>
            <w:r>
              <w:rPr>
                <w:rFonts w:ascii="Arial" w:cs="Arial" w:eastAsia="Arial" w:hAnsi="Arial"/>
                <w:sz w:val="18"/>
                <w:szCs w:val="18"/>
                <w:b w:val="1"/>
                <w:bCs w:val="1"/>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7"/>
            <w:vMerge w:val="continue"/>
          </w:tcPr>
          <w:p>
            <w:pPr>
              <w:spacing w:after="0"/>
              <w:rPr>
                <w:sz w:val="19"/>
                <w:szCs w:val="19"/>
                <w:color w:val="auto"/>
              </w:rPr>
            </w:pPr>
          </w:p>
        </w:tc>
        <w:tc>
          <w:tcPr>
            <w:tcW w:w="1880" w:type="dxa"/>
            <w:vAlign w:val="bottom"/>
            <w:gridSpan w:val="4"/>
            <w:vMerge w:val="continue"/>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in Excess</w:t>
            </w:r>
          </w:p>
        </w:tc>
        <w:tc>
          <w:tcPr>
            <w:tcW w:w="12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4"/>
              </w:rPr>
              <w:t>Comprehensive</w:t>
            </w:r>
          </w:p>
        </w:tc>
        <w:tc>
          <w:tcPr>
            <w:tcW w:w="6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Retained</w:t>
            </w:r>
          </w:p>
        </w:tc>
        <w:tc>
          <w:tcPr>
            <w:tcW w:w="2080" w:type="dxa"/>
            <w:vAlign w:val="bottom"/>
            <w:gridSpan w:val="4"/>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79"/>
              </w:rPr>
              <w:t>Shares</w:t>
            </w: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Borders>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3"/>
              </w:rPr>
              <w:t>of Par</w:t>
            </w:r>
          </w:p>
        </w:tc>
        <w:tc>
          <w:tcPr>
            <w:tcW w:w="128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88"/>
              </w:rPr>
              <w:t>Income (Loss)</w:t>
            </w: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10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300" w:type="dxa"/>
            <w:vAlign w:val="bottom"/>
            <w:tcBorders>
              <w:right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9"/>
              </w:rPr>
              <w:t>Balance, July 1,</w:t>
            </w:r>
          </w:p>
        </w:tc>
        <w:tc>
          <w:tcPr>
            <w:tcW w:w="4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tcBorders>
              <w:right w:val="single" w:sz="8" w:color="CCEEFF"/>
            </w:tcBorders>
            <w:shd w:val="clear" w:color="auto" w:fill="CCEEFF"/>
          </w:tcPr>
          <w:p>
            <w:pPr>
              <w:spacing w:after="0"/>
              <w:rPr>
                <w:sz w:val="20"/>
                <w:szCs w:val="20"/>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11,944,220</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$ 119,442</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$71,567,797</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95"/>
              <w:spacing w:after="0"/>
              <w:rPr>
                <w:sz w:val="20"/>
                <w:szCs w:val="20"/>
                <w:color w:val="auto"/>
              </w:rPr>
            </w:pPr>
            <w:r>
              <w:rPr>
                <w:rFonts w:ascii="Arial" w:cs="Arial" w:eastAsia="Arial" w:hAnsi="Arial"/>
                <w:sz w:val="4"/>
                <w:szCs w:val="4"/>
                <w:color w:val="auto"/>
                <w:w w:val="87"/>
              </w:rPr>
              <w:t>$</w:t>
            </w:r>
          </w:p>
        </w:tc>
        <w:tc>
          <w:tcPr>
            <w:tcW w:w="10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7,127,003</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$ 16,086,337</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1,383,077</w:t>
            </w:r>
          </w:p>
        </w:tc>
        <w:tc>
          <w:tcPr>
            <w:tcW w:w="180" w:type="dxa"/>
            <w:vAlign w:val="bottom"/>
            <w:tcBorders>
              <w:right w:val="single" w:sz="8" w:color="CCEEFF"/>
            </w:tcBorders>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(4,935,933)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$ 89,964,646</w:t>
            </w:r>
          </w:p>
        </w:tc>
        <w:tc>
          <w:tcPr>
            <w:tcW w:w="0" w:type="dxa"/>
            <w:vAlign w:val="bottom"/>
          </w:tcPr>
          <w:p>
            <w:pPr>
              <w:spacing w:after="0"/>
              <w:rPr>
                <w:sz w:val="1"/>
                <w:szCs w:val="1"/>
                <w:color w:val="auto"/>
              </w:rPr>
            </w:pPr>
          </w:p>
        </w:tc>
      </w:tr>
      <w:tr>
        <w:trPr>
          <w:trHeight w:val="202"/>
        </w:trPr>
        <w:tc>
          <w:tcPr>
            <w:tcW w:w="1300" w:type="dxa"/>
            <w:vAlign w:val="bottom"/>
            <w:gridSpan w:val="2"/>
          </w:tcPr>
          <w:p>
            <w:pPr>
              <w:spacing w:after="0" w:line="201" w:lineRule="exact"/>
              <w:rPr>
                <w:sz w:val="20"/>
                <w:szCs w:val="20"/>
                <w:color w:val="auto"/>
              </w:rPr>
            </w:pPr>
            <w:r>
              <w:rPr>
                <w:rFonts w:ascii="Arial" w:cs="Arial" w:eastAsia="Arial" w:hAnsi="Arial"/>
                <w:sz w:val="18"/>
                <w:szCs w:val="18"/>
                <w:color w:val="auto"/>
              </w:rPr>
              <w:t>Stock-based</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466,658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466,658</w:t>
            </w:r>
          </w:p>
        </w:tc>
        <w:tc>
          <w:tcPr>
            <w:tcW w:w="0" w:type="dxa"/>
            <w:vAlign w:val="bottom"/>
          </w:tcPr>
          <w:p>
            <w:pPr>
              <w:spacing w:after="0"/>
              <w:rPr>
                <w:sz w:val="1"/>
                <w:szCs w:val="1"/>
                <w:color w:val="auto"/>
              </w:rPr>
            </w:pPr>
          </w:p>
        </w:tc>
      </w:tr>
      <w:tr>
        <w:trPr>
          <w:trHeight w:val="202"/>
        </w:trPr>
        <w:tc>
          <w:tcPr>
            <w:tcW w:w="130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4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awards</w:t>
            </w: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4,907</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00" w:type="dxa"/>
            <w:vAlign w:val="bottom"/>
            <w:gridSpan w:val="2"/>
          </w:tcPr>
          <w:p>
            <w:pPr>
              <w:spacing w:after="0" w:line="201" w:lineRule="exact"/>
              <w:rPr>
                <w:sz w:val="20"/>
                <w:szCs w:val="20"/>
                <w:color w:val="auto"/>
              </w:rPr>
            </w:pPr>
            <w:r>
              <w:rPr>
                <w:rFonts w:ascii="Arial" w:cs="Arial" w:eastAsia="Arial" w:hAnsi="Arial"/>
                <w:sz w:val="18"/>
                <w:szCs w:val="18"/>
                <w:color w:val="auto"/>
                <w:w w:val="92"/>
              </w:rPr>
              <w:t>Shares deducted</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from restricted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stock</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00" w:type="dxa"/>
            <w:vAlign w:val="bottom"/>
            <w:tcBorders>
              <w:right w:val="single" w:sz="8" w:color="CCEEFF"/>
            </w:tcBorders>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awards for</w:t>
            </w:r>
          </w:p>
        </w:tc>
        <w:tc>
          <w:tcPr>
            <w:tcW w:w="4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payment of</w:t>
            </w: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withholding</w:t>
            </w: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(1,508)</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(9,371)</w:t>
            </w:r>
          </w:p>
        </w:tc>
        <w:tc>
          <w:tcPr>
            <w:tcW w:w="20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(9,386)</w:t>
            </w:r>
          </w:p>
        </w:tc>
        <w:tc>
          <w:tcPr>
            <w:tcW w:w="0" w:type="dxa"/>
            <w:vAlign w:val="bottom"/>
          </w:tcPr>
          <w:p>
            <w:pPr>
              <w:spacing w:after="0"/>
              <w:rPr>
                <w:sz w:val="1"/>
                <w:szCs w:val="1"/>
                <w:color w:val="auto"/>
              </w:rPr>
            </w:pPr>
          </w:p>
        </w:tc>
      </w:tr>
      <w:tr>
        <w:trPr>
          <w:trHeight w:val="202"/>
        </w:trPr>
        <w:tc>
          <w:tcPr>
            <w:tcW w:w="1300" w:type="dxa"/>
            <w:vAlign w:val="bottom"/>
            <w:gridSpan w:val="2"/>
          </w:tcPr>
          <w:p>
            <w:pPr>
              <w:spacing w:after="0" w:line="201" w:lineRule="exact"/>
              <w:rPr>
                <w:sz w:val="20"/>
                <w:szCs w:val="20"/>
                <w:color w:val="auto"/>
              </w:rPr>
            </w:pPr>
            <w:r>
              <w:rPr>
                <w:rFonts w:ascii="Arial" w:cs="Arial" w:eastAsia="Arial" w:hAnsi="Arial"/>
                <w:sz w:val="18"/>
                <w:szCs w:val="18"/>
                <w:color w:val="auto"/>
              </w:rPr>
              <w:t>Acquisition of</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treasury stock</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88,329</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(631,548)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(631,548)</w:t>
            </w:r>
          </w:p>
        </w:tc>
        <w:tc>
          <w:tcPr>
            <w:tcW w:w="0" w:type="dxa"/>
            <w:vAlign w:val="bottom"/>
          </w:tcPr>
          <w:p>
            <w:pPr>
              <w:spacing w:after="0"/>
              <w:rPr>
                <w:sz w:val="1"/>
                <w:szCs w:val="1"/>
                <w:color w:val="auto"/>
              </w:rPr>
            </w:pPr>
          </w:p>
        </w:tc>
      </w:tr>
      <w:tr>
        <w:trPr>
          <w:trHeight w:val="216"/>
        </w:trPr>
        <w:tc>
          <w:tcPr>
            <w:tcW w:w="1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w:t>
            </w: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(420,525)</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(420,525)</w:t>
            </w: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(10,618,265)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(10,618,265)</w:t>
            </w:r>
          </w:p>
        </w:tc>
        <w:tc>
          <w:tcPr>
            <w:tcW w:w="0" w:type="dxa"/>
            <w:vAlign w:val="bottom"/>
          </w:tcPr>
          <w:p>
            <w:pPr>
              <w:spacing w:after="0"/>
              <w:rPr>
                <w:sz w:val="1"/>
                <w:szCs w:val="1"/>
                <w:color w:val="auto"/>
              </w:rPr>
            </w:pPr>
          </w:p>
        </w:tc>
      </w:tr>
      <w:tr>
        <w:trPr>
          <w:trHeight w:val="202"/>
        </w:trPr>
        <w:tc>
          <w:tcPr>
            <w:tcW w:w="130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Change in</w:t>
            </w:r>
          </w:p>
        </w:tc>
        <w:tc>
          <w:tcPr>
            <w:tcW w:w="4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rPr>
              <w:t>unrealized losses</w:t>
            </w: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on available-</w:t>
            </w:r>
          </w:p>
        </w:tc>
        <w:tc>
          <w:tcPr>
            <w:tcW w:w="4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for-sale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w w:val="96"/>
              </w:rPr>
              <w:t>securities, net of</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(920,323)</w:t>
            </w:r>
          </w:p>
        </w:tc>
        <w:tc>
          <w:tcPr>
            <w:tcW w:w="11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(920,323)</w:t>
            </w:r>
          </w:p>
        </w:tc>
        <w:tc>
          <w:tcPr>
            <w:tcW w:w="0" w:type="dxa"/>
            <w:vAlign w:val="bottom"/>
          </w:tcPr>
          <w:p>
            <w:pPr>
              <w:spacing w:after="0"/>
              <w:rPr>
                <w:sz w:val="1"/>
                <w:szCs w:val="1"/>
                <w:color w:val="auto"/>
              </w:rPr>
            </w:pPr>
          </w:p>
        </w:tc>
      </w:tr>
      <w:tr>
        <w:trPr>
          <w:trHeight w:val="217"/>
        </w:trPr>
        <w:tc>
          <w:tcPr>
            <w:tcW w:w="1300" w:type="dxa"/>
            <w:vAlign w:val="bottom"/>
            <w:gridSpan w:val="2"/>
          </w:tcPr>
          <w:p>
            <w:pPr>
              <w:spacing w:after="0"/>
              <w:rPr>
                <w:sz w:val="20"/>
                <w:szCs w:val="20"/>
                <w:color w:val="auto"/>
              </w:rPr>
            </w:pPr>
            <w:r>
              <w:rPr>
                <w:rFonts w:ascii="Arial" w:cs="Arial" w:eastAsia="Arial" w:hAnsi="Arial"/>
                <w:sz w:val="18"/>
                <w:szCs w:val="18"/>
                <w:color w:val="auto"/>
              </w:rPr>
              <w:t>tax</w:t>
            </w:r>
          </w:p>
        </w:tc>
        <w:tc>
          <w:tcPr>
            <w:tcW w:w="5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00" w:type="dxa"/>
            <w:vAlign w:val="bottom"/>
            <w:tcBorders>
              <w:right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5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5"/>
              </w:rPr>
              <w:t>11,947,619</w:t>
            </w:r>
          </w:p>
        </w:tc>
        <w:tc>
          <w:tcPr>
            <w:tcW w:w="8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119,476</w:t>
            </w: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72,025,035</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vMerge w:val="restart"/>
            <w:shd w:val="clear" w:color="auto" w:fill="CCEEFF"/>
          </w:tcPr>
          <w:p>
            <w:pPr>
              <w:jc w:val="right"/>
              <w:ind w:right="95"/>
              <w:spacing w:after="0"/>
              <w:rPr>
                <w:sz w:val="20"/>
                <w:szCs w:val="20"/>
                <w:color w:val="auto"/>
              </w:rPr>
            </w:pPr>
            <w:r>
              <w:rPr>
                <w:rFonts w:ascii="Arial" w:cs="Arial" w:eastAsia="Arial" w:hAnsi="Arial"/>
                <w:sz w:val="4"/>
                <w:szCs w:val="4"/>
                <w:color w:val="auto"/>
                <w:w w:val="87"/>
              </w:rPr>
              <w:t>$</w:t>
            </w:r>
          </w:p>
        </w:tc>
        <w:tc>
          <w:tcPr>
            <w:tcW w:w="1080" w:type="dxa"/>
            <w:vAlign w:val="bottom"/>
            <w:tcBorders>
              <w:right w:val="single" w:sz="8" w:color="CCEEFF"/>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6,206,680</w:t>
            </w:r>
          </w:p>
        </w:tc>
        <w:tc>
          <w:tcPr>
            <w:tcW w:w="11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7"/>
              </w:rPr>
              <w:t>$  5,047,547</w:t>
            </w: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1,471,406</w:t>
            </w:r>
          </w:p>
        </w:tc>
        <w:tc>
          <w:tcPr>
            <w:tcW w:w="18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(5,567,481</w:t>
            </w:r>
            <w:r>
              <w:rPr>
                <w:rFonts w:ascii="Arial" w:cs="Arial" w:eastAsia="Arial" w:hAnsi="Arial"/>
                <w:sz w:val="35"/>
                <w:szCs w:val="35"/>
                <w:color w:val="auto"/>
                <w:w w:val="82"/>
                <w:vertAlign w:val="subscript"/>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5"/>
              </w:rPr>
              <w:t>$ 77,831,257</w:t>
            </w:r>
          </w:p>
        </w:tc>
        <w:tc>
          <w:tcPr>
            <w:tcW w:w="0" w:type="dxa"/>
            <w:vAlign w:val="bottom"/>
          </w:tcPr>
          <w:p>
            <w:pPr>
              <w:spacing w:after="0"/>
              <w:rPr>
                <w:sz w:val="1"/>
                <w:szCs w:val="1"/>
                <w:color w:val="auto"/>
              </w:rPr>
            </w:pPr>
          </w:p>
        </w:tc>
      </w:tr>
      <w:tr>
        <w:trPr>
          <w:trHeight w:val="190"/>
        </w:trPr>
        <w:tc>
          <w:tcPr>
            <w:tcW w:w="1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2021</w:t>
            </w:r>
          </w:p>
        </w:tc>
        <w:tc>
          <w:tcPr>
            <w:tcW w:w="160" w:type="dxa"/>
            <w:vAlign w:val="bottom"/>
            <w:tcBorders>
              <w:right w:val="single" w:sz="8" w:color="CCEEFF"/>
            </w:tcBorders>
            <w:shd w:val="clear" w:color="auto" w:fill="CCEEFF"/>
          </w:tcPr>
          <w:p>
            <w:pPr>
              <w:spacing w:after="0"/>
              <w:rPr>
                <w:sz w:val="16"/>
                <w:szCs w:val="16"/>
                <w:color w:val="auto"/>
              </w:rPr>
            </w:pPr>
          </w:p>
        </w:tc>
        <w:tc>
          <w:tcPr>
            <w:tcW w:w="560" w:type="dxa"/>
            <w:vAlign w:val="bottom"/>
            <w:tcBorders>
              <w:right w:val="single" w:sz="8" w:color="CCEEFF"/>
            </w:tcBorders>
            <w:gridSpan w:val="2"/>
            <w:vMerge w:val="continue"/>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480" w:type="dxa"/>
            <w:vAlign w:val="bottom"/>
            <w:tcBorders>
              <w:right w:val="single" w:sz="8" w:color="CCEEFF"/>
            </w:tcBorders>
            <w:gridSpan w:val="3"/>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CCEEFF"/>
            </w:tcBorders>
            <w:gridSpan w:val="2"/>
            <w:vMerge w:val="continue"/>
            <w:shd w:val="clear" w:color="auto" w:fill="CCEEFF"/>
          </w:tcPr>
          <w:p>
            <w:pPr>
              <w:spacing w:after="0"/>
              <w:rPr>
                <w:sz w:val="16"/>
                <w:szCs w:val="16"/>
                <w:color w:val="auto"/>
              </w:rPr>
            </w:pPr>
          </w:p>
        </w:tc>
        <w:tc>
          <w:tcPr>
            <w:tcW w:w="920" w:type="dxa"/>
            <w:vAlign w:val="bottom"/>
            <w:tcBorders>
              <w:right w:val="single" w:sz="8" w:color="CCEEFF"/>
            </w:tcBorders>
            <w:vMerge w:val="continue"/>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80" w:type="dxa"/>
            <w:vAlign w:val="bottom"/>
            <w:tcBorders>
              <w:right w:val="single" w:sz="8" w:color="CCEEFF"/>
            </w:tcBorders>
            <w:vMerge w:val="continue"/>
            <w:shd w:val="clear" w:color="auto" w:fill="CCEEFF"/>
          </w:tcPr>
          <w:p>
            <w:pPr>
              <w:spacing w:after="0"/>
              <w:rPr>
                <w:sz w:val="16"/>
                <w:szCs w:val="16"/>
                <w:color w:val="auto"/>
              </w:rPr>
            </w:pPr>
          </w:p>
        </w:tc>
        <w:tc>
          <w:tcPr>
            <w:tcW w:w="1160" w:type="dxa"/>
            <w:vAlign w:val="bottom"/>
            <w:gridSpan w:val="3"/>
            <w:vMerge w:val="continue"/>
            <w:shd w:val="clear" w:color="auto" w:fill="CCEEFF"/>
          </w:tcPr>
          <w:p>
            <w:pPr>
              <w:spacing w:after="0"/>
              <w:rPr>
                <w:sz w:val="16"/>
                <w:szCs w:val="16"/>
                <w:color w:val="auto"/>
              </w:rPr>
            </w:pPr>
          </w:p>
        </w:tc>
        <w:tc>
          <w:tcPr>
            <w:tcW w:w="820" w:type="dxa"/>
            <w:vAlign w:val="bottom"/>
            <w:tcBorders>
              <w:right w:val="single" w:sz="8" w:color="CCEEFF"/>
            </w:tcBorders>
            <w:vMerge w:val="continue"/>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80" w:type="dxa"/>
            <w:vAlign w:val="bottom"/>
            <w:tcBorders>
              <w:right w:val="single" w:sz="8" w:color="CCEEFF"/>
            </w:tcBorders>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160" w:type="dxa"/>
            <w:vAlign w:val="bottom"/>
            <w:tcBorders>
              <w:right w:val="single" w:sz="8" w:color="CCEEFF"/>
            </w:tcBorders>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80" w:type="dxa"/>
            <w:vAlign w:val="bottom"/>
            <w:tcBorders>
              <w:right w:val="single" w:sz="8" w:color="auto"/>
            </w:tcBorders>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tcBorders>
              <w:right w:val="single" w:sz="8" w:color="auto"/>
            </w:tcBorders>
            <w:shd w:val="clear" w:color="auto" w:fill="000000"/>
          </w:tcPr>
          <w:p>
            <w:pPr>
              <w:spacing w:after="0"/>
              <w:rPr>
                <w:sz w:val="3"/>
                <w:szCs w:val="3"/>
                <w:color w:val="auto"/>
              </w:rPr>
            </w:pPr>
          </w:p>
        </w:tc>
        <w:tc>
          <w:tcPr>
            <w:tcW w:w="160" w:type="dxa"/>
            <w:vAlign w:val="bottom"/>
            <w:tcBorders>
              <w:right w:val="single" w:sz="8" w:color="auto"/>
            </w:tcBorders>
            <w:shd w:val="clear" w:color="auto" w:fill="CCEEFF"/>
          </w:tcPr>
          <w:p>
            <w:pPr>
              <w:spacing w:after="0"/>
              <w:rPr>
                <w:sz w:val="3"/>
                <w:szCs w:val="3"/>
                <w:color w:val="auto"/>
              </w:rPr>
            </w:pPr>
          </w:p>
        </w:tc>
        <w:tc>
          <w:tcPr>
            <w:tcW w:w="920" w:type="dxa"/>
            <w:vAlign w:val="bottom"/>
            <w:tcBorders>
              <w:right w:val="single" w:sz="8" w:color="CCEEFF"/>
            </w:tcBorders>
            <w:shd w:val="clear" w:color="auto" w:fill="000000"/>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80" w:type="dxa"/>
            <w:vAlign w:val="bottom"/>
            <w:tcBorders>
              <w:right w:val="single" w:sz="8" w:color="CCEEFF"/>
            </w:tcBorders>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940" w:type="dxa"/>
            <w:vAlign w:val="bottom"/>
            <w:tcBorders>
              <w:right w:val="single" w:sz="8" w:color="auto"/>
            </w:tcBorders>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20" w:type="dxa"/>
            <w:vAlign w:val="bottom"/>
            <w:tcBorders>
              <w:right w:val="single" w:sz="8" w:color="CCEEFF"/>
            </w:tcBorders>
            <w:shd w:val="clear" w:color="auto" w:fill="000000"/>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900" w:type="dxa"/>
            <w:vAlign w:val="bottom"/>
            <w:tcBorders>
              <w:right w:val="single" w:sz="8" w:color="CCEEFF"/>
            </w:tcBorders>
            <w:shd w:val="clear" w:color="auto" w:fill="000000"/>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30,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89"/>
              </w:rPr>
              <w:t>Preferred Stock</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3"/>
            <w:vMerge w:val="restart"/>
          </w:tcPr>
          <w:p>
            <w:pPr>
              <w:jc w:val="right"/>
              <w:ind w:right="400"/>
              <w:spacing w:after="0"/>
              <w:rPr>
                <w:sz w:val="20"/>
                <w:szCs w:val="20"/>
                <w:color w:val="auto"/>
              </w:rPr>
            </w:pPr>
            <w:r>
              <w:rPr>
                <w:rFonts w:ascii="Arial" w:cs="Arial" w:eastAsia="Arial" w:hAnsi="Arial"/>
                <w:sz w:val="18"/>
                <w:szCs w:val="18"/>
                <w:b w:val="1"/>
                <w:bCs w:val="1"/>
                <w:color w:val="auto"/>
              </w:rPr>
              <w:t>Common Stock</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26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Other</w:t>
            </w:r>
          </w:p>
        </w:tc>
        <w:tc>
          <w:tcPr>
            <w:tcW w:w="1180" w:type="dxa"/>
            <w:vAlign w:val="bottom"/>
          </w:tcPr>
          <w:p>
            <w:pPr>
              <w:spacing w:after="0"/>
              <w:rPr>
                <w:sz w:val="19"/>
                <w:szCs w:val="19"/>
                <w:color w:val="auto"/>
              </w:rPr>
            </w:pPr>
          </w:p>
        </w:tc>
        <w:tc>
          <w:tcPr>
            <w:tcW w:w="2080" w:type="dxa"/>
            <w:vAlign w:val="bottom"/>
            <w:gridSpan w:val="3"/>
            <w:vMerge w:val="restart"/>
          </w:tcPr>
          <w:p>
            <w:pPr>
              <w:jc w:val="right"/>
              <w:ind w:right="540"/>
              <w:spacing w:after="0"/>
              <w:rPr>
                <w:sz w:val="20"/>
                <w:szCs w:val="20"/>
                <w:color w:val="auto"/>
              </w:rPr>
            </w:pPr>
            <w:r>
              <w:rPr>
                <w:rFonts w:ascii="Arial" w:cs="Arial" w:eastAsia="Arial" w:hAnsi="Arial"/>
                <w:sz w:val="18"/>
                <w:szCs w:val="18"/>
                <w:b w:val="1"/>
                <w:bCs w:val="1"/>
                <w:color w:val="auto"/>
              </w:rPr>
              <w:t>Treasury Stock</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4"/>
              </w:rPr>
              <w:t>in Excess</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Comprehensive</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Retained</w:t>
            </w:r>
          </w:p>
        </w:tc>
        <w:tc>
          <w:tcPr>
            <w:tcW w:w="2080" w:type="dxa"/>
            <w:vAlign w:val="bottom"/>
            <w:gridSpan w:val="3"/>
            <w:vMerge w:val="continue"/>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6"/>
              </w:rPr>
              <w:t>Shares</w:t>
            </w:r>
          </w:p>
        </w:tc>
        <w:tc>
          <w:tcPr>
            <w:tcW w:w="7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Borders>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 Par</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Income</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Earnings</w:t>
            </w:r>
          </w:p>
        </w:tc>
        <w:tc>
          <w:tcPr>
            <w:tcW w:w="9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6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11,824,889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$ 118,248</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$69,133,918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4,768,870</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$16,913,097</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1,027,439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 (2,712,552)</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88,221,581</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9"/>
              </w:rPr>
              <w:t>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1,373,283</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1,373,283</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67,686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deducted from</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restricted</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stock</w:t>
            </w: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awards for</w:t>
            </w: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withholding</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(133,726)</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(133,937)</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Acquisition of</w:t>
            </w: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9"/>
              </w:rPr>
              <w:t>treasury stock</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168,670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(801,788)</w:t>
            </w:r>
          </w:p>
        </w:tc>
        <w:tc>
          <w:tcPr>
            <w:tcW w:w="1020" w:type="dxa"/>
            <w:vAlign w:val="bottom"/>
          </w:tcPr>
          <w:p>
            <w:pPr>
              <w:jc w:val="right"/>
              <w:spacing w:after="0"/>
              <w:rPr>
                <w:sz w:val="20"/>
                <w:szCs w:val="20"/>
                <w:color w:val="auto"/>
              </w:rPr>
            </w:pPr>
            <w:r>
              <w:rPr>
                <w:rFonts w:ascii="Arial" w:cs="Arial" w:eastAsia="Arial" w:hAnsi="Arial"/>
                <w:sz w:val="18"/>
                <w:szCs w:val="18"/>
                <w:color w:val="auto"/>
              </w:rPr>
              <w:t>(801,788)</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(1,530,390)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(1,530,390)</w:t>
            </w:r>
          </w:p>
        </w:tc>
        <w:tc>
          <w:tcPr>
            <w:tcW w:w="0" w:type="dxa"/>
            <w:vAlign w:val="bottom"/>
          </w:tcPr>
          <w:p>
            <w:pPr>
              <w:spacing w:after="0"/>
              <w:rPr>
                <w:sz w:val="1"/>
                <w:szCs w:val="1"/>
                <w:color w:val="auto"/>
              </w:rPr>
            </w:pPr>
          </w:p>
        </w:tc>
      </w:tr>
      <w:tr>
        <w:trPr>
          <w:trHeight w:val="232"/>
        </w:trPr>
        <w:tc>
          <w:tcPr>
            <w:tcW w:w="1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(2,063,869)</w:t>
            </w:r>
          </w:p>
        </w:tc>
        <w:tc>
          <w:tcPr>
            <w:tcW w:w="9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(2,063,869)</w:t>
            </w:r>
          </w:p>
        </w:tc>
        <w:tc>
          <w:tcPr>
            <w:tcW w:w="0" w:type="dxa"/>
            <w:vAlign w:val="bottom"/>
          </w:tcPr>
          <w:p>
            <w:pPr>
              <w:spacing w:after="0"/>
              <w:rPr>
                <w:sz w:val="1"/>
                <w:szCs w:val="1"/>
                <w:color w:val="auto"/>
              </w:rPr>
            </w:pPr>
          </w:p>
        </w:tc>
      </w:tr>
    </w:tbl>
    <w:p>
      <w:pPr>
        <w:sectPr>
          <w:pgSz w:w="11900" w:h="16900" w:orient="portrait"/>
          <w:cols w:equalWidth="0" w:num="1">
            <w:col w:w="11240"/>
          </w:cols>
          <w:pgMar w:left="320" w:top="134"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Change in</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unrealized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gains 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available-</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ind w:left="220"/>
              <w:spacing w:after="0" w:line="201" w:lineRule="exact"/>
              <w:rPr>
                <w:sz w:val="20"/>
                <w:szCs w:val="20"/>
                <w:color w:val="auto"/>
              </w:rPr>
            </w:pPr>
            <w:r>
              <w:rPr>
                <w:rFonts w:ascii="Arial" w:cs="Arial" w:eastAsia="Arial" w:hAnsi="Arial"/>
                <w:sz w:val="18"/>
                <w:szCs w:val="18"/>
                <w:color w:val="auto"/>
              </w:rPr>
              <w:t>for-sale</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securities, net</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4,248,545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4,248,545</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20"/>
                <w:szCs w:val="20"/>
                <w:color w:val="auto"/>
              </w:rPr>
            </w:pPr>
            <w:r>
              <w:rPr>
                <w:rFonts w:ascii="Arial" w:cs="Arial" w:eastAsia="Arial" w:hAnsi="Arial"/>
                <w:sz w:val="18"/>
                <w:szCs w:val="18"/>
                <w:color w:val="auto"/>
              </w:rPr>
              <w:t>of tax</w:t>
            </w: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4"/>
              </w:rPr>
              <w:t>September 30,</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8"/>
                <w:szCs w:val="18"/>
                <w:color w:val="auto"/>
              </w:rPr>
            </w:pPr>
          </w:p>
        </w:tc>
        <w:tc>
          <w:tcPr>
            <w:tcW w:w="6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7"/>
              </w:rPr>
              <w:t>11,871,307</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118,713</w:t>
            </w:r>
          </w:p>
        </w:tc>
        <w:tc>
          <w:tcPr>
            <w:tcW w:w="11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70,372,799</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9,017,415</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13,318,838</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7"/>
              </w:rPr>
              <w:t>1,196,109</w:t>
            </w:r>
          </w:p>
        </w:tc>
        <w:tc>
          <w:tcPr>
            <w:tcW w:w="116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(3,514,340</w:t>
            </w:r>
            <w:r>
              <w:rPr>
                <w:rFonts w:ascii="Arial" w:cs="Arial" w:eastAsia="Arial" w:hAnsi="Arial"/>
                <w:sz w:val="35"/>
                <w:szCs w:val="35"/>
                <w:color w:val="auto"/>
                <w:w w:val="93"/>
                <w:vertAlign w:val="subscript"/>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89,313,425</w:t>
            </w: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2020</w:t>
            </w:r>
          </w:p>
        </w:tc>
        <w:tc>
          <w:tcPr>
            <w:tcW w:w="56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20" w:type="dxa"/>
            <w:vAlign w:val="bottom"/>
            <w:tcBorders>
              <w:left w:val="single" w:sz="8" w:color="CCEEFF"/>
            </w:tcBorders>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10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160" w:type="dxa"/>
            <w:vAlign w:val="bottom"/>
            <w:tcBorders>
              <w:right w:val="single" w:sz="8" w:color="CCEEFF"/>
            </w:tcBorders>
            <w:gridSpan w:val="3"/>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1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30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w w:val="87"/>
              </w:rPr>
              <w:t>Preferred Stock</w:t>
            </w:r>
          </w:p>
        </w:tc>
        <w:tc>
          <w:tcPr>
            <w:tcW w:w="220" w:type="dxa"/>
            <w:vAlign w:val="bottom"/>
          </w:tcPr>
          <w:p>
            <w:pPr>
              <w:spacing w:after="0"/>
              <w:rPr>
                <w:sz w:val="19"/>
                <w:szCs w:val="19"/>
                <w:color w:val="auto"/>
              </w:rPr>
            </w:pPr>
          </w:p>
        </w:tc>
        <w:tc>
          <w:tcPr>
            <w:tcW w:w="1940" w:type="dxa"/>
            <w:vAlign w:val="bottom"/>
            <w:gridSpan w:val="4"/>
            <w:vMerge w:val="restart"/>
          </w:tcPr>
          <w:p>
            <w:pPr>
              <w:jc w:val="right"/>
              <w:ind w:right="460"/>
              <w:spacing w:after="0"/>
              <w:rPr>
                <w:sz w:val="20"/>
                <w:szCs w:val="20"/>
                <w:color w:val="auto"/>
              </w:rPr>
            </w:pPr>
            <w:r>
              <w:rPr>
                <w:rFonts w:ascii="Arial" w:cs="Arial" w:eastAsia="Arial" w:hAnsi="Arial"/>
                <w:sz w:val="18"/>
                <w:szCs w:val="18"/>
                <w:b w:val="1"/>
                <w:bCs w:val="1"/>
                <w:color w:val="auto"/>
              </w:rPr>
              <w:t>Common Stock</w:t>
            </w: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5"/>
            <w:vMerge w:val="restart"/>
          </w:tcPr>
          <w:p>
            <w:pPr>
              <w:jc w:val="right"/>
              <w:ind w:right="540"/>
              <w:spacing w:after="0"/>
              <w:rPr>
                <w:sz w:val="20"/>
                <w:szCs w:val="20"/>
                <w:color w:val="auto"/>
              </w:rPr>
            </w:pPr>
            <w:r>
              <w:rPr>
                <w:rFonts w:ascii="Arial" w:cs="Arial" w:eastAsia="Arial" w:hAnsi="Arial"/>
                <w:sz w:val="18"/>
                <w:szCs w:val="18"/>
                <w:b w:val="1"/>
                <w:bCs w:val="1"/>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4"/>
            <w:vMerge w:val="continue"/>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in Excess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4"/>
              </w:rPr>
              <w:t>Comprehensive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Retained</w:t>
            </w:r>
          </w:p>
        </w:tc>
        <w:tc>
          <w:tcPr>
            <w:tcW w:w="2060" w:type="dxa"/>
            <w:vAlign w:val="bottom"/>
            <w:gridSpan w:val="5"/>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Amount</w:t>
            </w:r>
          </w:p>
        </w:tc>
        <w:tc>
          <w:tcPr>
            <w:tcW w:w="220" w:type="dxa"/>
            <w:vAlign w:val="bottom"/>
            <w:tcBorders>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3"/>
              </w:rPr>
              <w:t>of Par</w:t>
            </w:r>
          </w:p>
        </w:tc>
        <w:tc>
          <w:tcPr>
            <w:tcW w:w="13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8"/>
              </w:rPr>
              <w:t>Income (Loss)</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0"/>
              </w:rPr>
              <w:t>Earnings</w:t>
            </w:r>
          </w:p>
        </w:tc>
        <w:tc>
          <w:tcPr>
            <w:tcW w:w="9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11,871,307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$ 118,713</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$70,769,165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9,880,062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15,928,345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1,254,492</w:t>
            </w:r>
          </w:p>
        </w:tc>
        <w:tc>
          <w:tcPr>
            <w:tcW w:w="11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 (3,895,883)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$92,800,402</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9"/>
              </w:rPr>
              <w:t>compensation</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1,447,725</w:t>
            </w: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1,447,725</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104,030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1,040</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deducted from</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restricted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stock</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awards for</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withholding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(27,718)</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(190,815)</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(191,092)</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Acquisition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9"/>
              </w:rPr>
              <w:t>treasury stock</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216,914</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(1,671,598)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(1,671,598)</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(1,274,797)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(1,274,797)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(9,606,001)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(9,606,001)</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unrealized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losses 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available-</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ind w:left="220"/>
              <w:spacing w:after="0" w:line="201" w:lineRule="exact"/>
              <w:rPr>
                <w:sz w:val="20"/>
                <w:szCs w:val="20"/>
                <w:color w:val="auto"/>
              </w:rPr>
            </w:pPr>
            <w:r>
              <w:rPr>
                <w:rFonts w:ascii="Arial" w:cs="Arial" w:eastAsia="Arial" w:hAnsi="Arial"/>
                <w:sz w:val="18"/>
                <w:szCs w:val="18"/>
                <w:color w:val="auto"/>
              </w:rPr>
              <w:t>for-sale</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securities, net</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(3,673,382)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(3,673,382)</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20"/>
                <w:szCs w:val="20"/>
                <w:color w:val="auto"/>
              </w:rPr>
            </w:pPr>
            <w:r>
              <w:rPr>
                <w:rFonts w:ascii="Arial" w:cs="Arial" w:eastAsia="Arial" w:hAnsi="Arial"/>
                <w:sz w:val="18"/>
                <w:szCs w:val="18"/>
                <w:color w:val="auto"/>
              </w:rPr>
              <w:t>of tax</w:t>
            </w: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4"/>
              </w:rPr>
              <w:t>September 30,</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8"/>
                <w:szCs w:val="18"/>
                <w:color w:val="auto"/>
              </w:rPr>
            </w:pPr>
          </w:p>
        </w:tc>
        <w:tc>
          <w:tcPr>
            <w:tcW w:w="6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7"/>
              </w:rPr>
              <w:t>11,947,619</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119,476</w:t>
            </w:r>
          </w:p>
        </w:tc>
        <w:tc>
          <w:tcPr>
            <w:tcW w:w="11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72,025,035</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6,206,680</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5,047,547</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7"/>
              </w:rPr>
              <w:t>1,471,406</w:t>
            </w:r>
          </w:p>
        </w:tc>
        <w:tc>
          <w:tcPr>
            <w:tcW w:w="116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(5,567,481</w:t>
            </w:r>
            <w:r>
              <w:rPr>
                <w:rFonts w:ascii="Arial" w:cs="Arial" w:eastAsia="Arial" w:hAnsi="Arial"/>
                <w:sz w:val="35"/>
                <w:szCs w:val="35"/>
                <w:color w:val="auto"/>
                <w:w w:val="93"/>
                <w:vertAlign w:val="subscript"/>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77,831,257</w:t>
            </w:r>
          </w:p>
        </w:tc>
        <w:tc>
          <w:tcPr>
            <w:tcW w:w="0" w:type="dxa"/>
            <w:vAlign w:val="bottom"/>
          </w:tcPr>
          <w:p>
            <w:pPr>
              <w:spacing w:after="0"/>
              <w:rPr>
                <w:sz w:val="1"/>
                <w:szCs w:val="1"/>
                <w:color w:val="auto"/>
              </w:rPr>
            </w:pPr>
          </w:p>
        </w:tc>
      </w:tr>
      <w:tr>
        <w:trPr>
          <w:trHeight w:val="190"/>
        </w:trPr>
        <w:tc>
          <w:tcPr>
            <w:tcW w:w="1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2021</w:t>
            </w:r>
          </w:p>
        </w:tc>
        <w:tc>
          <w:tcPr>
            <w:tcW w:w="56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20" w:type="dxa"/>
            <w:vAlign w:val="bottom"/>
            <w:tcBorders>
              <w:left w:val="single" w:sz="8" w:color="CCEEFF"/>
            </w:tcBorders>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100" w:type="dxa"/>
            <w:vAlign w:val="bottom"/>
            <w:tcBorders>
              <w:right w:val="single" w:sz="8" w:color="CCEEFF"/>
            </w:tcBorders>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1020" w:type="dxa"/>
            <w:vAlign w:val="bottom"/>
            <w:tcBorders>
              <w:right w:val="single" w:sz="8" w:color="CCEEFF"/>
            </w:tcBorders>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60" w:type="dxa"/>
            <w:vAlign w:val="bottom"/>
            <w:tcBorders>
              <w:right w:val="single" w:sz="8" w:color="CCEEFF"/>
            </w:tcBorders>
            <w:gridSpan w:val="3"/>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4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220" w:type="dxa"/>
            <w:vAlign w:val="bottom"/>
            <w:tcBorders>
              <w:left w:val="single" w:sz="8" w:color="auto"/>
            </w:tcBorders>
            <w:shd w:val="clear" w:color="auto" w:fill="CCEEFF"/>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40" w:type="dxa"/>
            <w:vAlign w:val="bottom"/>
            <w:tcBorders>
              <w:right w:val="single" w:sz="8" w:color="auto"/>
            </w:tcBorders>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Nine months ended September 30,</w:t>
            </w:r>
          </w:p>
        </w:tc>
        <w:tc>
          <w:tcPr>
            <w:tcW w:w="12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425"/>
        </w:trPr>
        <w:tc>
          <w:tcPr>
            <w:tcW w:w="8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(9,606,001)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(2,063,869)</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Adjustments to reconcile net loss to net cash flows provided by (used in)</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Net gains on sale of investments</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(2,793,522)</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(857,650)</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gains on equity investments</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(592,397)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2,740,489</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Net unrealized gains of other investments</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(2,094,283)</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(244,165)</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2,480,085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2,070,435</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Bad debt expense</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150,024</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70,666</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bond premium, net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165,413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518,146</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Amortization of discount and issuance costs on long-term debt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132,135</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132,135</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1,447,725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1,373,283</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Deferred income tax (benefit) expense</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(2,642,595)</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1,154,475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Premiums receivable, net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360,296</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(1,247,963)</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receivables, net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22,498,715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(14,778,870)</w:t>
            </w:r>
          </w:p>
        </w:tc>
      </w:tr>
    </w:tbl>
    <w:p>
      <w:pPr>
        <w:sectPr>
          <w:pgSz w:w="11900" w:h="16838" w:orient="portrait"/>
          <w:cols w:equalWidth="0" w:num="1">
            <w:col w:w="11240"/>
          </w:cols>
          <w:pgMar w:left="320" w:top="134"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(1,119,401)</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718,053</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(406,756)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(2,010,253)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Increase (decrease) in operating liabilities: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18,242,890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4,480,413</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2,644,506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(2,215,602)</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premiums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2,665,160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1,727,744</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(2,713,643)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(1,652,075)</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(528,256)</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267,109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1,147,858</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(used in) operating activities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29,079,787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(9,465,006)</w:t>
            </w:r>
          </w:p>
        </w:tc>
      </w:tr>
      <w:tr>
        <w:trPr>
          <w:trHeight w:val="210"/>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Purchase - fixed-maturity securities held-to-maturity</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(3,175,686)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(4,041,750)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 fixed-maturity securities available-for-sale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(32,753,786)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(12,447,259)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Purchase - equity securities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(17,834,076)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(15,614,675)</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 other investments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Redemption - fixed-maturity securities held-to-maturity</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1,312,500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Sale or maturity - fixed-maturity securities available-for-sale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33,335,036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29,666,158</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Sale - equity securities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14,507,384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8,103,697</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Sale - real estate partnership</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233,798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(2,923,124)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(2,238,432)</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provided by investing activities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(9,297,954)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3,927,739</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Withholding taxes paid on vested retricted stock awards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(191,092)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(133,937)</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(1,671,598)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(801,788)</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(1,274,797)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(1,530,390)</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financing activities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(3,137,487)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(2,466,115)</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16,644,346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(8,003,382)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19,463,742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32,391,485</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36,108,088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24,388,103</w:t>
            </w:r>
          </w:p>
        </w:tc>
      </w:tr>
      <w:tr>
        <w:trPr>
          <w:trHeight w:val="216"/>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388,000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Kingstone Companies, Inc. (referred to herein as "Kingstone" or the “Company”), through its wholly 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Although New Jersey, Rhode Island, Massachusetts and Connecticut continue to be growing markets for the Company, 79.4% and 77.5% of KICO’s direct written premiums for the three months and nine months ended September 30, 2021, respectively, came from the New York policies. Kingstone, through its wholly owned subsidiary, Cosi Agency, Inc. (“Cosi”), a multi-state licensed general agency, accesses alternate forms of distribution outside of the independent agent and broker network, through which KICO currently distributes its various products.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2020 and notes thereto included in the Company’s Annual Report on Form 10-K filed with the Securities and Exchange Commission (the “SEC”) on March 31, 2021.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nine months ended September 30, 2021 may not be indicative of the results that may be expected for the year ending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balances were reclassified to conform with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w:t>
      </w:r>
    </w:p>
    <w:p>
      <w:pPr>
        <w:sectPr>
          <w:pgSz w:w="11900" w:h="16838" w:orient="portrait"/>
          <w:cols w:equalWidth="0" w:num="1">
            <w:col w:w="11240"/>
          </w:cols>
          <w:pgMar w:left="320" w:top="125" w:right="339" w:bottom="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loss adjustment expenses, and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condensed consolidated financial statements consist of Kingstone and its following wholly owned subsidiaries: (1) KICO and its wholly 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December 2019, the Financial Accounting Standards Board (the “FASB”) issued Accounting Standards Update (“ASU”) 2019-12, Income Taxes - Simplifying the Accounting for Income Taxes (“ASU 2019-12”). Among other items, the amendments in ASU 2019-12 simplify the accounting treatment of tax law changes and year-to-date losses in interim periods. An entity generally recognizes the effects of a change in tax law in the period of enactment; however, there is an exception for tax laws with delayed effective dates. Under current guidance, an entity may not adjust its annual effective tax rate for a tax law change until the period in which the law is effective. This exception was removed under ASU 2019-12, thereby providing that all effects of a tax law change are recognized in the period of enactment, including adjustment of the estimated annual effective tax rate. Regarding year-to-date losses in interim periods, an entity is required to estimate its annual effective tax rate for the full fiscal year at the end of each interim period and use that rate to calculate its income taxes on a year-to-date basis. However, current guidance provides an exception that when a loss in an interim period exceeds the anticipated loss for the year, the income tax benefit is limited to the amount that would be recognized if the year-to-date loss were the anticipated loss for the full year. ASU 2019-12 removes this exception and provides that, in this situation, an entity would compute its income tax benefit at each interim period based on its estimated annual effective tax rate. ASU 2019-12 is effective for fiscal years beginning after December 15, 2020, including interim periods within those annual periods. The Company adopted this ASU as of January 1, 2021, and it did not have a material impact on the Company's condensed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for the Company on January 1, 2023. The Company is currently evaluating the effect the updated guidance will have on its condensed consolidated financial statements.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estimated fair value, and unrealized gains and losses on investments in fixed-maturity securities classified as available-for-sale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December 31, 2020 are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 2021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Cost or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24"/>
                <w:szCs w:val="2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6"/>
              </w:rPr>
              <w:t>Gross Unrealized Losses</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24"/>
                <w:szCs w:val="2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r>
      <w:tr>
        <w:trPr>
          <w:trHeight w:val="191"/>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5"/>
              </w:rPr>
              <w:t>Less than</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9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12</w:t>
            </w:r>
          </w:p>
        </w:tc>
        <w:tc>
          <w:tcPr>
            <w:tcW w:w="110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9"/>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Months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Gains</w:t>
            </w:r>
          </w:p>
        </w:tc>
      </w:tr>
      <w:tr>
        <w:trPr>
          <w:trHeight w:val="426"/>
        </w:trPr>
        <w:tc>
          <w:tcPr>
            <w:tcW w:w="4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  2,002,935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center"/>
              <w:ind w:right="650"/>
              <w:spacing w:after="0"/>
              <w:rPr>
                <w:sz w:val="20"/>
                <w:szCs w:val="20"/>
                <w:color w:val="auto"/>
              </w:rPr>
            </w:pPr>
            <w:r>
              <w:rPr>
                <w:rFonts w:ascii="Arial" w:cs="Arial" w:eastAsia="Arial" w:hAnsi="Arial"/>
                <w:sz w:val="18"/>
                <w:szCs w:val="18"/>
                <w:color w:val="auto"/>
              </w:rPr>
              <w:t>-   $</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rPr>
              <w:t>$  2,006,880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Political subdivisions of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03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032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8" w:name="page9"/>
    <w:bookmarkEnd w:id="8"/>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14,384,428</w:t>
            </w: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259,721</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(89,844)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14,554,305</w:t>
            </w: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169,877</w:t>
            </w: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88,059,505</w:t>
            </w: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7,391,053</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(27,577)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95,422,981</w:t>
            </w: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7,363,476</w:t>
            </w: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40,988,538</w:t>
            </w: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561,035</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(243,639)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(858)</w:t>
            </w:r>
          </w:p>
        </w:tc>
        <w:tc>
          <w:tcPr>
            <w:tcW w:w="1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41,305,076</w:t>
            </w: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316,538</w:t>
            </w:r>
          </w:p>
        </w:tc>
      </w:tr>
      <w:tr>
        <w:trPr>
          <w:trHeight w:val="20"/>
        </w:trPr>
        <w:tc>
          <w:tcPr>
            <w:tcW w:w="4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3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145,435,406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$ 8,215,754</w:t>
            </w:r>
          </w:p>
        </w:tc>
        <w:tc>
          <w:tcPr>
            <w:tcW w:w="3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line="210" w:lineRule="exact"/>
              <w:rPr>
                <w:sz w:val="20"/>
                <w:szCs w:val="20"/>
                <w:color w:val="auto"/>
              </w:rPr>
            </w:pPr>
            <w:r>
              <w:rPr>
                <w:rFonts w:ascii="Arial" w:cs="Arial" w:eastAsia="Arial" w:hAnsi="Arial"/>
                <w:sz w:val="14"/>
                <w:szCs w:val="14"/>
                <w:color w:val="auto"/>
              </w:rPr>
              <w:t>(361,060</w:t>
            </w:r>
            <w:r>
              <w:rPr>
                <w:rFonts w:ascii="Arial" w:cs="Arial" w:eastAsia="Arial" w:hAnsi="Arial"/>
                <w:sz w:val="24"/>
                <w:szCs w:val="24"/>
                <w:color w:val="auto"/>
                <w:vertAlign w:val="subscript"/>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line="210" w:lineRule="exact"/>
              <w:rPr>
                <w:sz w:val="20"/>
                <w:szCs w:val="20"/>
                <w:color w:val="auto"/>
              </w:rPr>
            </w:pPr>
            <w:r>
              <w:rPr>
                <w:rFonts w:ascii="Arial" w:cs="Arial" w:eastAsia="Arial" w:hAnsi="Arial"/>
                <w:sz w:val="14"/>
                <w:szCs w:val="14"/>
                <w:color w:val="auto"/>
              </w:rPr>
              <w:t>(858</w:t>
            </w:r>
            <w:r>
              <w:rPr>
                <w:rFonts w:ascii="Arial" w:cs="Arial" w:eastAsia="Arial" w:hAnsi="Arial"/>
                <w:sz w:val="24"/>
                <w:szCs w:val="24"/>
                <w:color w:val="auto"/>
                <w:vertAlign w:val="subscript"/>
              </w:rPr>
              <w:t>)</w:t>
            </w:r>
          </w:p>
        </w:tc>
        <w:tc>
          <w:tcPr>
            <w:tcW w:w="124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153,289,242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$ 7,853,836</w:t>
            </w:r>
          </w:p>
        </w:tc>
      </w:tr>
      <w:tr>
        <w:trPr>
          <w:trHeight w:val="41"/>
        </w:trPr>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432"/>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8"/>
                <w:szCs w:val="18"/>
                <w:b w:val="1"/>
                <w:bCs w:val="1"/>
                <w:color w:val="auto"/>
                <w:w w:val="91"/>
              </w:rPr>
              <w:t>December 31, 2020</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Cost or</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Gross</w:t>
            </w:r>
          </w:p>
        </w:tc>
        <w:tc>
          <w:tcPr>
            <w:tcW w:w="140" w:type="dxa"/>
            <w:vAlign w:val="bottom"/>
          </w:tcPr>
          <w:p>
            <w:pPr>
              <w:spacing w:after="0"/>
              <w:rPr>
                <w:sz w:val="24"/>
                <w:szCs w:val="24"/>
                <w:color w:val="auto"/>
              </w:rPr>
            </w:pPr>
          </w:p>
        </w:tc>
        <w:tc>
          <w:tcPr>
            <w:tcW w:w="2200" w:type="dxa"/>
            <w:vAlign w:val="bottom"/>
            <w:gridSpan w:val="10"/>
          </w:tcPr>
          <w:p>
            <w:pPr>
              <w:ind w:left="60"/>
              <w:spacing w:after="0"/>
              <w:rPr>
                <w:sz w:val="20"/>
                <w:szCs w:val="20"/>
                <w:color w:val="auto"/>
              </w:rPr>
            </w:pPr>
            <w:r>
              <w:rPr>
                <w:rFonts w:ascii="Arial" w:cs="Arial" w:eastAsia="Arial" w:hAnsi="Arial"/>
                <w:sz w:val="18"/>
                <w:szCs w:val="18"/>
                <w:b w:val="1"/>
                <w:bCs w:val="1"/>
                <w:color w:val="auto"/>
                <w:w w:val="97"/>
              </w:rPr>
              <w:t>Gross Unrealized Losses</w:t>
            </w:r>
          </w:p>
        </w:tc>
        <w:tc>
          <w:tcPr>
            <w:tcW w:w="100" w:type="dxa"/>
            <w:vAlign w:val="bottom"/>
          </w:tcPr>
          <w:p>
            <w:pPr>
              <w:spacing w:after="0"/>
              <w:rPr>
                <w:sz w:val="24"/>
                <w:szCs w:val="2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Net</w:t>
            </w:r>
          </w:p>
        </w:tc>
      </w:tr>
      <w:tr>
        <w:trPr>
          <w:trHeight w:val="191"/>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gridSpan w:val="5"/>
          </w:tcPr>
          <w:p>
            <w:pPr>
              <w:ind w:left="60"/>
              <w:spacing w:after="0" w:line="191" w:lineRule="exact"/>
              <w:rPr>
                <w:sz w:val="20"/>
                <w:szCs w:val="20"/>
                <w:color w:val="auto"/>
              </w:rPr>
            </w:pPr>
            <w:r>
              <w:rPr>
                <w:rFonts w:ascii="Arial" w:cs="Arial" w:eastAsia="Arial" w:hAnsi="Arial"/>
                <w:sz w:val="18"/>
                <w:szCs w:val="18"/>
                <w:b w:val="1"/>
                <w:bCs w:val="1"/>
                <w:color w:val="auto"/>
              </w:rPr>
              <w:t>Less than</w:t>
            </w:r>
          </w:p>
        </w:tc>
        <w:tc>
          <w:tcPr>
            <w:tcW w:w="880" w:type="dxa"/>
            <w:vAlign w:val="bottom"/>
            <w:tcBorders>
              <w:top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2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Amortized</w:t>
            </w:r>
          </w:p>
        </w:tc>
        <w:tc>
          <w:tcPr>
            <w:tcW w:w="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4"/>
              </w:rPr>
              <w:t>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274"/>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114"/>
              <w:spacing w:after="0"/>
              <w:rPr>
                <w:sz w:val="20"/>
                <w:szCs w:val="20"/>
                <w:color w:val="auto"/>
              </w:rPr>
            </w:pPr>
            <w:r>
              <w:rPr>
                <w:rFonts w:ascii="Arial" w:cs="Arial" w:eastAsia="Arial" w:hAnsi="Arial"/>
                <w:sz w:val="18"/>
                <w:szCs w:val="18"/>
                <w:b w:val="1"/>
                <w:bCs w:val="1"/>
                <w:color w:val="auto"/>
                <w:w w:val="89"/>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430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Gains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20"/>
                <w:szCs w:val="20"/>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20"/>
                <w:szCs w:val="20"/>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Gains</w:t>
            </w:r>
          </w:p>
        </w:tc>
      </w:tr>
      <w:tr>
        <w:trPr>
          <w:trHeight w:val="426"/>
        </w:trPr>
        <w:tc>
          <w:tcPr>
            <w:tcW w:w="4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3,020,710</w:t>
            </w: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29,190</w:t>
            </w:r>
          </w:p>
        </w:tc>
        <w:tc>
          <w:tcPr>
            <w:tcW w:w="360" w:type="dxa"/>
            <w:vAlign w:val="bottom"/>
            <w:tcBorders>
              <w:left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3,049,900</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29,190</w:t>
            </w: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5,287,561</w:t>
            </w:r>
          </w:p>
        </w:tc>
        <w:tc>
          <w:tcPr>
            <w:tcW w:w="16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355,541</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5,643,102</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355,541</w:t>
            </w: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108,573,422</w:t>
            </w:r>
          </w:p>
        </w:tc>
        <w:tc>
          <w:tcPr>
            <w:tcW w:w="16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11,634,123</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(13,216)</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$ 120,194,329</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11,620,907</w:t>
            </w: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 (1)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28,163,891</w:t>
            </w:r>
          </w:p>
        </w:tc>
        <w:tc>
          <w:tcPr>
            <w:tcW w:w="16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617,368</w:t>
            </w:r>
          </w:p>
        </w:tc>
        <w:tc>
          <w:tcPr>
            <w:tcW w:w="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(7,371)</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(111,947)</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28,661,941</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498,050</w:t>
            </w:r>
          </w:p>
        </w:tc>
      </w:tr>
      <w:tr>
        <w:trPr>
          <w:trHeight w:val="20"/>
        </w:trPr>
        <w:tc>
          <w:tcPr>
            <w:tcW w:w="4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145,045,584</w:t>
            </w:r>
          </w:p>
        </w:tc>
        <w:tc>
          <w:tcPr>
            <w:tcW w:w="16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12,636,222</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line="210" w:lineRule="exact"/>
              <w:rPr>
                <w:sz w:val="20"/>
                <w:szCs w:val="20"/>
                <w:color w:val="auto"/>
              </w:rPr>
            </w:pPr>
            <w:r>
              <w:rPr>
                <w:rFonts w:ascii="Arial" w:cs="Arial" w:eastAsia="Arial" w:hAnsi="Arial"/>
                <w:sz w:val="14"/>
                <w:szCs w:val="14"/>
                <w:color w:val="auto"/>
              </w:rPr>
              <w:t>(20,587</w:t>
            </w:r>
            <w:r>
              <w:rPr>
                <w:rFonts w:ascii="Arial" w:cs="Arial" w:eastAsia="Arial" w:hAnsi="Arial"/>
                <w:sz w:val="24"/>
                <w:szCs w:val="24"/>
                <w:color w:val="auto"/>
                <w:vertAlign w:val="subscript"/>
              </w:rPr>
              <w:t>)</w:t>
            </w:r>
          </w:p>
        </w:tc>
        <w:tc>
          <w:tcPr>
            <w:tcW w:w="140" w:type="dxa"/>
            <w:vAlign w:val="bottom"/>
          </w:tcPr>
          <w:p>
            <w:pPr>
              <w:spacing w:after="0"/>
              <w:rPr>
                <w:sz w:val="18"/>
                <w:szCs w:val="18"/>
                <w:color w:val="auto"/>
              </w:rPr>
            </w:pPr>
          </w:p>
        </w:tc>
        <w:tc>
          <w:tcPr>
            <w:tcW w:w="22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line="210" w:lineRule="exact"/>
              <w:rPr>
                <w:sz w:val="20"/>
                <w:szCs w:val="20"/>
                <w:color w:val="auto"/>
              </w:rPr>
            </w:pPr>
            <w:r>
              <w:rPr>
                <w:rFonts w:ascii="Arial" w:cs="Arial" w:eastAsia="Arial" w:hAnsi="Arial"/>
                <w:sz w:val="14"/>
                <w:szCs w:val="14"/>
                <w:color w:val="auto"/>
              </w:rPr>
              <w:t>(111,947</w:t>
            </w:r>
            <w:r>
              <w:rPr>
                <w:rFonts w:ascii="Arial" w:cs="Arial" w:eastAsia="Arial" w:hAnsi="Arial"/>
                <w:sz w:val="24"/>
                <w:szCs w:val="24"/>
                <w:color w:val="auto"/>
                <w:vertAlign w:val="subscript"/>
              </w:rPr>
              <w:t>)</w:t>
            </w:r>
          </w:p>
        </w:tc>
        <w:tc>
          <w:tcPr>
            <w:tcW w:w="1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157,549,272</w:t>
            </w:r>
          </w:p>
        </w:tc>
        <w:tc>
          <w:tcPr>
            <w:tcW w:w="1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12,503,688</w:t>
            </w:r>
          </w:p>
        </w:tc>
      </w:tr>
      <w:tr>
        <w:trPr>
          <w:trHeight w:val="40"/>
        </w:trPr>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right w:val="single" w:sz="8" w:color="auto"/>
            </w:tcBorders>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right w:val="single" w:sz="8" w:color="auto"/>
            </w:tcBorders>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right w:val="single" w:sz="8" w:color="auto"/>
            </w:tcBorders>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2" w:lineRule="exact"/>
        <w:rPr>
          <w:sz w:val="20"/>
          <w:szCs w:val="20"/>
          <w:color w:val="auto"/>
        </w:rPr>
      </w:pPr>
    </w:p>
    <w:p>
      <w:pPr>
        <w:jc w:val="both"/>
        <w:ind w:left="460" w:hanging="334"/>
        <w:spacing w:after="0" w:line="275"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KICO placed certain residential mortgage backed securities as eligible collateral in a designated custodian account related to its membership in the Federal Home Loan Bank of New York ("FHLBNY") (see Note 7). The eligible collateral would be pledged to FHLBNY if KICO draws an advance from the FHLBNY credit line. As of September 30, 2021 KICO did not have any securities pledged as collateral. As of December 31, 2020, the estimated fair value of the eligible investments was approximately $11,391,000. KICO will retain all rights regarding all securities if pledged as collateral. As of December 31, 2020, there was no outstanding balance on the FHLBNY credit line.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available-for-sale fixed-maturity securities by contractual maturity as of September 30, 2021 and December 31, 2020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4,161,386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4,184,568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8,559,005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8,668,064</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40,877,043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43,947,314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44,137,567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47,745,430</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42,375,537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46,545,324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55,508,712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63,159,775</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17,032,902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17,306,960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8,676,409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9,314,062</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40,988,538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41,305,076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28,163,891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28,661,941</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145,435,406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153,289,242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145,045,584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157,549,272</w:t>
            </w:r>
          </w:p>
        </w:tc>
      </w:tr>
      <w:tr>
        <w:trPr>
          <w:trHeight w:val="40"/>
        </w:trPr>
        <w:tc>
          <w:tcPr>
            <w:tcW w:w="5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cost and estimated fair value of, and gross unrealized gains and losses on, investments in equity securities as of September 30, 2021 and December 31, 2020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w w:val="93"/>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21,934,910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1,123,310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(157,431)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22,900,789</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Common stocks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exchange traded funds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15,610,331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1,620,343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17,160,083</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37,545,241</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2,743,653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line="210" w:lineRule="exact"/>
              <w:rPr>
                <w:sz w:val="20"/>
                <w:szCs w:val="20"/>
                <w:color w:val="auto"/>
              </w:rPr>
            </w:pPr>
            <w:r>
              <w:rPr>
                <w:rFonts w:ascii="Arial" w:cs="Arial" w:eastAsia="Arial" w:hAnsi="Arial"/>
                <w:sz w:val="14"/>
                <w:szCs w:val="14"/>
                <w:color w:val="auto"/>
              </w:rPr>
              <w:t>(228,022</w:t>
            </w:r>
            <w:r>
              <w:rPr>
                <w:rFonts w:ascii="Arial" w:cs="Arial" w:eastAsia="Arial" w:hAnsi="Arial"/>
                <w:sz w:val="24"/>
                <w:szCs w:val="24"/>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40,060,872</w:t>
            </w:r>
          </w:p>
        </w:tc>
      </w:tr>
      <w:tr>
        <w:trPr>
          <w:trHeight w:val="41"/>
        </w:trPr>
        <w:tc>
          <w:tcPr>
            <w:tcW w:w="5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198" w:lineRule="exact"/>
        <w:rPr>
          <w:sz w:val="20"/>
          <w:szCs w:val="20"/>
          <w:color w:val="auto"/>
        </w:rPr>
      </w:pPr>
    </w:p>
    <w:p>
      <w:pPr>
        <w:sectPr>
          <w:pgSz w:w="11900" w:h="16841" w:orient="portrait"/>
          <w:cols w:equalWidth="0" w:num="1">
            <w:col w:w="11240"/>
          </w:cols>
          <w:pgMar w:left="320" w:top="140" w:right="339" w:bottom="0" w:gutter="0" w:footer="0" w:header="0"/>
        </w:sectPr>
      </w:pPr>
    </w:p>
    <w:p>
      <w:pPr>
        <w:ind w:left="7860"/>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232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7700"/>
        <w:spacing w:after="0"/>
        <w:tabs>
          <w:tab w:leader="none" w:pos="9020" w:val="left"/>
          <w:tab w:leader="none" w:pos="10160" w:val="left"/>
        </w:tabs>
        <w:rPr>
          <w:sz w:val="20"/>
          <w:szCs w:val="20"/>
          <w:color w:val="auto"/>
        </w:rPr>
      </w:pPr>
      <w:r>
        <w:rPr>
          <w:rFonts w:ascii="Arial" w:cs="Arial" w:eastAsia="Arial" w:hAnsi="Arial"/>
          <w:sz w:val="18"/>
          <w:szCs w:val="18"/>
          <w:b w:val="1"/>
          <w:bCs w:val="1"/>
          <w:color w:val="auto"/>
        </w:rPr>
        <w:t>Gross</w:t>
      </w:r>
      <w:r>
        <w:rPr>
          <w:sz w:val="20"/>
          <w:szCs w:val="20"/>
          <w:color w:val="auto"/>
        </w:rPr>
        <w:tab/>
      </w:r>
      <w:r>
        <w:rPr>
          <w:rFonts w:ascii="Arial" w:cs="Arial" w:eastAsia="Arial" w:hAnsi="Arial"/>
          <w:sz w:val="18"/>
          <w:szCs w:val="18"/>
          <w:b w:val="1"/>
          <w:bCs w:val="1"/>
          <w:color w:val="auto"/>
        </w:rPr>
        <w:t>Gross</w:t>
      </w:r>
      <w:r>
        <w:rPr>
          <w:sz w:val="20"/>
          <w:szCs w:val="20"/>
          <w:color w:val="auto"/>
        </w:rPr>
        <w:tab/>
      </w:r>
      <w:r>
        <w:rPr>
          <w:rFonts w:ascii="Arial" w:cs="Arial" w:eastAsia="Arial" w:hAnsi="Arial"/>
          <w:sz w:val="16"/>
          <w:szCs w:val="16"/>
          <w:b w:val="1"/>
          <w:bCs w:val="1"/>
          <w:color w:val="auto"/>
        </w:rPr>
        <w:t>Estimated</w:t>
      </w:r>
    </w:p>
    <w:p>
      <w:pPr>
        <w:sectPr>
          <w:pgSz w:w="11900" w:h="16841" w:orient="portrait"/>
          <w:cols w:equalWidth="0" w:num="1">
            <w:col w:w="11240"/>
          </w:cols>
          <w:pgMar w:left="320" w:top="140" w:right="339" w:bottom="0" w:gutter="0" w:footer="0" w:header="0"/>
          <w:type w:val="continuous"/>
        </w:sectPr>
      </w:pPr>
    </w:p>
    <w:bookmarkStart w:id="9" w:name="page10"/>
    <w:bookmarkEnd w:id="9"/>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Gains</w:t>
            </w:r>
          </w:p>
        </w:tc>
        <w:tc>
          <w:tcPr>
            <w:tcW w:w="20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3"/>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425"/>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Equity Securities:</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18,097,942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853,277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(426,942)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18,524,277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Common stocks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and exchange traded funds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14,473,224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1,820,512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(404,700)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15,889,036</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32,571,166</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2,673,789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line="210" w:lineRule="exact"/>
              <w:rPr>
                <w:sz w:val="20"/>
                <w:szCs w:val="20"/>
                <w:color w:val="auto"/>
              </w:rPr>
            </w:pPr>
            <w:r>
              <w:rPr>
                <w:rFonts w:ascii="Arial" w:cs="Arial" w:eastAsia="Arial" w:hAnsi="Arial"/>
                <w:sz w:val="14"/>
                <w:szCs w:val="14"/>
                <w:color w:val="auto"/>
              </w:rPr>
              <w:t>(831,642</w:t>
            </w:r>
            <w:r>
              <w:rPr>
                <w:rFonts w:ascii="Arial" w:cs="Arial" w:eastAsia="Arial" w:hAnsi="Arial"/>
                <w:sz w:val="24"/>
                <w:szCs w:val="24"/>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34,413,313</w:t>
            </w:r>
          </w:p>
        </w:tc>
      </w:tr>
      <w:tr>
        <w:trPr>
          <w:trHeight w:val="41"/>
        </w:trPr>
        <w:tc>
          <w:tcPr>
            <w:tcW w:w="5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cost and estimated fair value of, and gross gains on, the Company’s other investments as of September 30, 2021 and December 31, 2020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89"/>
              </w:rPr>
              <w:t>September 30, 2021</w:t>
            </w:r>
          </w:p>
        </w:tc>
        <w:tc>
          <w:tcPr>
            <w:tcW w:w="30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December 31, 2020</w:t>
            </w:r>
          </w:p>
        </w:tc>
      </w:tr>
      <w:tr>
        <w:trPr>
          <w:trHeight w:val="191"/>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Cost</w:t>
            </w: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r>
      <w:tr>
        <w:trPr>
          <w:trHeight w:val="425"/>
        </w:trPr>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Other Investments:</w:t>
            </w: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$ 3,999,381</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$ 3,379,730</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$ 7,379,111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$ 1,999,381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$ 3,368,626</w:t>
            </w:r>
          </w:p>
        </w:tc>
      </w:t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Real estate limited partnership</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0"/>
        </w:trPr>
        <w:tc>
          <w:tcPr>
            <w:tcW w:w="4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$ 3,999,381</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$ 3,379,730</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w w:val="96"/>
              </w:rPr>
              <w:t>$ 7,379,111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$ 2,149,381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$ 3,518,626</w:t>
            </w:r>
          </w:p>
        </w:tc>
      </w:tr>
      <w:tr>
        <w:trPr>
          <w:trHeight w:val="41"/>
        </w:trPr>
        <w:tc>
          <w:tcPr>
            <w:tcW w:w="4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or amortized cost and estimated fair value of, and unrealized gross gains and losses on, investments in held-to-maturity fixed-maturity securities as of September 30, 2021 and December 31, 2020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September 30, 2021</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Cost or</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Gross</w:t>
            </w:r>
          </w:p>
        </w:tc>
        <w:tc>
          <w:tcPr>
            <w:tcW w:w="100" w:type="dxa"/>
            <w:vAlign w:val="bottom"/>
          </w:tcPr>
          <w:p>
            <w:pPr>
              <w:spacing w:after="0"/>
              <w:rPr>
                <w:sz w:val="18"/>
                <w:szCs w:val="18"/>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Gross Unrealized Losses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Less than</w:t>
            </w: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12</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Months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Months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Gains</w:t>
            </w:r>
          </w:p>
        </w:tc>
      </w:tr>
      <w:tr>
        <w:trPr>
          <w:trHeight w:val="425"/>
        </w:trPr>
        <w:tc>
          <w:tcPr>
            <w:tcW w:w="4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729,630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210,466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940,096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210,466</w:t>
            </w:r>
          </w:p>
        </w:tc>
      </w:tr>
      <w:tr>
        <w:trPr>
          <w:trHeight w:val="216"/>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998,296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1,028,040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29,744</w:t>
            </w:r>
          </w:p>
        </w:tc>
      </w:tr>
      <w:tr>
        <w:trPr>
          <w:trHeight w:val="216"/>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304,111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(16,611)</w:t>
            </w: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(16,611)</w:t>
            </w:r>
          </w:p>
        </w:tc>
      </w:tr>
      <w:tr>
        <w:trPr>
          <w:trHeight w:val="216"/>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7,134,946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315,285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(6,363)</w:t>
            </w: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7,443,868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308,922</w:t>
            </w:r>
          </w:p>
        </w:tc>
      </w:tr>
      <w:tr>
        <w:trPr>
          <w:trHeight w:val="209"/>
        </w:trPr>
        <w:tc>
          <w:tcPr>
            <w:tcW w:w="128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6"/>
              </w:rPr>
              <w:t>$ 9,166,983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555,495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(22,974)</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$ 9,699,504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532,521</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35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2"/>
        </w:trPr>
        <w:tc>
          <w:tcPr>
            <w:tcW w:w="484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1280" w:type="dxa"/>
            <w:vAlign w:val="bottom"/>
            <w:tcBorders>
              <w:top w:val="single" w:sz="8" w:color="0000EE"/>
            </w:tcBorders>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Cost or</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Gross</w:t>
            </w:r>
          </w:p>
        </w:tc>
        <w:tc>
          <w:tcPr>
            <w:tcW w:w="100" w:type="dxa"/>
            <w:vAlign w:val="bottom"/>
          </w:tcPr>
          <w:p>
            <w:pPr>
              <w:spacing w:after="0"/>
              <w:rPr>
                <w:sz w:val="18"/>
                <w:szCs w:val="18"/>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Gross Unrealized Losses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Less than</w:t>
            </w: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12</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Months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Months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Gains</w:t>
            </w:r>
          </w:p>
        </w:tc>
      </w:tr>
      <w:tr>
        <w:trPr>
          <w:trHeight w:val="426"/>
        </w:trPr>
        <w:tc>
          <w:tcPr>
            <w:tcW w:w="4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729,595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319,714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$ 1,049,309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319,714</w:t>
            </w:r>
          </w:p>
        </w:tc>
      </w:tr>
      <w:tr>
        <w:trPr>
          <w:trHeight w:val="216"/>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998,428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1,049,345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50,917</w:t>
            </w:r>
          </w:p>
        </w:tc>
      </w:tr>
      <w:tr>
        <w:trPr>
          <w:trHeight w:val="216"/>
        </w:trPr>
        <w:tc>
          <w:tcPr>
            <w:tcW w:w="1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5,640,792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455,378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6,096,170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455,378</w:t>
            </w:r>
          </w:p>
        </w:tc>
      </w:tr>
      <w:tr>
        <w:trPr>
          <w:trHeight w:val="209"/>
        </w:trPr>
        <w:tc>
          <w:tcPr>
            <w:tcW w:w="128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$ 7,368,815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$ 8,194,824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826,009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funds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amortized cost and estimated fair value of the Company’s investments in held-to-maturity securities by contractual maturity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December 31, 2020 is shown below:</w:t>
      </w:r>
    </w:p>
    <w:p>
      <w:pPr>
        <w:spacing w:after="0" w:line="207" w:lineRule="exact"/>
        <w:rPr>
          <w:sz w:val="20"/>
          <w:szCs w:val="20"/>
          <w:color w:val="auto"/>
        </w:rPr>
      </w:pPr>
    </w:p>
    <w:p>
      <w:pPr>
        <w:ind w:left="6520"/>
        <w:spacing w:after="0"/>
        <w:tabs>
          <w:tab w:leader="none" w:pos="9180" w:val="left"/>
        </w:tabs>
        <w:rPr>
          <w:sz w:val="20"/>
          <w:szCs w:val="20"/>
          <w:color w:val="auto"/>
        </w:rPr>
      </w:pPr>
      <w:r>
        <w:rPr>
          <w:rFonts w:ascii="Arial" w:cs="Arial" w:eastAsia="Arial" w:hAnsi="Arial"/>
          <w:sz w:val="18"/>
          <w:szCs w:val="18"/>
          <w:b w:val="1"/>
          <w:bCs w:val="1"/>
          <w:color w:val="auto"/>
        </w:rPr>
        <w:t>September 30, 2021</w:t>
      </w:r>
      <w:r>
        <w:rPr>
          <w:sz w:val="20"/>
          <w:szCs w:val="20"/>
          <w:color w:val="auto"/>
        </w:rPr>
        <w:tab/>
      </w:r>
      <w:r>
        <w:rPr>
          <w:rFonts w:ascii="Arial" w:cs="Arial" w:eastAsia="Arial" w:hAnsi="Arial"/>
          <w:sz w:val="15"/>
          <w:szCs w:val="15"/>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23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ectPr>
          <w:pgSz w:w="11900" w:h="16850" w:orient="portrait"/>
          <w:cols w:equalWidth="0" w:num="1">
            <w:col w:w="11240"/>
          </w:cols>
          <w:pgMar w:left="320" w:top="121" w:right="339" w:bottom="0" w:gutter="0" w:footer="0" w:header="0"/>
        </w:sectPr>
      </w:pPr>
    </w:p>
    <w:bookmarkStart w:id="10" w:name="page11"/>
    <w:bookmarkEnd w:id="1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Estimated</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1,394,102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1,420,414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1,205,500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1,301,973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2,598,193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2,777,936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1,511,072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1,686,289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1,502,603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1,727,316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5,056,309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5,290,828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3,268,019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3,689,572</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9,166,983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9,699,504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7,368,815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8,194,824</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425"/>
        </w:trPr>
        <w:tc>
          <w:tcPr>
            <w:tcW w:w="606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1,288,277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1,264,633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4,238,746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4,106,404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436,833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290,834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1,145,244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787,702</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89,993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42,908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1,777,654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1,557,301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5,395,184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4,984,099</w:t>
            </w: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Investment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257,317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212,163</w:t>
            </w: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1,676,596</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1,494,086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5,137,867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4,771,936</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from the redemption of fixed-maturity securities held-to-maturity were $1,312,500 for the nine months ended September 30, 2021 and $500,000 for the nine months ended September 30,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from the sale or maturity of fixed-maturity securities available-for-sale were $33,335,036 and $29,666,158for the nine months ended September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of equity securities were $14,507,384and $8,103,697for the nine months ended September 30, 2021 and 2020,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6060" w:type="dxa"/>
            <w:vAlign w:val="bottom"/>
            <w:gridSpan w:val="2"/>
          </w:tcPr>
          <w:p>
            <w:pPr>
              <w:spacing w:after="0"/>
              <w:rPr>
                <w:sz w:val="20"/>
                <w:szCs w:val="20"/>
                <w:color w:val="auto"/>
              </w:rPr>
            </w:pPr>
            <w:r>
              <w:rPr>
                <w:rFonts w:ascii="Arial" w:cs="Arial" w:eastAsia="Arial" w:hAnsi="Arial"/>
                <w:sz w:val="18"/>
                <w:szCs w:val="18"/>
                <w:color w:val="auto"/>
                <w:w w:val="97"/>
              </w:rPr>
              <w:t>The Company’s net gains (losses) on investments are summarized as follows: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Realized Gains (Losses)</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343,773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714,162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1,121,068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864,814</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(8,103)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(107,193)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(49,601)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(304,118)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335,670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606,969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1,071,467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560,696</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realized gains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639,626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199,439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2,015,574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644,111</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(209,069)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(293,519)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(449,916)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613,595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(9,630)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1,722,055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194,195</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realized gains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1,033,063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597,339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2,877,320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754,891</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Unrealized Gains (Losses)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gains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(1,331,675)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1,223,779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592,397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6"/>
        </w:trPr>
        <w:tc>
          <w:tcPr>
            <w:tcW w:w="1280" w:type="dxa"/>
            <w:vAlign w:val="bottom"/>
            <w:shd w:val="clear" w:color="auto" w:fill="CCEEFF"/>
          </w:tcPr>
          <w:p>
            <w:pPr>
              <w:spacing w:after="0"/>
              <w:rPr>
                <w:sz w:val="6"/>
                <w:szCs w:val="6"/>
                <w:color w:val="auto"/>
              </w:rPr>
            </w:pPr>
          </w:p>
        </w:tc>
        <w:tc>
          <w:tcPr>
            <w:tcW w:w="47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losses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(2,637,730)</w:t>
            </w:r>
          </w:p>
        </w:tc>
      </w:tr>
      <w:tr>
        <w:trPr>
          <w:trHeight w:val="20"/>
        </w:trPr>
        <w:tc>
          <w:tcPr>
            <w:tcW w:w="1440" w:type="dxa"/>
            <w:vAlign w:val="bottom"/>
            <w:shd w:val="clear" w:color="auto" w:fill="CCEEFF"/>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4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(1,331,675)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1,223,779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592,397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(2,637,730)</w:t>
            </w:r>
          </w:p>
        </w:tc>
      </w:tr>
      <w:tr>
        <w:trPr>
          <w:trHeight w:val="209"/>
        </w:trPr>
        <w:tc>
          <w:tcPr>
            <w:tcW w:w="14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gains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286,758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2,010,485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244,165</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losses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4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4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286,758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2,010,485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244,165</w:t>
            </w:r>
          </w:p>
        </w:tc>
      </w:tr>
      <w:tr>
        <w:trPr>
          <w:trHeight w:val="210"/>
        </w:trPr>
        <w:tc>
          <w:tcPr>
            <w:tcW w:w="144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gains (losses)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(828,529)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1,510,537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2,602,882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(2,393,565)</w:t>
            </w:r>
          </w:p>
        </w:tc>
      </w:tr>
      <w:tr>
        <w:trPr>
          <w:trHeight w:val="209"/>
        </w:trPr>
        <w:tc>
          <w:tcPr>
            <w:tcW w:w="144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(losses) on investments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204,534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2,107,876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5,480,202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(1,638,674)</w:t>
            </w:r>
          </w:p>
        </w:tc>
      </w:tr>
      <w:tr>
        <w:trPr>
          <w:trHeight w:val="372"/>
        </w:trPr>
        <w:tc>
          <w:tcPr>
            <w:tcW w:w="60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Impairment Review</w:t>
            </w: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income (loss). The credit loss component recognized in earnings is identified as the amount of principal cash flows not expected to be received over the remaining term of the security based on cash flow projections. For held-to-maturity fixed-maturity securities, the amount of OTTI recorded in comprehensive income (loss) for the noncredit portion of a previous OTTI is amortized prospectively over the remaining life of the security based on timing of future estimated cash flows of the security.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OTTI losses are recorded in the consolidated statements of operations and comprehensive income (loss) as net realized losses on investments and result in a permanent reduction of the cost basis of the underlying investment. The determination of OTTI is a subjective process and different judgments and assumptions could affect the timing of loss realization. At September 30, 2021 and December 31, 2020, there were 25 and 16 fixed-maturity securities, respectively, that accounted for the gross unrealized losses. The Company determined that none of the unrealized losses were deemed to be OTTI for its portfolio of investments for the nine months ended September 30, 2021 and 2020. Significant factors influencing the Company’s determination that unrealized losses were temporary included the magnitude of the unrealized losses in relation to each security’s cost, the nature of the investment and management’s intent and ability to hold the investment for a period of time sufficient to allow for an anticipated recovery of estimated fair value to the Company’s cost basis.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September 30, 2021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September 30, 2021</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2780" w:type="dxa"/>
            <w:vAlign w:val="bottom"/>
            <w:gridSpan w:val="8"/>
          </w:tcPr>
          <w:p>
            <w:pPr>
              <w:ind w:left="56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ind w:left="68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88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2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r>
      <w:tr>
        <w:trPr>
          <w:trHeight w:val="425"/>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government corporations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agencies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9,106,494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(89,844)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9,106,494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(89,844)</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1,071,100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(27,577)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1,071,100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(27,577)</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27,039,698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(243,639)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27,052,134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(244,497)</w:t>
            </w:r>
          </w:p>
        </w:tc>
      </w:tr>
      <w:tr>
        <w:trPr>
          <w:trHeight w:val="210"/>
        </w:trPr>
        <w:tc>
          <w:tcPr>
            <w:tcW w:w="12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37,217,292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(361,060)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37,229,728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(361,918)</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16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December 31, 2020 as follows:</w:t>
      </w:r>
    </w:p>
    <w:p>
      <w:pPr>
        <w:sectPr>
          <w:pgSz w:w="11900" w:h="16838" w:orient="portrait"/>
          <w:cols w:equalWidth="0" w:num="1">
            <w:col w:w="11240"/>
          </w:cols>
          <w:pgMar w:left="320" w:top="140" w:right="3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8"/>
                <w:szCs w:val="18"/>
                <w:b w:val="1"/>
                <w:bCs w:val="1"/>
                <w:color w:val="auto"/>
                <w:w w:val="97"/>
              </w:rPr>
              <w:t>December 31, 2020</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8"/>
          </w:tcPr>
          <w:p>
            <w:pPr>
              <w:ind w:left="60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ind w:left="68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r>
      <w:tr>
        <w:trPr>
          <w:trHeight w:val="425"/>
        </w:trPr>
        <w:tc>
          <w:tcPr>
            <w:tcW w:w="29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government corporations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agencies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1,006,901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1,006,901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(13,216)</w:t>
            </w: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6,137,522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3,735,732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(111,947)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9,873,254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(119,318)</w:t>
            </w:r>
          </w:p>
        </w:tc>
      </w:tr>
      <w:tr>
        <w:trPr>
          <w:trHeight w:val="210"/>
        </w:trPr>
        <w:tc>
          <w:tcPr>
            <w:tcW w:w="1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7,144,423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(20,587)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3,735,732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(111,947)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10,880,155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(132,534)</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16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Note 4 - Fair Value Measurements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the Company’s investments that are measured at fair value on a recurring basis at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indicating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425"/>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government corporations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and agencies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2,006,880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2,006,880</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14,554,305</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14,554,305</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94,403,401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1,019,580</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95,422,981</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41,305,076</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41,305,076</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Total fixed maturities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96,410,281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56,878,961</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153,289,242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40,060,872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40,060,872</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Total investments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136,471,153</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56,878,961</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193,350,114</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425"/>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government corporations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and agencies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3,049,900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3,049,900</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5,643,102</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5,643,102</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118,123,890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2,070,439</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120,194,329</w:t>
            </w:r>
          </w:p>
        </w:tc>
      </w:tr>
    </w:tbl>
    <w:p>
      <w:pPr>
        <w:sectPr>
          <w:pgSz w:w="11900" w:h="16838" w:orient="portrait"/>
          <w:cols w:equalWidth="0" w:num="1">
            <w:col w:w="11240"/>
          </w:cols>
          <w:pgMar w:left="320" w:top="337"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28,661,941</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28,661,941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2"/>
          </w:tcPr>
          <w:p>
            <w:pPr>
              <w:spacing w:after="0"/>
              <w:rPr>
                <w:sz w:val="20"/>
                <w:szCs w:val="20"/>
                <w:color w:val="auto"/>
              </w:rPr>
            </w:pPr>
            <w:r>
              <w:rPr>
                <w:rFonts w:ascii="Arial" w:cs="Arial" w:eastAsia="Arial" w:hAnsi="Arial"/>
                <w:sz w:val="18"/>
                <w:szCs w:val="18"/>
                <w:color w:val="auto"/>
              </w:rPr>
              <w:t>Total fixed maturities</w:t>
            </w:r>
          </w:p>
        </w:tc>
        <w:tc>
          <w:tcPr>
            <w:tcW w:w="1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121,173,790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36,375,482</w:t>
            </w:r>
          </w:p>
        </w:tc>
        <w:tc>
          <w:tcPr>
            <w:tcW w:w="5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157,549,272</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34,413,313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34,413,313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640" w:type="dxa"/>
            <w:vAlign w:val="bottom"/>
            <w:gridSpan w:val="3"/>
          </w:tcPr>
          <w:p>
            <w:pPr>
              <w:jc w:val="right"/>
              <w:ind w:right="220"/>
              <w:spacing w:after="0"/>
              <w:rPr>
                <w:sz w:val="20"/>
                <w:szCs w:val="20"/>
                <w:color w:val="auto"/>
              </w:rPr>
            </w:pPr>
            <w:r>
              <w:rPr>
                <w:rFonts w:ascii="Arial" w:cs="Arial" w:eastAsia="Arial" w:hAnsi="Arial"/>
                <w:sz w:val="18"/>
                <w:szCs w:val="18"/>
                <w:color w:val="auto"/>
              </w:rPr>
              <w:t>$  155,587,103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  36,375,482</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191,962,585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20" w:type="dxa"/>
            <w:vAlign w:val="bottom"/>
            <w:vMerge w:val="restart"/>
          </w:tcPr>
          <w:p>
            <w:pPr>
              <w:jc w:val="right"/>
              <w:ind w:right="250"/>
              <w:spacing w:after="0"/>
              <w:rPr>
                <w:sz w:val="20"/>
                <w:szCs w:val="20"/>
                <w:color w:val="auto"/>
              </w:rPr>
            </w:pPr>
            <w:r>
              <w:rPr>
                <w:rFonts w:ascii="Arial" w:cs="Arial" w:eastAsia="Arial" w:hAnsi="Arial"/>
                <w:sz w:val="18"/>
                <w:szCs w:val="18"/>
                <w:color w:val="auto"/>
              </w:rPr>
              <w:t>18</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3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sets forth the Company’s investment in a hedge fund and real estate limited partnership both measured at Net Asset Value (“NAV”) per share as of September 30, 2021 and December 31, 2020. The Company measures these investments at fair value on a recurring basis. Fair value using NAV per share is as follows as of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2021</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2020</w:t>
            </w:r>
          </w:p>
        </w:tc>
      </w:tr>
      <w:tr>
        <w:trPr>
          <w:trHeight w:val="426"/>
        </w:trPr>
        <w:tc>
          <w:tcPr>
            <w:tcW w:w="7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Other Investments:</w:t>
            </w: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7,379,111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3,368,626</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limited partnership</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7,379,111</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3,518,626</w:t>
            </w: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income (loss) within net gains (losses) on investments.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 and the level of the fair value hierarchy of the Company’s long-term debt as of September 30, 2021 and December 31, 2020 not measured at fair value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 2021</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28"/>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27,296,810</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27,296,810</w:t>
            </w:r>
          </w:p>
        </w:tc>
      </w:tr>
      <w:tr>
        <w:trPr>
          <w:trHeight w:val="432"/>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28"/>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606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27,272,727</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27,272,727</w:t>
            </w: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Note 5 - Fair Value of Financial Instruments and Real Estate</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the Company’s financial instruments and real estate as of September 30, 2021 and December 31, 2020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Pr>
          <w:p>
            <w:pPr>
              <w:spacing w:after="0"/>
              <w:rPr>
                <w:sz w:val="20"/>
                <w:szCs w:val="20"/>
                <w:color w:val="auto"/>
              </w:rPr>
            </w:pPr>
          </w:p>
        </w:tc>
        <w:tc>
          <w:tcPr>
            <w:tcW w:w="24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Fixed-maturity securities-held-to maturity</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9,166,983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9,699,504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7,368,815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8,194,824</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36,108,088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36,108,088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19,463,742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19,463,742</w:t>
            </w: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receivable, net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11,309,319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11,309,319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11,819,639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11,819,639</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Reinsurance receivables, net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22,962,014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22,962,014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45,460,729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45,460,729</w:t>
            </w: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net of accumulated depreciation</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2,162,899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2,219,999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2,705,000</w:t>
            </w:r>
          </w:p>
        </w:tc>
      </w:t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Reinsurance balances payable</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4,266,092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4,266,092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6,979,735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6,979,735</w:t>
            </w:r>
          </w:p>
        </w:tc>
      </w:tr>
      <w:tr>
        <w:trPr>
          <w:trHeight w:val="634"/>
        </w:trPr>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344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Note 6 – Property and Casualty Insurance Activity</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Premiums Earned</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20" w:type="dxa"/>
            <w:vAlign w:val="bottom"/>
            <w:gridSpan w:val="3"/>
          </w:tcPr>
          <w:p>
            <w:pPr>
              <w:spacing w:after="0"/>
              <w:rPr>
                <w:sz w:val="20"/>
                <w:szCs w:val="20"/>
                <w:color w:val="auto"/>
              </w:rPr>
            </w:pPr>
            <w:r>
              <w:rPr>
                <w:rFonts w:ascii="Arial" w:cs="Arial" w:eastAsia="Arial" w:hAnsi="Arial"/>
                <w:sz w:val="18"/>
                <w:szCs w:val="18"/>
                <w:color w:val="auto"/>
              </w:rPr>
              <w:t>Premiums written, ceded and earned are as follows: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Direct</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Assumed</w:t>
            </w: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Ceded</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Net</w:t>
            </w:r>
          </w:p>
        </w:tc>
      </w:tr>
      <w:tr>
        <w:trPr>
          <w:trHeight w:val="425"/>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1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131,609,930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(21,854,398)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109,755,532</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Change in unearned premiums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(2,911,439)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(15,198)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(2,926,637)</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128,698,491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(21,869,596)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106,828,895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356"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Premiums written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125,089,571</w:t>
            </w:r>
          </w:p>
        </w:tc>
        <w:tc>
          <w:tcPr>
            <w:tcW w:w="220" w:type="dxa"/>
            <w:vAlign w:val="bottom"/>
          </w:tcPr>
          <w:p>
            <w:pPr>
              <w:spacing w:after="0"/>
              <w:rPr>
                <w:sz w:val="18"/>
                <w:szCs w:val="18"/>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(43,813,468)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81,276,103</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Change in unearned premiums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2,215,602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(2,392,318)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(176,716)</w:t>
            </w:r>
          </w:p>
        </w:tc>
      </w:tr>
      <w:tr>
        <w:trPr>
          <w:trHeight w:val="20"/>
        </w:trPr>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Premiums earned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127,305,173</w:t>
            </w:r>
          </w:p>
        </w:tc>
        <w:tc>
          <w:tcPr>
            <w:tcW w:w="220" w:type="dxa"/>
            <w:vAlign w:val="bottom"/>
          </w:tcPr>
          <w:p>
            <w:pPr>
              <w:spacing w:after="0"/>
              <w:rPr>
                <w:sz w:val="18"/>
                <w:szCs w:val="18"/>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(46,205,786)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81,099,387</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Three months ended September 30, 2021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48,865,169</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(7,223,526)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41,641,643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(4,848,145)</w:t>
            </w:r>
          </w:p>
        </w:tc>
        <w:tc>
          <w:tcPr>
            <w:tcW w:w="5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9,753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(4,838,392)</w:t>
            </w:r>
          </w:p>
        </w:tc>
      </w:tr>
      <w:tr>
        <w:trPr>
          <w:trHeight w:val="20"/>
        </w:trPr>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44,017,024</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(7,213,773)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36,803,251</w:t>
            </w:r>
          </w:p>
        </w:tc>
      </w:tr>
      <w:tr>
        <w:trPr>
          <w:trHeight w:val="197"/>
        </w:trPr>
        <w:tc>
          <w:tcPr>
            <w:tcW w:w="60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Premiums written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45,742,165</w:t>
            </w:r>
          </w:p>
        </w:tc>
        <w:tc>
          <w:tcPr>
            <w:tcW w:w="220" w:type="dxa"/>
            <w:vAlign w:val="bottom"/>
          </w:tcPr>
          <w:p>
            <w:pPr>
              <w:spacing w:after="0"/>
              <w:rPr>
                <w:sz w:val="18"/>
                <w:szCs w:val="18"/>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(15,747,215)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29,994,950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Change in unearned premiums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(3,161,356)</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687,487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(2,473,869)</w:t>
            </w:r>
          </w:p>
        </w:tc>
      </w:tr>
      <w:tr>
        <w:trPr>
          <w:trHeight w:val="20"/>
        </w:trPr>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Premiums earned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42,580,809</w:t>
            </w:r>
          </w:p>
        </w:tc>
        <w:tc>
          <w:tcPr>
            <w:tcW w:w="220" w:type="dxa"/>
            <w:vAlign w:val="bottom"/>
          </w:tcPr>
          <w:p>
            <w:pPr>
              <w:spacing w:after="0"/>
              <w:rPr>
                <w:sz w:val="18"/>
                <w:szCs w:val="18"/>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(15,059,728)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27,521,081</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September 30, 2021 and December 31, 2020 was $5,325,514 and $2,660,354,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Loss Adjustment Expense Reserves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September 30, 2021</w:t>
            </w:r>
          </w:p>
        </w:tc>
      </w:tr>
      <w:tr>
        <w:trPr>
          <w:trHeight w:val="209"/>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82,801,228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80,498,611</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Less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(20,154,251)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(15,728,224)</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balance, beginning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62,646,977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64,770,387</w:t>
            </w:r>
          </w:p>
        </w:tc>
      </w:tr>
      <w:tr>
        <w:trPr>
          <w:trHeight w:val="209"/>
        </w:trPr>
        <w:tc>
          <w:tcPr>
            <w:tcW w:w="1280" w:type="dxa"/>
            <w:vAlign w:val="bottom"/>
            <w:tcBorders>
              <w:top w:val="single" w:sz="8" w:color="CCEEFF"/>
            </w:tcBorders>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year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79,070,646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49,597,154</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years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(279,727)</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gridSpan w:val="2"/>
          </w:tcPr>
          <w:p>
            <w:pPr>
              <w:spacing w:after="0"/>
              <w:rPr>
                <w:sz w:val="20"/>
                <w:szCs w:val="20"/>
                <w:color w:val="auto"/>
              </w:rPr>
            </w:pPr>
            <w:r>
              <w:rPr>
                <w:rFonts w:ascii="Arial" w:cs="Arial" w:eastAsia="Arial" w:hAnsi="Arial"/>
                <w:sz w:val="18"/>
                <w:szCs w:val="18"/>
                <w:color w:val="auto"/>
              </w:rPr>
              <w:t>Total incurred</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79,060,117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49,317,427</w:t>
            </w:r>
          </w:p>
        </w:tc>
      </w:tr>
      <w:tr>
        <w:trPr>
          <w:trHeight w:val="210"/>
        </w:trPr>
        <w:tc>
          <w:tcPr>
            <w:tcW w:w="12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Paid related to:</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year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35,408,412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29,845,049</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Prior years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17,586,958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24,068,492</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paid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52,995,370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53,913,541</w:t>
            </w:r>
          </w:p>
        </w:tc>
      </w:tr>
      <w:tr>
        <w:trPr>
          <w:trHeight w:val="210"/>
        </w:trPr>
        <w:tc>
          <w:tcPr>
            <w:tcW w:w="1280" w:type="dxa"/>
            <w:vAlign w:val="bottom"/>
            <w:tcBorders>
              <w:top w:val="single" w:sz="8" w:color="CCEEFF"/>
            </w:tcBorders>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balance at end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88,711,724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60,174,273</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Add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12,332,394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24,804,751</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101,044,118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84,979,024</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Incurred losses and LAE are net of reinsurance recoveries under reinsurance contracts of $1,220,970 and $23,826,986 for the nine months ended September 30, 2021 and 2020,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year incurred loss and LAE development is based upon estimates by line of business and accident year. Prior year loss and LAE development incurred during the nine months ended September 30, 2021 and 2020 was $10,529 favorable and $279,727 favorable, respectively. Management periodically performs a review of open liability claims to assess carried case and incurred but not reported (“IBNR”) reserve levels, giving consideration to both Company and industry trends.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LAE reserves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ectPr>
          <w:pgSz w:w="11900" w:h="16838" w:orient="portrait"/>
          <w:cols w:equalWidth="0" w:num="1">
            <w:col w:w="11240"/>
          </w:cols>
          <w:pgMar w:left="320" w:top="356" w:right="339" w:bottom="27"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9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i w:val="1"/>
          <w:iCs w:val="1"/>
          <w:color w:val="auto"/>
        </w:rPr>
        <w:t xml:space="preserve">Paid Loss Development </w:t>
      </w:r>
      <w:r>
        <w:rPr>
          <w:rFonts w:ascii="Arial" w:cs="Arial" w:eastAsia="Arial" w:hAnsi="Arial"/>
          <w:sz w:val="18"/>
          <w:szCs w:val="18"/>
          <w:color w:val="auto"/>
        </w:rPr>
        <w:t>– historical patterns of paid loss development are used to project future paid loss emergence in order to estimate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future incurred loss emergence in order to estimate required reserves.</w:t>
      </w:r>
    </w:p>
    <w:p>
      <w:pPr>
        <w:spacing w:after="0" w:line="170"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5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Incurred Bornhuetter-Ferguson (“BF”) </w:t>
      </w:r>
      <w:r>
        <w:rPr>
          <w:rFonts w:ascii="Arial" w:cs="Arial" w:eastAsia="Arial" w:hAnsi="Arial"/>
          <w:sz w:val="18"/>
          <w:szCs w:val="18"/>
          <w:color w:val="auto"/>
        </w:rPr>
        <w:t>- an estimated loss ratio for a particular accident year is determined, and is weighted against the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8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i w:val="1"/>
          <w:iCs w:val="1"/>
          <w:color w:val="auto"/>
        </w:rPr>
        <w:t xml:space="preserve">Frequency / Severity Based Methods </w:t>
      </w:r>
      <w:r>
        <w:rPr>
          <w:rFonts w:ascii="Arial" w:cs="Arial" w:eastAsia="Arial" w:hAnsi="Arial"/>
          <w:sz w:val="17"/>
          <w:szCs w:val="17"/>
          <w:color w:val="auto"/>
        </w:rPr>
        <w:t>– historical measurements of claim frequency and average paid claim size (severity) are reviewed for more</w:t>
      </w:r>
      <w:r>
        <w:rPr>
          <w:rFonts w:ascii="Arial" w:cs="Arial" w:eastAsia="Arial" w:hAnsi="Arial"/>
          <w:sz w:val="17"/>
          <w:szCs w:val="17"/>
          <w:i w:val="1"/>
          <w:iCs w:val="1"/>
          <w:color w:val="auto"/>
        </w:rPr>
        <w:t xml:space="preserve"> </w:t>
      </w:r>
      <w:r>
        <w:rPr>
          <w:rFonts w:ascii="Arial" w:cs="Arial" w:eastAsia="Arial" w:hAnsi="Arial"/>
          <w:sz w:val="17"/>
          <w:szCs w:val="17"/>
          <w:color w:val="auto"/>
        </w:rPr>
        <w:t>mature 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COVID-19 has introduced additional uncertainty to recent claim trends. The Company reviews the carried reserves levels at a regular basis as additional information becomes available and makes adjustments in the periods in which such adjustments are determined to be necessary. The Company is not aware of any other claim trends that have emerged or that would cause future adverse development that have not already been contemplated in setting current carried reserves levels.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September 30, 2018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information about incurred and paid claims development as of September 30, 2021, net of reinsurance, as well as the cumulative reported claims by accident year and total IBNR reserves as of September 30, 2021 included in the net incurred loss and allocated expense amounts. The historical information regarding incurred and paid claims development for the years ended December 31, 2012 to December 31, 2020 is presented as supplementary unaudited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25" w:right="339" w:bottom="0" w:gutter="0" w:footer="0" w:header="0"/>
        </w:sectPr>
      </w:pPr>
    </w:p>
    <w:bookmarkStart w:id="16" w:name="page17"/>
    <w:bookmarkEnd w:id="16"/>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20" w:type="dxa"/>
            <w:vAlign w:val="bottom"/>
            <w:gridSpan w:val="6"/>
          </w:tcPr>
          <w:p>
            <w:pPr>
              <w:spacing w:after="0"/>
              <w:rPr>
                <w:sz w:val="20"/>
                <w:szCs w:val="20"/>
                <w:color w:val="auto"/>
              </w:rPr>
            </w:pPr>
            <w:r>
              <w:rPr>
                <w:rFonts w:ascii="Arial" w:cs="Arial" w:eastAsia="Arial" w:hAnsi="Arial"/>
                <w:sz w:val="18"/>
                <w:szCs w:val="18"/>
                <w:b w:val="1"/>
                <w:bCs w:val="1"/>
                <w:color w:val="auto"/>
                <w:w w:val="87"/>
              </w:rPr>
              <w:t>All Lines of Business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13"/>
          </w:tcPr>
          <w:p>
            <w:pPr>
              <w:spacing w:after="0"/>
              <w:rPr>
                <w:sz w:val="20"/>
                <w:szCs w:val="20"/>
                <w:color w:val="auto"/>
              </w:rPr>
            </w:pPr>
            <w:r>
              <w:rPr>
                <w:rFonts w:ascii="Arial" w:cs="Arial" w:eastAsia="Arial" w:hAnsi="Arial"/>
                <w:sz w:val="18"/>
                <w:szCs w:val="18"/>
                <w:b w:val="1"/>
                <w:bCs w:val="1"/>
                <w:i w:val="1"/>
                <w:iCs w:val="1"/>
                <w:color w:val="auto"/>
              </w:rPr>
              <w:t>(in thousands, except reported claims data)</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vMerge w:val="restart"/>
          </w:tcPr>
          <w:p>
            <w:pPr>
              <w:jc w:val="center"/>
              <w:ind w:right="88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198"/>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60" w:type="dxa"/>
            <w:vAlign w:val="bottom"/>
            <w:gridSpan w:val="17"/>
          </w:tcPr>
          <w:p>
            <w:pPr>
              <w:jc w:val="right"/>
              <w:ind w:right="320"/>
              <w:spacing w:after="0"/>
              <w:rPr>
                <w:sz w:val="20"/>
                <w:szCs w:val="20"/>
                <w:color w:val="auto"/>
              </w:rPr>
            </w:pPr>
            <w:r>
              <w:rPr>
                <w:rFonts w:ascii="Arial" w:cs="Arial" w:eastAsia="Arial" w:hAnsi="Arial"/>
                <w:sz w:val="18"/>
                <w:szCs w:val="18"/>
                <w:b w:val="1"/>
                <w:bCs w:val="1"/>
                <w:color w:val="auto"/>
                <w:w w:val="94"/>
              </w:rPr>
              <w:t>Incurred Loss and Allocated Loss Adjustment Expenses, Net of Reinsurance</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September 30, 2021</w:t>
            </w:r>
          </w:p>
        </w:tc>
        <w:tc>
          <w:tcPr>
            <w:tcW w:w="0" w:type="dxa"/>
            <w:vAlign w:val="bottom"/>
          </w:tcPr>
          <w:p>
            <w:pPr>
              <w:spacing w:after="0"/>
              <w:rPr>
                <w:sz w:val="1"/>
                <w:szCs w:val="1"/>
                <w:color w:val="auto"/>
              </w:rPr>
            </w:pPr>
          </w:p>
        </w:tc>
      </w:tr>
      <w:tr>
        <w:trPr>
          <w:trHeight w:val="205"/>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500" w:type="dxa"/>
            <w:vAlign w:val="bottom"/>
            <w:tcBorders>
              <w:top w:val="single" w:sz="8" w:color="auto"/>
            </w:tcBorders>
            <w:gridSpan w:val="9"/>
          </w:tcPr>
          <w:p>
            <w:pPr>
              <w:jc w:val="right"/>
              <w:ind w:right="800"/>
              <w:spacing w:after="0" w:line="205" w:lineRule="exact"/>
              <w:rPr>
                <w:sz w:val="20"/>
                <w:szCs w:val="20"/>
                <w:color w:val="auto"/>
              </w:rPr>
            </w:pPr>
            <w:r>
              <w:rPr>
                <w:rFonts w:ascii="Arial" w:cs="Arial" w:eastAsia="Arial" w:hAnsi="Arial"/>
                <w:sz w:val="18"/>
                <w:szCs w:val="18"/>
                <w:b w:val="1"/>
                <w:bCs w:val="1"/>
                <w:color w:val="auto"/>
                <w:w w:val="90"/>
              </w:rPr>
              <w:t>For the Years Ended December 31,</w:t>
            </w: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Cumulative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Nine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months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Claims by</w:t>
            </w: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Accident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Accident</w:t>
            </w:r>
          </w:p>
        </w:tc>
        <w:tc>
          <w:tcPr>
            <w:tcW w:w="0" w:type="dxa"/>
            <w:vAlign w:val="bottom"/>
          </w:tcPr>
          <w:p>
            <w:pPr>
              <w:spacing w:after="0"/>
              <w:rPr>
                <w:sz w:val="1"/>
                <w:szCs w:val="1"/>
                <w:color w:val="auto"/>
              </w:rPr>
            </w:pPr>
          </w:p>
        </w:tc>
      </w:tr>
      <w:tr>
        <w:trPr>
          <w:trHeight w:val="234"/>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30, 2021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IBNR</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8"/>
                <w:szCs w:val="18"/>
                <w:b w:val="1"/>
                <w:bCs w:val="1"/>
                <w:color w:val="auto"/>
              </w:rPr>
              <w:t>(Unaudited 2012 - 2020)</w:t>
            </w: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$ 9,539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9,344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$ 10,278</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$ 10,382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$ 10,582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$ 10,790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$ 10,791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$ 11,015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$ 10,885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2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89"/>
              </w:rPr>
              <w:t>4,704(1)</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10,728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9,745</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9,424</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9,621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10,061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10,089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10,607</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10,495</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10,498</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280" w:type="dxa"/>
            <w:vAlign w:val="bottom"/>
            <w:gridSpan w:val="3"/>
          </w:tcPr>
          <w:p>
            <w:pPr>
              <w:ind w:left="66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14,193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14,260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14,218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14,564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15,023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16,381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16,428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16,420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12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22,340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21,994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22,148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22,491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23,386</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23,291</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23,466</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1280" w:type="dxa"/>
            <w:vAlign w:val="bottom"/>
            <w:gridSpan w:val="3"/>
          </w:tcPr>
          <w:p>
            <w:pPr>
              <w:ind w:left="66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26,062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24,941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24,789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27,887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27,966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27,520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c>
          <w:tcPr>
            <w:tcW w:w="12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31,605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32,169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35,304</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36,160</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36,337</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1280" w:type="dxa"/>
            <w:vAlign w:val="bottom"/>
            <w:gridSpan w:val="3"/>
          </w:tcPr>
          <w:p>
            <w:pPr>
              <w:ind w:left="66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54,455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56,351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58,441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59,289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1,174</w:t>
            </w:r>
          </w:p>
        </w:tc>
        <w:tc>
          <w:tcPr>
            <w:tcW w:w="12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75,092</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72,368</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71,837</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7,377</w:t>
            </w:r>
          </w:p>
        </w:tc>
        <w:tc>
          <w:tcPr>
            <w:tcW w:w="1280" w:type="dxa"/>
            <w:vAlign w:val="bottom"/>
            <w:gridSpan w:val="3"/>
          </w:tcPr>
          <w:p>
            <w:pPr>
              <w:ind w:left="660"/>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63,083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62,858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6,644</w:t>
            </w:r>
          </w:p>
        </w:tc>
        <w:tc>
          <w:tcPr>
            <w:tcW w:w="12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5,822</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74,958</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18,813</w:t>
            </w:r>
          </w:p>
        </w:tc>
        <w:tc>
          <w:tcPr>
            <w:tcW w:w="1280" w:type="dxa"/>
            <w:vAlign w:val="bottom"/>
            <w:gridSpan w:val="3"/>
          </w:tcPr>
          <w:p>
            <w:pPr>
              <w:ind w:left="660"/>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394,064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Reported claims for accident year 2012 includes 3,406 claims from Superstorm Sandy.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20" w:type="dxa"/>
            <w:vAlign w:val="bottom"/>
            <w:gridSpan w:val="5"/>
          </w:tcPr>
          <w:p>
            <w:pPr>
              <w:spacing w:after="0"/>
              <w:rPr>
                <w:sz w:val="20"/>
                <w:szCs w:val="20"/>
                <w:color w:val="auto"/>
              </w:rPr>
            </w:pPr>
            <w:r>
              <w:rPr>
                <w:rFonts w:ascii="Arial" w:cs="Arial" w:eastAsia="Arial" w:hAnsi="Arial"/>
                <w:sz w:val="18"/>
                <w:szCs w:val="18"/>
                <w:b w:val="1"/>
                <w:bCs w:val="1"/>
                <w:color w:val="auto"/>
              </w:rPr>
              <w:t>All Lines of Business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b w:val="1"/>
                <w:bCs w:val="1"/>
                <w:i w:val="1"/>
                <w:iCs w:val="1"/>
                <w:color w:val="auto"/>
                <w:w w:val="98"/>
              </w:rPr>
              <w:t>(in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540" w:type="dxa"/>
            <w:vAlign w:val="bottom"/>
            <w:gridSpan w:val="23"/>
            <w:vMerge w:val="restart"/>
          </w:tcPr>
          <w:p>
            <w:pPr>
              <w:ind w:left="520"/>
              <w:spacing w:after="0"/>
              <w:rPr>
                <w:sz w:val="20"/>
                <w:szCs w:val="20"/>
                <w:color w:val="auto"/>
              </w:rPr>
            </w:pPr>
            <w:r>
              <w:rPr>
                <w:rFonts w:ascii="Arial" w:cs="Arial" w:eastAsia="Arial" w:hAnsi="Arial"/>
                <w:sz w:val="18"/>
                <w:szCs w:val="18"/>
                <w:b w:val="1"/>
                <w:bCs w:val="1"/>
                <w:color w:val="auto"/>
                <w:w w:val="96"/>
              </w:rPr>
              <w:t>Cumulative Paid Loss and Allocated Loss Adjustment Expenses, Net of Reinsurance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540" w:type="dxa"/>
            <w:vAlign w:val="bottom"/>
            <w:tcBorders>
              <w:bottom w:val="single" w:sz="8" w:color="auto"/>
            </w:tcBorders>
            <w:gridSpan w:val="23"/>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9"/>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For the Years Ended December 31,</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Nine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months</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34"/>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Accident Year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2012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30, 2021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8"/>
                <w:szCs w:val="18"/>
                <w:b w:val="1"/>
                <w:bCs w:val="1"/>
                <w:color w:val="auto"/>
                <w:w w:val="92"/>
              </w:rPr>
              <w:t>(Unaudited 2012 - 2020)</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  10,236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10,323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10,428</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10,451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5,303</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7,591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8,407</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9,056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9,717</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10,016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10,140</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11,770</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13,819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14,901</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15,706</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12,295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16,181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18,266</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19,984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21,067</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22,104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22,285</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15,364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19,001</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21,106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23,974</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25,639</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16,704</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24,820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28,693</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31,393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32,161</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32,383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44,516</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50,553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51,676</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40,933</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54,897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57,594</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49,945</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308,999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40" w:type="dxa"/>
            <w:vAlign w:val="bottom"/>
            <w:gridSpan w:val="23"/>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540" w:type="dxa"/>
            <w:vAlign w:val="bottom"/>
            <w:gridSpan w:val="23"/>
            <w:shd w:val="clear" w:color="auto" w:fill="CCEEFF"/>
          </w:tcPr>
          <w:p>
            <w:pPr>
              <w:jc w:val="right"/>
              <w:ind w:right="100"/>
              <w:spacing w:after="0"/>
              <w:rPr>
                <w:sz w:val="20"/>
                <w:szCs w:val="20"/>
                <w:color w:val="auto"/>
              </w:rPr>
            </w:pPr>
            <w:r>
              <w:rPr>
                <w:rFonts w:ascii="Arial" w:cs="Arial" w:eastAsia="Arial" w:hAnsi="Arial"/>
                <w:sz w:val="18"/>
                <w:szCs w:val="18"/>
                <w:color w:val="auto"/>
                <w:w w:val="93"/>
              </w:rPr>
              <w:t>Net liability for unpaid loss and allocated loss adjustment expenses for the accident years presented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85,065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gridSpan w:val="12"/>
          </w:tcPr>
          <w:p>
            <w:pPr>
              <w:jc w:val="right"/>
              <w:ind w:right="100"/>
              <w:spacing w:after="0"/>
              <w:rPr>
                <w:sz w:val="20"/>
                <w:szCs w:val="20"/>
                <w:color w:val="auto"/>
              </w:rPr>
            </w:pPr>
            <w:r>
              <w:rPr>
                <w:rFonts w:ascii="Arial" w:cs="Arial" w:eastAsia="Arial" w:hAnsi="Arial"/>
                <w:sz w:val="18"/>
                <w:szCs w:val="18"/>
                <w:color w:val="auto"/>
                <w:w w:val="99"/>
              </w:rPr>
              <w:t>All outstanding liabilities before 2011, net of reinsurance</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17"/>
            <w:shd w:val="clear" w:color="auto" w:fill="CCEEFF"/>
          </w:tcPr>
          <w:p>
            <w:pPr>
              <w:jc w:val="right"/>
              <w:ind w:right="100"/>
              <w:spacing w:after="0"/>
              <w:rPr>
                <w:sz w:val="20"/>
                <w:szCs w:val="20"/>
                <w:color w:val="auto"/>
              </w:rPr>
            </w:pPr>
            <w:r>
              <w:rPr>
                <w:rFonts w:ascii="Arial" w:cs="Arial" w:eastAsia="Arial" w:hAnsi="Arial"/>
                <w:sz w:val="18"/>
                <w:szCs w:val="18"/>
                <w:color w:val="auto"/>
                <w:w w:val="91"/>
              </w:rPr>
              <w:t>Liabilities for loss and allocated loss adjustment expenses, net of reinsurance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net incurred and paid loss development tables to the loss and LAE reserves in the consolidated balance sheet is as follows: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As of</w:t>
            </w:r>
          </w:p>
        </w:tc>
      </w:tr>
      <w:tr>
        <w:trPr>
          <w:trHeight w:val="234"/>
        </w:trPr>
        <w:tc>
          <w:tcPr>
            <w:tcW w:w="7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2021</w:t>
            </w: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loss and allocated loss adjustment expenses, net of reinsurance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101,044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Effective December 15, 2019, the Company entered into a quota share reinsurance treaty for its personal lines business, which primarily consisted of homeowners’ policies, covering the period from December 15, 2019 through December 30, 2020 (“2019/2020 Treaty”). Effective December 31, 2020, the 2019/2020 Treaty expired on a cut off basis; this treaty was not renewed. The Company entered into new excess of loss and catastrophe reinsurance treaties effective July 1, 2021. Effective October 18, 2021, the Company entered into a stub catastrophe reinsurance treaty covering the period from October 18,</w:t>
      </w:r>
    </w:p>
    <w:p>
      <w:pPr>
        <w:sectPr>
          <w:pgSz w:w="11900" w:h="16855" w:orient="portrait"/>
          <w:cols w:equalWidth="0" w:num="1">
            <w:col w:w="11240"/>
          </w:cols>
          <w:pgMar w:left="320" w:top="121" w:right="339" w:bottom="0" w:gutter="0" w:footer="0" w:header="0"/>
        </w:sectPr>
      </w:pPr>
    </w:p>
    <w:bookmarkStart w:id="17" w:name="page18"/>
    <w:bookmarkEnd w:id="17"/>
    <w:p>
      <w:pPr>
        <w:spacing w:after="0" w:line="308" w:lineRule="auto"/>
        <w:rPr>
          <w:sz w:val="20"/>
          <w:szCs w:val="20"/>
          <w:color w:val="auto"/>
        </w:rPr>
      </w:pPr>
      <w:r>
        <w:rPr>
          <w:rFonts w:ascii="Arial" w:cs="Arial" w:eastAsia="Arial" w:hAnsi="Arial"/>
          <w:sz w:val="17"/>
          <w:szCs w:val="17"/>
          <w:color w:val="auto"/>
        </w:rPr>
        <w:t>2021 through December 31, 2021. The treaty provides reinsurance coverage for catastrophe losses of $5,000,000 in excess of $5,000,000. Losses from freeze are excluded from the treaty. Material terms for reinsurance treaties in effect for the treaty years shown below are as follows: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Treaty Year</w:t>
            </w:r>
          </w:p>
        </w:tc>
      </w:tr>
      <w:tr>
        <w:trPr>
          <w:trHeight w:val="191"/>
        </w:trPr>
        <w:tc>
          <w:tcPr>
            <w:tcW w:w="12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December 15,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to</w:t>
            </w:r>
          </w:p>
        </w:tc>
      </w:tr>
      <w:tr>
        <w:trPr>
          <w:trHeight w:val="216"/>
        </w:trPr>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December 30,</w:t>
            </w:r>
          </w:p>
        </w:tc>
      </w:tr>
      <w:tr>
        <w:trPr>
          <w:trHeight w:val="234"/>
        </w:trPr>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1"/>
        </w:trPr>
        <w:tc>
          <w:tcPr>
            <w:tcW w:w="490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Homeowners, dwelling fire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and canine legal liability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Quota share treaty:</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Percent ceded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1140"/>
              <w:spacing w:after="0"/>
              <w:rPr>
                <w:sz w:val="20"/>
                <w:szCs w:val="20"/>
                <w:color w:val="auto"/>
              </w:rPr>
            </w:pPr>
            <w:r>
              <w:rPr>
                <w:rFonts w:ascii="Arial" w:cs="Arial" w:eastAsia="Arial" w:hAnsi="Arial"/>
                <w:sz w:val="18"/>
                <w:szCs w:val="18"/>
                <w:b w:val="1"/>
                <w:bCs w:val="1"/>
                <w:color w:val="auto"/>
              </w:rPr>
              <w:t>Treaty Year</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July 1, 2021</w:t>
            </w:r>
          </w:p>
        </w:tc>
        <w:tc>
          <w:tcPr>
            <w:tcW w:w="1760" w:type="dxa"/>
            <w:vAlign w:val="bottom"/>
            <w:gridSpan w:val="4"/>
          </w:tcPr>
          <w:p>
            <w:pPr>
              <w:ind w:left="100"/>
              <w:spacing w:after="0" w:line="191" w:lineRule="exact"/>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16"/>
                <w:szCs w:val="16"/>
                <w:color w:val="auto"/>
              </w:rPr>
            </w:pPr>
          </w:p>
        </w:tc>
        <w:tc>
          <w:tcPr>
            <w:tcW w:w="1460" w:type="dxa"/>
            <w:vAlign w:val="bottom"/>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July 1, 2020</w:t>
            </w:r>
          </w:p>
        </w:tc>
        <w:tc>
          <w:tcPr>
            <w:tcW w:w="40" w:type="dxa"/>
            <w:vAlign w:val="bottom"/>
          </w:tcPr>
          <w:p>
            <w:pPr>
              <w:spacing w:after="0"/>
              <w:rPr>
                <w:sz w:val="16"/>
                <w:szCs w:val="16"/>
                <w:color w:val="auto"/>
              </w:rPr>
            </w:pPr>
          </w:p>
        </w:tc>
        <w:tc>
          <w:tcPr>
            <w:tcW w:w="14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88"/>
              </w:rPr>
              <w:t>December 15, 2019</w:t>
            </w: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to</w:t>
            </w:r>
          </w:p>
        </w:tc>
        <w:tc>
          <w:tcPr>
            <w:tcW w:w="18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June 30, 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2021</w:t>
            </w:r>
          </w:p>
        </w:tc>
        <w:tc>
          <w:tcPr>
            <w:tcW w:w="1640" w:type="dxa"/>
            <w:vAlign w:val="bottom"/>
            <w:gridSpan w:val="4"/>
          </w:tcPr>
          <w:p>
            <w:pPr>
              <w:spacing w:after="0"/>
              <w:rPr>
                <w:sz w:val="20"/>
                <w:szCs w:val="20"/>
                <w:color w:val="auto"/>
              </w:rPr>
            </w:pPr>
            <w:r>
              <w:rPr>
                <w:rFonts w:ascii="Arial" w:cs="Arial" w:eastAsia="Arial" w:hAnsi="Arial"/>
                <w:sz w:val="18"/>
                <w:szCs w:val="18"/>
                <w:b w:val="1"/>
                <w:bCs w:val="1"/>
                <w:color w:val="auto"/>
                <w:w w:val="99"/>
              </w:rPr>
              <w:t>December 30, 2020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June 30, 2020</w:t>
            </w:r>
          </w:p>
        </w:tc>
      </w:tr>
      <w:tr>
        <w:trPr>
          <w:trHeight w:val="411"/>
        </w:trPr>
        <w:tc>
          <w:tcPr>
            <w:tcW w:w="4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Personal Lines:</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Homeowners, dwelling fire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and canine legal liability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Quota share treaty: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Risk retained on intial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$1,000,000 of losses (7)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16"/>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Losses per occurrence subject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 quota share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300"/>
              <w:spacing w:after="0"/>
              <w:rPr>
                <w:sz w:val="20"/>
                <w:szCs w:val="20"/>
                <w:color w:val="auto"/>
              </w:rPr>
            </w:pPr>
            <w:r>
              <w:rPr>
                <w:rFonts w:ascii="Arial" w:cs="Arial" w:eastAsia="Arial" w:hAnsi="Arial"/>
                <w:sz w:val="18"/>
                <w:szCs w:val="18"/>
                <w:color w:val="auto"/>
              </w:rPr>
              <w:t>reinsurance coverage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None (7)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None (7)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1,000,000</w:t>
            </w:r>
          </w:p>
        </w:tc>
      </w:tr>
      <w:tr>
        <w:trPr>
          <w:trHeight w:val="216"/>
        </w:trPr>
        <w:tc>
          <w:tcPr>
            <w:tcW w:w="4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Expiration date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NA (7)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NA (7)</w:t>
            </w:r>
          </w:p>
        </w:tc>
        <w:tc>
          <w:tcPr>
            <w:tcW w:w="1640" w:type="dxa"/>
            <w:vAlign w:val="bottom"/>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89"/>
              </w:rPr>
              <w:t>December 30, 2020</w:t>
            </w:r>
          </w:p>
        </w:tc>
        <w:tc>
          <w:tcPr>
            <w:tcW w:w="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89"/>
              </w:rPr>
              <w:t>December 30, 2020</w:t>
            </w:r>
          </w:p>
        </w:tc>
      </w:tr>
      <w:tr>
        <w:trPr>
          <w:trHeight w:val="216"/>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Excess of loss coverage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facultative facility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300"/>
              <w:spacing w:after="0"/>
              <w:rPr>
                <w:sz w:val="20"/>
                <w:szCs w:val="20"/>
                <w:color w:val="auto"/>
              </w:rPr>
            </w:pPr>
            <w:r>
              <w:rPr>
                <w:rFonts w:ascii="Arial" w:cs="Arial" w:eastAsia="Arial" w:hAnsi="Arial"/>
                <w:sz w:val="18"/>
                <w:szCs w:val="18"/>
                <w:color w:val="auto"/>
              </w:rPr>
              <w:t>coverage (1)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8,000,000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8,000,000</w:t>
            </w:r>
          </w:p>
        </w:tc>
        <w:tc>
          <w:tcPr>
            <w:tcW w:w="1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9,000,000</w:t>
            </w:r>
          </w:p>
        </w:tc>
      </w:tr>
      <w:tr>
        <w:trPr>
          <w:trHeight w:val="216"/>
        </w:trPr>
        <w:tc>
          <w:tcPr>
            <w:tcW w:w="12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in excess of</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in excess of</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0"/>
              </w:rPr>
              <w:t>in excess of</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8"/>
              </w:rPr>
              <w:t>in excess of</w:t>
            </w:r>
          </w:p>
        </w:tc>
      </w:tr>
      <w:tr>
        <w:trPr>
          <w:trHeight w:val="216"/>
        </w:trPr>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1,000,000</w:t>
            </w:r>
          </w:p>
        </w:tc>
      </w:tr>
      <w:tr>
        <w:trPr>
          <w:trHeight w:val="216"/>
        </w:trPr>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reinsurance coverage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300"/>
              <w:spacing w:after="0"/>
              <w:rPr>
                <w:sz w:val="20"/>
                <w:szCs w:val="20"/>
                <w:color w:val="auto"/>
              </w:rPr>
            </w:pPr>
            <w:r>
              <w:rPr>
                <w:rFonts w:ascii="Arial" w:cs="Arial" w:eastAsia="Arial" w:hAnsi="Arial"/>
                <w:sz w:val="18"/>
                <w:szCs w:val="18"/>
                <w:color w:val="auto"/>
              </w:rPr>
              <w:t>per occurrence (7)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8,000,000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8,250,000</w:t>
            </w:r>
          </w:p>
        </w:tc>
        <w:tc>
          <w:tcPr>
            <w:tcW w:w="1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9,250,000</w:t>
            </w:r>
          </w:p>
        </w:tc>
      </w:tr>
      <w:tr>
        <w:trPr>
          <w:trHeight w:val="216"/>
        </w:trPr>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Losses per occurrence subject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300"/>
              <w:spacing w:after="0"/>
              <w:rPr>
                <w:sz w:val="20"/>
                <w:szCs w:val="20"/>
                <w:color w:val="auto"/>
              </w:rPr>
            </w:pPr>
            <w:r>
              <w:rPr>
                <w:rFonts w:ascii="Arial" w:cs="Arial" w:eastAsia="Arial" w:hAnsi="Arial"/>
                <w:sz w:val="18"/>
                <w:szCs w:val="18"/>
                <w:color w:val="auto"/>
              </w:rPr>
              <w:t>to reinsurance coverage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9,000,000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9,000,000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9,000,000</w:t>
            </w:r>
          </w:p>
        </w:tc>
        <w:tc>
          <w:tcPr>
            <w:tcW w:w="1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10,000,000</w:t>
            </w:r>
          </w:p>
        </w:tc>
      </w:tr>
      <w:tr>
        <w:trPr>
          <w:trHeight w:val="216"/>
        </w:trPr>
        <w:tc>
          <w:tcPr>
            <w:tcW w:w="4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Expiration date (7)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30, 2022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June 30, 2021</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June 30, 2021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June 30, 2020</w:t>
            </w:r>
          </w:p>
        </w:tc>
      </w:tr>
      <w:tr>
        <w:trPr>
          <w:trHeight w:val="216"/>
        </w:trPr>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Catastrophe Reinsurance: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Initial loss subject to personal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lines quota share treaty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None (7)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None (7)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7,500,000</w:t>
            </w:r>
          </w:p>
        </w:tc>
      </w:tr>
      <w:tr>
        <w:trPr>
          <w:trHeight w:val="216"/>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Risk retained per catastrophe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occurrence (2) (7)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8,125,000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5,625,000</w:t>
            </w:r>
          </w:p>
        </w:tc>
      </w:tr>
      <w:tr>
        <w:trPr>
          <w:trHeight w:val="216"/>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Catastrophe loss coverage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 excess of</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300"/>
              <w:spacing w:after="0"/>
              <w:rPr>
                <w:sz w:val="20"/>
                <w:szCs w:val="20"/>
                <w:color w:val="auto"/>
              </w:rPr>
            </w:pPr>
            <w:r>
              <w:rPr>
                <w:rFonts w:ascii="Arial" w:cs="Arial" w:eastAsia="Arial" w:hAnsi="Arial"/>
                <w:sz w:val="18"/>
                <w:szCs w:val="18"/>
                <w:color w:val="auto"/>
              </w:rPr>
              <w:t>quota share coverage (3) (7)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490,000,000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475,000,000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475,000,000</w:t>
            </w:r>
          </w:p>
        </w:tc>
        <w:tc>
          <w:tcPr>
            <w:tcW w:w="1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602,500,000</w:t>
            </w:r>
          </w:p>
        </w:tc>
      </w:tr>
      <w:tr>
        <w:trPr>
          <w:trHeight w:val="216"/>
        </w:trPr>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Catastrophe stub coverage for the period from</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300"/>
              <w:spacing w:after="0"/>
              <w:rPr>
                <w:sz w:val="20"/>
                <w:szCs w:val="20"/>
                <w:color w:val="auto"/>
              </w:rPr>
            </w:pPr>
            <w:r>
              <w:rPr>
                <w:rFonts w:ascii="Arial" w:cs="Arial" w:eastAsia="Arial" w:hAnsi="Arial"/>
                <w:sz w:val="18"/>
                <w:szCs w:val="18"/>
                <w:color w:val="auto"/>
              </w:rPr>
              <w:t>October 18, 2021 through December 31, 2021 (8)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color w:val="auto"/>
              </w:rPr>
              <w:t>NA</w:t>
            </w:r>
          </w:p>
        </w:tc>
      </w:tr>
      <w:tr>
        <w:trPr>
          <w:trHeight w:val="216"/>
        </w:trPr>
        <w:tc>
          <w:tcPr>
            <w:tcW w:w="12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in excess of</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Reinstatement premium</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00" w:type="dxa"/>
            <w:vAlign w:val="bottom"/>
            <w:gridSpan w:val="2"/>
          </w:tcPr>
          <w:p>
            <w:pPr>
              <w:ind w:left="300"/>
              <w:spacing w:after="0"/>
              <w:rPr>
                <w:sz w:val="20"/>
                <w:szCs w:val="20"/>
                <w:color w:val="auto"/>
              </w:rPr>
            </w:pPr>
            <w:r>
              <w:rPr>
                <w:rFonts w:ascii="Arial" w:cs="Arial" w:eastAsia="Arial" w:hAnsi="Arial"/>
                <w:sz w:val="18"/>
                <w:szCs w:val="18"/>
                <w:color w:val="auto"/>
              </w:rPr>
              <w:t>protection (4) (5) (6)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Yes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3"/>
              </w:rPr>
              <w:t>Yes</w:t>
            </w:r>
          </w:p>
        </w:tc>
        <w:tc>
          <w:tcPr>
            <w:tcW w:w="180" w:type="dxa"/>
            <w:vAlign w:val="bottom"/>
          </w:tcPr>
          <w:p>
            <w:pPr>
              <w:spacing w:after="0"/>
              <w:rPr>
                <w:sz w:val="20"/>
                <w:szCs w:val="20"/>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8"/>
                <w:szCs w:val="18"/>
                <w:color w:val="auto"/>
                <w:w w:val="83"/>
              </w:rPr>
              <w:t>Yes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color w:val="auto"/>
                <w:w w:val="83"/>
              </w:rPr>
              <w:t>Yes</w:t>
            </w:r>
          </w:p>
        </w:tc>
      </w:tr>
      <w:tr>
        <w:trPr>
          <w:trHeight w:val="634"/>
        </w:trPr>
        <w:tc>
          <w:tcPr>
            <w:tcW w:w="12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ind w:left="460" w:right="20" w:hanging="452"/>
        <w:spacing w:after="0" w:line="26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personal lines, includes the addition of an automatic facultative facility allowing KICO to obtain homeowners single risk coverage up to $10,000,000 in total insured value, which covers direct losses from $3,500,000 to $10,000,000 through June 30, 2020. For the period July 1, 2020 through June 30, 2022, direct losses are covered up to $9,000,000.</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Plus losses in excess of catastrophe coverage. For the period July 1, 2020 through December 30, 2020, there was no reinsurance coverage for the $2,500,000 gap between quota share limit of $7,500,000 and first $10,000,000 layer of catastrophe coverage (see note (7) below).</w:t>
      </w:r>
    </w:p>
    <w:p>
      <w:pPr>
        <w:spacing w:after="0" w:line="146" w:lineRule="exact"/>
        <w:rPr>
          <w:rFonts w:ascii="Arial" w:cs="Arial" w:eastAsia="Arial" w:hAnsi="Arial"/>
          <w:sz w:val="17"/>
          <w:szCs w:val="17"/>
          <w:color w:val="auto"/>
        </w:rPr>
      </w:pPr>
    </w:p>
    <w:p>
      <w:pPr>
        <w:ind w:left="4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sectPr>
          <w:pgSz w:w="11900" w:h="16838" w:orient="portrait"/>
          <w:cols w:equalWidth="0" w:num="1">
            <w:col w:w="11240"/>
          </w:cols>
          <w:pgMar w:left="320" w:top="125" w:right="339" w:bottom="0" w:gutter="0" w:footer="0" w:header="0"/>
        </w:sectPr>
      </w:pPr>
    </w:p>
    <w:bookmarkStart w:id="18" w:name="page19"/>
    <w:bookmarkEnd w:id="18"/>
    <w:p>
      <w:pPr>
        <w:spacing w:after="0" w:line="62" w:lineRule="exact"/>
        <w:rPr>
          <w:sz w:val="20"/>
          <w:szCs w:val="20"/>
          <w:color w:val="auto"/>
        </w:rPr>
      </w:pPr>
    </w:p>
    <w:p>
      <w:pPr>
        <w:ind w:left="4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period July 1, 2019 through June 30, 2020, reinstatement premium protection for $292,500,000 of catastrophe coverage in excess of $7,500,000.</w:t>
      </w:r>
    </w:p>
    <w:p>
      <w:pPr>
        <w:spacing w:after="0" w:line="17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period July 1, 2020 through June 30, 2021, reinstatement premium protection for $70,000,000 of catastrophe coverage in excess of $10,000,000.</w:t>
      </w:r>
    </w:p>
    <w:p>
      <w:pPr>
        <w:spacing w:after="0" w:line="17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period July 1, 2021 through June 30, 2022, reinstatement premium protection for $70,000,000 of catastrophe coverage in excess of $10,000,000.</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personal lines quota share (homeowners, dwelling fire and canine legal liability) expired on December 30, 2020; reinsurance coverage from December 31, 2020 through June 30, 2022 is only for excess of loss and catastrophe reinsurance.</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freeze and freeze related claims.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Treaty Year</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July 1, 2021</w:t>
            </w:r>
          </w:p>
        </w:tc>
        <w:tc>
          <w:tcPr>
            <w:tcW w:w="80" w:type="dxa"/>
            <w:vAlign w:val="bottom"/>
          </w:tcPr>
          <w:p>
            <w:pPr>
              <w:spacing w:after="0"/>
              <w:rPr>
                <w:sz w:val="16"/>
                <w:szCs w:val="16"/>
                <w:color w:val="auto"/>
              </w:rPr>
            </w:pPr>
          </w:p>
        </w:tc>
        <w:tc>
          <w:tcPr>
            <w:tcW w:w="134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July 1, 2020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July 1, 2019</w:t>
            </w:r>
          </w:p>
        </w:tc>
        <w:tc>
          <w:tcPr>
            <w:tcW w:w="160" w:type="dxa"/>
            <w:vAlign w:val="bottom"/>
          </w:tcPr>
          <w:p>
            <w:pPr>
              <w:spacing w:after="0"/>
              <w:rPr>
                <w:sz w:val="16"/>
                <w:szCs w:val="16"/>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 2022</w:t>
            </w:r>
          </w:p>
        </w:tc>
        <w:tc>
          <w:tcPr>
            <w:tcW w:w="8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2020</w:t>
            </w:r>
          </w:p>
        </w:tc>
      </w:tr>
      <w:tr>
        <w:trPr>
          <w:trHeight w:val="426"/>
        </w:trPr>
        <w:tc>
          <w:tcPr>
            <w:tcW w:w="6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Personal Lines:</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6740" w:type="dxa"/>
            <w:vAlign w:val="bottom"/>
          </w:tcPr>
          <w:p>
            <w:pPr>
              <w:spacing w:after="0"/>
              <w:rPr>
                <w:sz w:val="20"/>
                <w:szCs w:val="20"/>
                <w:color w:val="auto"/>
              </w:rPr>
            </w:pPr>
            <w:r>
              <w:rPr>
                <w:rFonts w:ascii="Arial" w:cs="Arial" w:eastAsia="Arial" w:hAnsi="Arial"/>
                <w:sz w:val="18"/>
                <w:szCs w:val="18"/>
                <w:color w:val="auto"/>
              </w:rPr>
              <w:t>Personal Umbrella</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6740" w:type="dxa"/>
            <w:vAlign w:val="bottom"/>
          </w:tcPr>
          <w:p>
            <w:pPr>
              <w:ind w:left="160"/>
              <w:spacing w:after="0"/>
              <w:rPr>
                <w:sz w:val="20"/>
                <w:szCs w:val="20"/>
                <w:color w:val="auto"/>
              </w:rPr>
            </w:pPr>
            <w:r>
              <w:rPr>
                <w:rFonts w:ascii="Arial" w:cs="Arial" w:eastAsia="Arial" w:hAnsi="Arial"/>
                <w:sz w:val="18"/>
                <w:szCs w:val="18"/>
                <w:color w:val="auto"/>
              </w:rPr>
              <w:t>Quota share treaty:</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 ceded - first $1,000,000 of coverage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Percent ceded - excess of $1,000,000 of coverage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Risk retained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Total reinsurance coverage per occurrence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4,700,000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4,900,000</w:t>
            </w: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r>
        <w:trPr>
          <w:trHeight w:val="230"/>
        </w:trPr>
        <w:tc>
          <w:tcPr>
            <w:tcW w:w="6740" w:type="dxa"/>
            <w:vAlign w:val="bottom"/>
          </w:tcPr>
          <w:p>
            <w:pPr>
              <w:ind w:left="160"/>
              <w:spacing w:after="0"/>
              <w:rPr>
                <w:sz w:val="20"/>
                <w:szCs w:val="20"/>
                <w:color w:val="auto"/>
              </w:rPr>
            </w:pPr>
            <w:r>
              <w:rPr>
                <w:rFonts w:ascii="Arial" w:cs="Arial" w:eastAsia="Arial" w:hAnsi="Arial"/>
                <w:sz w:val="18"/>
                <w:szCs w:val="18"/>
                <w:color w:val="auto"/>
              </w:rPr>
              <w:t>Expiration date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June 30, 2022</w:t>
            </w:r>
          </w:p>
        </w:tc>
        <w:tc>
          <w:tcPr>
            <w:tcW w:w="8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June 30, 2021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June 30, 2020</w:t>
            </w:r>
          </w:p>
        </w:tc>
      </w:tr>
      <w:tr>
        <w:trPr>
          <w:trHeight w:val="418"/>
        </w:trPr>
        <w:tc>
          <w:tcPr>
            <w:tcW w:w="6740" w:type="dxa"/>
            <w:vAlign w:val="bottom"/>
          </w:tcPr>
          <w:p>
            <w:pPr>
              <w:spacing w:after="0"/>
              <w:rPr>
                <w:sz w:val="20"/>
                <w:szCs w:val="20"/>
                <w:color w:val="auto"/>
              </w:rPr>
            </w:pPr>
            <w:r>
              <w:rPr>
                <w:rFonts w:ascii="Arial" w:cs="Arial" w:eastAsia="Arial" w:hAnsi="Arial"/>
                <w:sz w:val="18"/>
                <w:szCs w:val="18"/>
                <w:color w:val="auto"/>
              </w:rPr>
              <w:t>Commercial Lines (1):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General liability commercial policies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ind w:left="160"/>
              <w:spacing w:after="0"/>
              <w:rPr>
                <w:sz w:val="20"/>
                <w:szCs w:val="20"/>
                <w:color w:val="auto"/>
              </w:rPr>
            </w:pPr>
            <w:r>
              <w:rPr>
                <w:rFonts w:ascii="Arial" w:cs="Arial" w:eastAsia="Arial" w:hAnsi="Arial"/>
                <w:sz w:val="18"/>
                <w:szCs w:val="18"/>
                <w:color w:val="auto"/>
              </w:rPr>
              <w:t>Quota share treaty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r>
        <w:trPr>
          <w:trHeight w:val="216"/>
        </w:trPr>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Risk retained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6740" w:type="dxa"/>
            <w:vAlign w:val="bottom"/>
          </w:tcPr>
          <w:p>
            <w:pPr>
              <w:ind w:left="160"/>
              <w:spacing w:after="0"/>
              <w:rPr>
                <w:sz w:val="20"/>
                <w:szCs w:val="20"/>
                <w:color w:val="auto"/>
              </w:rPr>
            </w:pPr>
            <w:r>
              <w:rPr>
                <w:rFonts w:ascii="Arial" w:cs="Arial" w:eastAsia="Arial" w:hAnsi="Arial"/>
                <w:sz w:val="18"/>
                <w:szCs w:val="18"/>
                <w:color w:val="auto"/>
              </w:rPr>
              <w:t>Excess of loss coverage above risk retained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3,750,000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in excess of</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in excess of</w:t>
            </w: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750,000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reinsurance coverage per occurrence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6740" w:type="dxa"/>
            <w:vAlign w:val="bottom"/>
          </w:tcPr>
          <w:p>
            <w:pPr>
              <w:ind w:left="160"/>
              <w:spacing w:after="0"/>
              <w:rPr>
                <w:sz w:val="20"/>
                <w:szCs w:val="20"/>
                <w:color w:val="auto"/>
              </w:rPr>
            </w:pPr>
            <w:r>
              <w:rPr>
                <w:rFonts w:ascii="Arial" w:cs="Arial" w:eastAsia="Arial" w:hAnsi="Arial"/>
                <w:sz w:val="18"/>
                <w:szCs w:val="18"/>
                <w:color w:val="auto"/>
              </w:rPr>
              <w:t>Losses per occurrence subject to reinsurance coverage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4,500,000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4,500,000</w:t>
            </w: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Commercial Umbrella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Quota share treaty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Coverage on all commercial lines policies expired in September 2020; reinsurance coverage is based on treaties in effect on the date of loss.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earned ceding commission revenue under its expired quota share reinsurance agreements based on: (i) a fixed provisional commission rate at which provisional ceding commissions were earned, and (ii)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estimated ultimate treaty year loss ratios (the “Loss Ratio(s)”) for treaties in effect during the three months and nine months ended September 30, 2020 are attributable to contracts under the 2019/2020 Treaty. There was no treaty in effect during the three months and nine months ended September 30, 2021. In addition to the treaty that was in effect during the three months and nine months ended September 30, 2020, the Loss Ratios from prior years’ treaties are subject to change as incurred losses from those periods increase or decrease, resulting in an increase or decrease in the commission rate and contingent ceding commissions earned.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Ceding commission revenue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18"/>
                <w:szCs w:val="18"/>
                <w:color w:val="auto"/>
              </w:rPr>
            </w:pP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0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4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0"/>
        </w:trPr>
        <w:tc>
          <w:tcPr>
            <w:tcW w:w="60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125" w:right="3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40,578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3,460,768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135,666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10,621,804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Contingent ceding commissions earned</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(47,854)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(11,994)</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(98,266)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138,283</w:t>
            </w:r>
          </w:p>
        </w:tc>
      </w:tr>
      <w:tr>
        <w:trPr>
          <w:trHeight w:val="20"/>
        </w:trPr>
        <w:tc>
          <w:tcPr>
            <w:tcW w:w="6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3,448,774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10,760,087</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Provisional ceding commissions are settled monthly. Balances due from reinsurers for contingent ceding commissions on quota share treaties are settled periodically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September 30, 2021 and December 31, 2020, net contingent ceding commissions payable to reinsurers under all treaties was approximately $3,083,000 and $2,604,000, respectively, which is recorded in reinsurance balances payable on the accompanying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2017, KICO became a member of, and invested in, the Federal Home Loan Bank of New York (“FHLBNY”). KICO is required to maintain an investment in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September 30, 2021 and December 31, 2020,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 backed securities, along with U.S. Treasury and agency securities. As of September 30, 2021 KICO did not have any securities pledged to FHLBNY; furthermore, there were no borrowings under this facility during the nine months ended September 30, 2021 and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 per annum. The net proceeds of the issuance were $29,121,630, net of discount of $163,200 and transaction costs of $715,170, for an effective yield of 5.67% per annum. The balance of long-term debt as of September 30, 2021 and December 31, 2020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7"/>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5.50% Senior Unsecured Notes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30,000,000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30,000,000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Discount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(40,552)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(64,883)</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(179,702)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(287,506)</w:t>
            </w:r>
          </w:p>
        </w:tc>
      </w:tr>
      <w:tr>
        <w:trPr>
          <w:trHeight w:val="210"/>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Long-term debt,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29,779,746</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29,647,611</w:t>
            </w:r>
          </w:p>
        </w:tc>
        <w:tc>
          <w:tcPr>
            <w:tcW w:w="100" w:type="dxa"/>
            <w:vAlign w:val="bottom"/>
            <w:tcBorders>
              <w:top w:val="single" w:sz="8" w:color="CCEEFF"/>
            </w:tcBorders>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used an aggregate $28,256,335 of the net proceeds from the offering to contribute capital to KICO in order to support additional growth. The remainder of the net proceeds was used for general corporate purposes. A registration statement relating to the debt issued in the offering was filed with the SEC, which became effective on November 28,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Dividends declared and paid on Common Stock were $1,274,797 and $1,530,390 for the nine months ended September 30, 2021 and 2020, respectively. The Company’s Board of Directors approved a quarterly dividend on October 30, 2021 of $.04 per share payable in cash on December 15, 2021 to stockholders of record as of November 30, 2021 (see Note 13 - Subsequent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are authorized to be issued pursuant to the 2014 Plan to 1,400,000.</w:t>
      </w:r>
    </w:p>
    <w:p>
      <w:pPr>
        <w:sectPr>
          <w:pgSz w:w="11900" w:h="16838" w:orient="portrait"/>
          <w:cols w:equalWidth="0" w:num="1">
            <w:col w:w="11240"/>
          </w:cols>
          <w:pgMar w:left="320" w:top="140" w:right="339" w:bottom="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results of operations for the three months ended September 30, 2021 and 2020 include stock-based compensation expense for stock options totaling approximately $14,000 for both periods. The results of operations for the nine months ended September 30, 2021 and 2020 include stock-based compensation expense for stock options totaling approximately $43,000 and $52,000, respectively. Stock-based compensation expense related to stock options is net of estimated forfeitures of approximately 16% for the three months and nine months ended September 30, 2021 and 2020. Such amounts have been included in the condensed consolidated statements of operations and comprehensive income (loss) within other operating expenses.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options were granted during the nine months ended September 30, 2021. The weighted average estimated fair value of stock options granted during the nine months ended September 30, 2020 was $2.40 per share. The fair value of stock options at the grant date was estimated using the Black-Scholes option-pricing model.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for grants during the following periods:</w:t>
      </w:r>
    </w:p>
    <w:p>
      <w:pPr>
        <w:spacing w:after="0" w:line="221"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Septemebr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5715</wp:posOffset>
            </wp:positionV>
            <wp:extent cx="15430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9020"/>
        <w:spacing w:after="0"/>
        <w:tabs>
          <w:tab w:leader="none" w:pos="103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14605</wp:posOffset>
            </wp:positionV>
            <wp:extent cx="15430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60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n/a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Volatility</w:t>
            </w:r>
          </w:p>
        </w:tc>
        <w:tc>
          <w:tcPr>
            <w:tcW w:w="4600" w:type="dxa"/>
            <w:vAlign w:val="bottom"/>
          </w:tcPr>
          <w:p>
            <w:pPr>
              <w:ind w:left="3720"/>
              <w:spacing w:after="0"/>
              <w:rPr>
                <w:sz w:val="20"/>
                <w:szCs w:val="20"/>
                <w:color w:val="auto"/>
              </w:rPr>
            </w:pPr>
            <w:r>
              <w:rPr>
                <w:rFonts w:ascii="Arial" w:cs="Arial" w:eastAsia="Arial" w:hAnsi="Arial"/>
                <w:sz w:val="18"/>
                <w:szCs w:val="18"/>
                <w:color w:val="auto"/>
              </w:rPr>
              <w:t>n/a</w:t>
            </w:r>
          </w:p>
        </w:tc>
        <w:tc>
          <w:tcPr>
            <w:tcW w:w="1220" w:type="dxa"/>
            <w:vAlign w:val="bottom"/>
          </w:tcPr>
          <w:p>
            <w:pPr>
              <w:jc w:val="right"/>
              <w:spacing w:after="0"/>
              <w:rPr>
                <w:sz w:val="20"/>
                <w:szCs w:val="20"/>
                <w:color w:val="auto"/>
              </w:rPr>
            </w:pPr>
            <w:r>
              <w:rPr>
                <w:rFonts w:ascii="Arial" w:cs="Arial" w:eastAsia="Arial" w:hAnsi="Arial"/>
                <w:sz w:val="18"/>
                <w:szCs w:val="18"/>
                <w:color w:val="auto"/>
              </w:rPr>
              <w:t>37.69%</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0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n/a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Expected Life</w:t>
            </w:r>
          </w:p>
        </w:tc>
        <w:tc>
          <w:tcPr>
            <w:tcW w:w="4600" w:type="dxa"/>
            <w:vAlign w:val="bottom"/>
          </w:tcPr>
          <w:p>
            <w:pPr>
              <w:ind w:left="3720"/>
              <w:spacing w:after="0"/>
              <w:rPr>
                <w:sz w:val="20"/>
                <w:szCs w:val="20"/>
                <w:color w:val="auto"/>
              </w:rPr>
            </w:pPr>
            <w:r>
              <w:rPr>
                <w:rFonts w:ascii="Arial" w:cs="Arial" w:eastAsia="Arial" w:hAnsi="Arial"/>
                <w:sz w:val="18"/>
                <w:szCs w:val="18"/>
                <w:color w:val="auto"/>
              </w:rPr>
              <w:t>n/a</w:t>
            </w:r>
          </w:p>
        </w:tc>
        <w:tc>
          <w:tcPr>
            <w:tcW w:w="1220" w:type="dxa"/>
            <w:vAlign w:val="bottom"/>
          </w:tcPr>
          <w:p>
            <w:pPr>
              <w:jc w:val="right"/>
              <w:spacing w:after="0"/>
              <w:rPr>
                <w:sz w:val="20"/>
                <w:szCs w:val="20"/>
                <w:color w:val="auto"/>
              </w:rPr>
            </w:pPr>
            <w:r>
              <w:rPr>
                <w:rFonts w:ascii="Arial" w:cs="Arial" w:eastAsia="Arial" w:hAnsi="Arial"/>
                <w:sz w:val="18"/>
                <w:szCs w:val="18"/>
                <w:color w:val="auto"/>
              </w:rPr>
              <w:t>2.75%</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Company’s 2014 Plan for the nine months ended September 30, 2021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1280" w:type="dxa"/>
            <w:vAlign w:val="bottom"/>
          </w:tcPr>
          <w:p>
            <w:pPr>
              <w:spacing w:after="0"/>
              <w:rPr>
                <w:sz w:val="20"/>
                <w:szCs w:val="20"/>
                <w:color w:val="auto"/>
              </w:rPr>
            </w:pPr>
          </w:p>
        </w:tc>
        <w:tc>
          <w:tcPr>
            <w:tcW w:w="4660" w:type="dxa"/>
            <w:vAlign w:val="bottom"/>
          </w:tcPr>
          <w:p>
            <w:pPr>
              <w:ind w:left="116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per Share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1280" w:type="dxa"/>
            <w:vAlign w:val="bottom"/>
            <w:tcBorders>
              <w:top w:val="single" w:sz="8" w:color="auto"/>
            </w:tcBorders>
          </w:tcPr>
          <w:p>
            <w:pPr>
              <w:spacing w:after="0"/>
              <w:rPr>
                <w:sz w:val="18"/>
                <w:szCs w:val="18"/>
                <w:color w:val="auto"/>
              </w:rPr>
            </w:pPr>
          </w:p>
        </w:tc>
        <w:tc>
          <w:tcPr>
            <w:tcW w:w="4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119,966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12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2021</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107,966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1280" w:type="dxa"/>
            <w:vAlign w:val="bottom"/>
            <w:tcBorders>
              <w:top w:val="single" w:sz="8" w:color="auto"/>
            </w:tcBorders>
          </w:tcPr>
          <w:p>
            <w:pPr>
              <w:spacing w:after="0"/>
              <w:rPr>
                <w:sz w:val="17"/>
                <w:szCs w:val="17"/>
                <w:color w:val="auto"/>
              </w:rPr>
            </w:pPr>
          </w:p>
        </w:tc>
        <w:tc>
          <w:tcPr>
            <w:tcW w:w="4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Exercisable at September 30, 2021</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Borders>
              <w:top w:val="single" w:sz="8" w:color="auto"/>
            </w:tcBorders>
            <w:shd w:val="clear" w:color="auto" w:fill="000000"/>
          </w:tcPr>
          <w:p>
            <w:pPr>
              <w:spacing w:after="0" w:line="20" w:lineRule="exact"/>
              <w:rPr>
                <w:sz w:val="1"/>
                <w:szCs w:val="1"/>
                <w:color w:val="auto"/>
              </w:rPr>
            </w:pPr>
          </w:p>
        </w:tc>
        <w:tc>
          <w:tcPr>
            <w:tcW w:w="4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aggregate intrinsic value of options outstanding and options exercisable at September 30, 2021 is calculated as the difference between the exercise price of the underlying options and the market price of the Company’s Common Stock for the options that had exercise prices that were lower than the $6.64 closing price of the Company’s Common Stock on September 30, 2021. No options were exercised during the nine months ended September 30, 2021. The total intrinsic value of options expired during the nine months ended September 30, 2021 was $-0-, determined as of the date of expiration.</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the estimated fair value of unamortized compensation cost related to unvested stock option awards was approximately $21,000.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Unamortized compensation cost as of September 30, 2021 is expected to be recognized over a remaining weighted-average vesting period of 0.63 years.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there were 510,749 shares reserved for grants under the 2014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restricted Common Stock activity under the Company’s 2014 Plan for the nine months ended September 30, 2021 is as follows:</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Aggregate</w:t>
            </w:r>
          </w:p>
        </w:tc>
      </w:tr>
      <w:tr>
        <w:trPr>
          <w:trHeight w:val="234"/>
        </w:trPr>
        <w:tc>
          <w:tcPr>
            <w:tcW w:w="1280" w:type="dxa"/>
            <w:vAlign w:val="bottom"/>
          </w:tcPr>
          <w:p>
            <w:pPr>
              <w:spacing w:after="0"/>
              <w:rPr>
                <w:sz w:val="20"/>
                <w:szCs w:val="20"/>
                <w:color w:val="auto"/>
              </w:rPr>
            </w:pPr>
          </w:p>
        </w:tc>
        <w:tc>
          <w:tcPr>
            <w:tcW w:w="6000" w:type="dxa"/>
            <w:vAlign w:val="bottom"/>
          </w:tcPr>
          <w:p>
            <w:pPr>
              <w:ind w:left="1420"/>
              <w:spacing w:after="0"/>
              <w:rPr>
                <w:sz w:val="20"/>
                <w:szCs w:val="20"/>
                <w:color w:val="auto"/>
              </w:rPr>
            </w:pPr>
            <w:r>
              <w:rPr>
                <w:rFonts w:ascii="Arial" w:cs="Arial" w:eastAsia="Arial" w:hAnsi="Arial"/>
                <w:sz w:val="18"/>
                <w:szCs w:val="18"/>
                <w:b w:val="1"/>
                <w:bCs w:val="1"/>
                <w:color w:val="auto"/>
              </w:rPr>
              <w:t>Restricted Stock Awards</w:t>
            </w:r>
          </w:p>
        </w:tc>
        <w:tc>
          <w:tcPr>
            <w:tcW w:w="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per Share</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r>
      <w:tr>
        <w:trPr>
          <w:trHeight w:val="209"/>
        </w:trPr>
        <w:tc>
          <w:tcPr>
            <w:tcW w:w="1280" w:type="dxa"/>
            <w:vAlign w:val="bottom"/>
            <w:tcBorders>
              <w:top w:val="single" w:sz="8" w:color="auto"/>
            </w:tcBorders>
          </w:tcPr>
          <w:p>
            <w:pPr>
              <w:spacing w:after="0"/>
              <w:rPr>
                <w:sz w:val="18"/>
                <w:szCs w:val="18"/>
                <w:color w:val="auto"/>
              </w:rPr>
            </w:pPr>
          </w:p>
        </w:tc>
        <w:tc>
          <w:tcPr>
            <w:tcW w:w="6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370,964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3,990,999</w:t>
            </w:r>
          </w:p>
        </w:tc>
      </w:tr>
      <w:tr>
        <w:trPr>
          <w:trHeight w:val="216"/>
        </w:trPr>
        <w:tc>
          <w:tcPr>
            <w:tcW w:w="12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321,335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2,233,366</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(104,870)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(1,006,771)</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128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572,684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5,217,594</w:t>
            </w:r>
          </w:p>
        </w:tc>
      </w:tr>
      <w:tr>
        <w:trPr>
          <w:trHeight w:val="20"/>
        </w:trPr>
        <w:tc>
          <w:tcPr>
            <w:tcW w:w="1280" w:type="dxa"/>
            <w:vAlign w:val="bottom"/>
            <w:tcBorders>
              <w:top w:val="single" w:sz="8" w:color="auto"/>
            </w:tcBorders>
            <w:shd w:val="clear" w:color="auto" w:fill="000000"/>
          </w:tcPr>
          <w:p>
            <w:pPr>
              <w:spacing w:after="0" w:line="20" w:lineRule="exact"/>
              <w:rPr>
                <w:sz w:val="1"/>
                <w:szCs w:val="1"/>
                <w:color w:val="auto"/>
              </w:rPr>
            </w:pPr>
          </w:p>
        </w:tc>
        <w:tc>
          <w:tcPr>
            <w:tcW w:w="6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was calculated using the closing price of the Company’s Common Stock on the grant date. For the three months ended September 30, 2021 and 2020, stock-based compensation for these grants was approximately $452,000 and $416,000, respectively, which is included in other operating expenses on the accompanying condensed consolidated statements of operations and comprehensive income (loss). For the nine months ended September 30, 2021 and 2020, stock-based compensation for these grants was approximately $1,405,000 and $1,321,000, respectively, which is included in other operating expenses on the accompanying condensed consolidated statements of operations and comprehensive income (loss). These amounts reflect the Company’s accounting expense and do not correspond to the actual value that will be recognized by the directors, executives and employees.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19, 2021, the Company’s Board of Directors adopted the Employee Stock Purchase Plan (the “Purchase Plan”), subject to stockholder approval. Such approval was obtained on August 10, 2021. The purpose of the Purchase Plan is to provide eligible employees of the Company with an opportunity to use payroll deductions to purchase shares of Common Stock of the Company. The maximum number of shares of Common Stock that may be purchased under the Purchase Plan is 750,000, subject to adjustment as provided for in the Purchase Plan. The Plan was effective November 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28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25"/>
        </w:trPr>
        <w:tc>
          <w:tcPr>
            <w:tcW w:w="8600" w:type="dxa"/>
            <w:vAlign w:val="bottom"/>
            <w:gridSpan w:val="2"/>
          </w:tcPr>
          <w:p>
            <w:pPr>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operating loss carryovers (1)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2,714,766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Claims reserve discount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1,186,698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838,030</w:t>
            </w:r>
          </w:p>
        </w:tc>
      </w:tr>
      <w:tr>
        <w:trPr>
          <w:trHeight w:val="216"/>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Unearned premium</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4,115,130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3,880,275</w:t>
            </w:r>
          </w:p>
        </w:tc>
      </w:tr>
      <w:tr>
        <w:trPr>
          <w:trHeight w:val="216"/>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Deferred ceding commission 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18,448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19,639</w:t>
            </w:r>
          </w:p>
        </w:tc>
      </w:tr>
      <w:tr>
        <w:trPr>
          <w:trHeight w:val="216"/>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693,141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648,691</w:t>
            </w:r>
          </w:p>
        </w:tc>
      </w:tr>
      <w:tr>
        <w:trPr>
          <w:trHeight w:val="20"/>
        </w:trPr>
        <w:tc>
          <w:tcPr>
            <w:tcW w:w="1280" w:type="dxa"/>
            <w:vAlign w:val="bottom"/>
            <w:shd w:val="clear" w:color="auto" w:fill="CCEEFF"/>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8,728,183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5,386,635</w:t>
            </w:r>
          </w:p>
        </w:tc>
      </w:tr>
      <w:tr>
        <w:trPr>
          <w:trHeight w:val="209"/>
        </w:trPr>
        <w:tc>
          <w:tcPr>
            <w:tcW w:w="128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KICO (2)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759,543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759,543</w:t>
            </w:r>
          </w:p>
        </w:tc>
      </w:tr>
      <w:tr>
        <w:trPr>
          <w:trHeight w:val="216"/>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Deferred acquisition 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4,465,002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4,229,928</w:t>
            </w:r>
          </w:p>
        </w:tc>
      </w:tr>
      <w:tr>
        <w:trPr>
          <w:trHeight w:val="216"/>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r>
      <w:tr>
        <w:trPr>
          <w:trHeight w:val="216"/>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697,742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954,446</w:t>
            </w:r>
          </w:p>
        </w:tc>
      </w:tr>
      <w:tr>
        <w:trPr>
          <w:trHeight w:val="216"/>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gains of securities - available-for-sale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3,238,744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3,494,631</w:t>
            </w:r>
          </w:p>
        </w:tc>
      </w:tr>
      <w:tr>
        <w:trPr>
          <w:trHeight w:val="20"/>
        </w:trPr>
        <w:tc>
          <w:tcPr>
            <w:tcW w:w="1280" w:type="dxa"/>
            <w:vAlign w:val="bottom"/>
            <w:shd w:val="clear" w:color="auto" w:fill="CCEEFF"/>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60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9,266,031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9,543,548</w:t>
            </w:r>
          </w:p>
        </w:tc>
      </w:tr>
      <w:tr>
        <w:trPr>
          <w:trHeight w:val="209"/>
        </w:trPr>
        <w:tc>
          <w:tcPr>
            <w:tcW w:w="128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Net deferred income tax liability</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(537,848)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(4,156,913)</w:t>
            </w:r>
          </w:p>
        </w:tc>
      </w:tr>
      <w:tr>
        <w:trPr>
          <w:trHeight w:val="20"/>
        </w:trPr>
        <w:tc>
          <w:tcPr>
            <w:tcW w:w="12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deferred tax assets from net operating loss carryovers (“NOL”)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7040" w:type="dxa"/>
            <w:vAlign w:val="bottom"/>
            <w:tcBorders>
              <w:bottom w:val="single" w:sz="8" w:color="auto"/>
            </w:tcBorders>
          </w:tcPr>
          <w:p>
            <w:pPr>
              <w:ind w:left="3020"/>
              <w:spacing w:after="0"/>
              <w:rPr>
                <w:sz w:val="20"/>
                <w:szCs w:val="20"/>
                <w:color w:val="auto"/>
              </w:rPr>
            </w:pPr>
            <w:r>
              <w:rPr>
                <w:rFonts w:ascii="Arial" w:cs="Arial" w:eastAsia="Arial" w:hAnsi="Arial"/>
                <w:sz w:val="18"/>
                <w:szCs w:val="18"/>
                <w:b w:val="1"/>
                <w:bCs w:val="1"/>
                <w:color w:val="auto"/>
              </w:rPr>
              <w:t>Type of NOL</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Expiration</w:t>
            </w:r>
          </w:p>
        </w:tc>
      </w:tr>
    </w:tbl>
    <w:p>
      <w:pPr>
        <w:sectPr>
          <w:pgSz w:w="11900" w:h="16838" w:orient="portrait"/>
          <w:cols w:equalWidth="0" w:num="1">
            <w:col w:w="11240"/>
          </w:cols>
          <w:pgMar w:left="320" w:top="108" w:right="3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Federal only, current year (A)</w:t>
            </w:r>
          </w:p>
        </w:tc>
        <w:tc>
          <w:tcPr>
            <w:tcW w:w="1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2,714,766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1,200,056</w:t>
            </w:r>
          </w:p>
        </w:tc>
        <w:tc>
          <w:tcPr>
            <w:tcW w:w="13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NOL carried back</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(1,200,056)</w:t>
            </w:r>
          </w:p>
        </w:tc>
        <w:tc>
          <w:tcPr>
            <w:tcW w:w="136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Federal only, current year</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2,714,766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None</w:t>
            </w:r>
          </w:p>
        </w:tc>
      </w:tr>
      <w:tr>
        <w:trPr>
          <w:trHeight w:val="209"/>
        </w:trPr>
        <w:tc>
          <w:tcPr>
            <w:tcW w:w="56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202"/>
        </w:trPr>
        <w:tc>
          <w:tcPr>
            <w:tcW w:w="5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State only (B)</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December 31,</w:t>
            </w:r>
          </w:p>
        </w:tc>
      </w:tr>
      <w:tr>
        <w:trPr>
          <w:trHeight w:val="230"/>
        </w:trPr>
        <w:tc>
          <w:tcPr>
            <w:tcW w:w="56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2,049,485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1,815,546</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2040</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Valuation allowance</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(2,049,485)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(1,815,546)</w:t>
            </w:r>
          </w:p>
        </w:tc>
        <w:tc>
          <w:tcPr>
            <w:tcW w:w="1360" w:type="dxa"/>
            <w:vAlign w:val="bottom"/>
          </w:tcPr>
          <w:p>
            <w:pPr>
              <w:spacing w:after="0"/>
              <w:rPr>
                <w:sz w:val="18"/>
                <w:szCs w:val="18"/>
                <w:color w:val="auto"/>
              </w:rPr>
            </w:pPr>
          </w:p>
        </w:tc>
      </w:tr>
      <w:tr>
        <w:trPr>
          <w:trHeight w:val="209"/>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only, net of valuation allowance</w:t>
            </w:r>
          </w:p>
        </w:tc>
        <w:tc>
          <w:tcPr>
            <w:tcW w:w="1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09"/>
        </w:trPr>
        <w:tc>
          <w:tcPr>
            <w:tcW w:w="5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 from net operating loss carryovers</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2,714,766</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20"/>
                <w:szCs w:val="20"/>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46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27, 2020, the Coronavirus Aid, Relief, and Economic Security (CARES) Act was signed into law, allowing for a five year carryback of 2020 and 2019 NOLs. The Company elected on its 2019 federal income tax return to carry back the 2019 NOL to tax years 2014 and 2015. The Company elected on its 2020 federal income tax return to carry back the 2020 NOL to tax year 2015. The corporate tax rate in 2014 and 2015 was 34%, compared to the corporate tax rate of 21% in 2020 and 2019.</w:t>
      </w:r>
    </w:p>
    <w:p>
      <w:pPr>
        <w:spacing w:after="0" w:line="186" w:lineRule="exact"/>
        <w:rPr>
          <w:rFonts w:ascii="Arial" w:cs="Arial" w:eastAsia="Arial" w:hAnsi="Arial"/>
          <w:sz w:val="18"/>
          <w:szCs w:val="18"/>
          <w:color w:val="auto"/>
        </w:rPr>
      </w:pPr>
    </w:p>
    <w:p>
      <w:pPr>
        <w:jc w:val="both"/>
        <w:ind w:left="460" w:hanging="452"/>
        <w:spacing w:after="0" w:line="29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September 30, 2021 and December 31, 2020 was approximately $31,531,000 and $27,931,000, respectively. KICO, the Company’s insurance underwriting subsidiary, is not subject to state income taxes. KICO’s state tax obligations are paid through a gross premiums tax, which is included in the consolidated statements of operations and comprehensive loss within other underwriting expenses. Kingstone has recorded a valuation allowance due to the uncertainty of generating enough state taxable income to utilize 100% of the available state NOLs over their remaining lives, which expire between 2027 and 2041.</w:t>
      </w:r>
    </w:p>
    <w:p>
      <w:pPr>
        <w:spacing w:after="0" w:line="16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Deferred tax liability – Investment in KICO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interest or penalties related to income taxes that have been accrued or recognized as of and for the nine months ended September 30, 2021 and 2020. If any had been recognized these would have been reported in income tax expense.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Generally, taxing authorities may examine the Company’s tax returns for the three years from the date of filing. The Company’s tax returns for the years ended December 31, 2018 through December 31, 2020 remain subject to examination.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–Earnings/(Loss) Per Common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earnings/(loss) per common share is computed by dividing income/(loss) available to common shareholders by the weighted-average number of shares of Common Stock outstanding. Diluted earnings/(loss) per common share reflect, in periods in which they have a dilutive effect, the impact of common shares issuable upon exercise of stock options as well as non-vested restricted stock awards. The computation of diluted earnings/(loss) per common share excludes those options with an exercise price in excess of the average market price of the Company’s Common Stock during the periods presented.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computation of diluted earnings/(loss) per common share excludes outstanding options in periods where the exercise of such options would be anti-dilutive. For the nine months ended September 30, 2021, no options were included in the computation of diluted earnings per common share as they would have been anti-dilutive for the relevant periods and, as a result, the weighted average number of shares of Common Stock used in the calculation of diluted earnings per common share has not been adjusted for the effect of such options.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of the weighted average number of shares of Common Stock used in the calculation of basic and diluted earnings/(loss) per common share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355" w:right="339" w:bottom="0" w:gutter="0" w:footer="0" w:header="0"/>
        </w:sectPr>
      </w:pPr>
    </w:p>
    <w:bookmarkStart w:id="23" w:name="page24"/>
    <w:bookmarkEnd w:id="23"/>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6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6060" w:type="dxa"/>
            <w:vAlign w:val="bottom"/>
          </w:tcPr>
          <w:p>
            <w:pPr>
              <w:spacing w:after="0"/>
              <w:rPr>
                <w:sz w:val="20"/>
                <w:szCs w:val="20"/>
                <w:color w:val="auto"/>
              </w:rPr>
            </w:pPr>
          </w:p>
        </w:tc>
        <w:tc>
          <w:tcPr>
            <w:tcW w:w="264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60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10,523,515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10,673,077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10,622,988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10,737,853</w:t>
            </w:r>
          </w:p>
        </w:tc>
      </w:tr>
      <w:tr>
        <w:trPr>
          <w:trHeight w:val="216"/>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common share equivalents: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60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used for computing diluted earnings per share</w:t>
            </w:r>
          </w:p>
        </w:tc>
        <w:tc>
          <w:tcPr>
            <w:tcW w:w="1100" w:type="dxa"/>
            <w:vAlign w:val="bottom"/>
          </w:tcPr>
          <w:p>
            <w:pPr>
              <w:jc w:val="right"/>
              <w:spacing w:after="0"/>
              <w:rPr>
                <w:sz w:val="20"/>
                <w:szCs w:val="20"/>
                <w:color w:val="auto"/>
              </w:rPr>
            </w:pPr>
            <w:r>
              <w:rPr>
                <w:rFonts w:ascii="Arial" w:cs="Arial" w:eastAsia="Arial" w:hAnsi="Arial"/>
                <w:sz w:val="18"/>
                <w:szCs w:val="18"/>
                <w:color w:val="auto"/>
              </w:rPr>
              <w:t>10,523,515</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10,673,077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10,622,988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10,737,853</w:t>
            </w:r>
          </w:p>
        </w:tc>
      </w:tr>
      <w:tr>
        <w:trPr>
          <w:trHeight w:val="20"/>
        </w:trPr>
        <w:tc>
          <w:tcPr>
            <w:tcW w:w="6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 party to a non-cancellable operating lease, dated March 27, 2015, for its office facility for KICO located in Valley Stream, New York expiring March 31, 2024.</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8, 2019, the Company entered into a lease agreement for an additional office facility for Cosi located in Valley Stream, New York under a non-cancelable operating lease. The lease has a term of seven years and two months expiring December 31, 2026.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Company’s office operating leases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Nine months</w:t>
            </w:r>
          </w:p>
        </w:tc>
      </w:tr>
      <w:tr>
        <w:trPr>
          <w:trHeight w:val="216"/>
        </w:trPr>
        <w:tc>
          <w:tcPr>
            <w:tcW w:w="12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ended</w:t>
            </w:r>
          </w:p>
        </w:tc>
        <w:tc>
          <w:tcPr>
            <w:tcW w:w="2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12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Lease cost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20"/>
                <w:szCs w:val="20"/>
                <w:color w:val="auto"/>
              </w:rPr>
            </w:pPr>
          </w:p>
        </w:tc>
      </w:tr>
      <w:tr>
        <w:trPr>
          <w:trHeight w:val="210"/>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57,459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172,377</w:t>
            </w: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Short-term leases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lease cost (1)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57,459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172,377</w:t>
            </w:r>
          </w:p>
        </w:tc>
      </w:tr>
      <w:tr>
        <w:trPr>
          <w:trHeight w:val="197"/>
        </w:trPr>
        <w:tc>
          <w:tcPr>
            <w:tcW w:w="1280" w:type="dxa"/>
            <w:vAlign w:val="bottom"/>
            <w:tcBorders>
              <w:top w:val="single" w:sz="8" w:color="CCEEFF"/>
            </w:tcBorders>
          </w:tcPr>
          <w:p>
            <w:pPr>
              <w:spacing w:after="0"/>
              <w:rPr>
                <w:sz w:val="17"/>
                <w:szCs w:val="17"/>
                <w:color w:val="auto"/>
              </w:rPr>
            </w:pPr>
          </w:p>
        </w:tc>
        <w:tc>
          <w:tcPr>
            <w:tcW w:w="7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information on operating leases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Cash payments included in the measurement of lease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liability reported in operating cash flows</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66,531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198,040</w:t>
            </w: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lease term in years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 years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 years</w:t>
            </w:r>
          </w:p>
        </w:tc>
      </w:tr>
    </w:tbl>
    <w:p>
      <w:pPr>
        <w:spacing w:after="0" w:line="202" w:lineRule="exact"/>
        <w:rPr>
          <w:sz w:val="20"/>
          <w:szCs w:val="20"/>
          <w:color w:val="auto"/>
        </w:rPr>
      </w:pPr>
    </w:p>
    <w:p>
      <w:pPr>
        <w:ind w:left="460" w:right="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the condensed consolidated statements of operations and comprehensive income (loss) within other underwriting expenses for KICO and within other operating expenses for Cosi.</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The following table presents the contractual maturities of the Company’s lease liabilities as of September 30, 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Year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91"/>
              </w:rPr>
              <w:t>Ending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8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66,531</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273,831</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283,415</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140,739</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94,799</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98,117</w:t>
            </w:r>
          </w:p>
        </w:tc>
        <w:tc>
          <w:tcPr>
            <w:tcW w:w="100" w:type="dxa"/>
            <w:vAlign w:val="bottom"/>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undiscounted lease payments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957,432</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104,438</w:t>
            </w:r>
          </w:p>
        </w:tc>
        <w:tc>
          <w:tcPr>
            <w:tcW w:w="100" w:type="dxa"/>
            <w:vAlign w:val="bottom"/>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852,994</w:t>
            </w:r>
          </w:p>
        </w:tc>
        <w:tc>
          <w:tcPr>
            <w:tcW w:w="100" w:type="dxa"/>
            <w:vAlign w:val="bottom"/>
            <w:shd w:val="clear" w:color="auto" w:fill="CCEEFF"/>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8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48" w:orient="portrait"/>
          <w:cols w:equalWidth="0" w:num="1">
            <w:col w:w="11240"/>
          </w:cols>
          <w:pgMar w:left="320" w:top="121" w:right="339" w:bottom="0" w:gutter="0" w:footer="0" w:header="0"/>
        </w:sectPr>
      </w:pPr>
    </w:p>
    <w:p>
      <w:pPr>
        <w:spacing w:after="0" w:line="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Rent expense for the three months ended September 30, 2021 and 2020 amounted to $57,459 and $61,297, respectively. Rent expense for the nine months ended September 30, 2021 and 2020 amounted to $172,377 and $183,891, respectively. Rent expense is included in the accompanying condensed</w:t>
      </w:r>
    </w:p>
    <w:p>
      <w:pPr>
        <w:sectPr>
          <w:pgSz w:w="11900" w:h="16848" w:orient="portrait"/>
          <w:cols w:equalWidth="0" w:num="1">
            <w:col w:w="11240"/>
          </w:cols>
          <w:pgMar w:left="320" w:top="121" w:right="339" w:bottom="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consolidated statements of operations and comprehensive income (loss) within other underwriting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Goldstein, President, Chief Executive Officer and Executive Chairman of the Board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14, 2019, the Company and Barry B. Goldstein, the Company’s President, Chief Executive Officer and Executive Chairman of the Board, entered into a Second Amended and Restated Employment Agreement (the “Amended Employment Agreement”). The Amended Employment Agreement is effective as of January 1, 2020 and expires on December 31, 2022. The Amended Employment Agreement extends the expiration date of the employment agreement in effect for Mr. Goldstein from December 31, 2021 to December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Amended Employment Agreement, Mr. Goldstein is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Amended Employment Agreement, Mr. Goldstein is entitled to receive a long-term compensation (“LTC”) award of between $945,000 and $2,835,000 based on a specified minimum increase in the Company’s adjusted book value per share (as defined in the Amended Employment Agreement) as of December 31, 2022 as compared to December 31, 2019 (with the maximum LTC payment being due if the average per annum increase is at least 14%). Further, pursuant to the Amended Employment Agreement, in the event that Mr. Goldstein’s employment is terminated by the Company without cause or he resigns for good reason (each as defined in the Amended Employment Agreement), Mr. Goldstein would be entitled to receive his base salary, the 6% bonus and the LTC payment for the remainder of the term. In addition, in the event of Mr. Goldstein’s death, his estate would be entitled to receive his base salary, accrued bonus and accrued LTC payment through the date of death. Further, in the event that Mr. Goldstein’s employment is terminated by the Company without cause or he resigns for good reason, or, in the event of the termination of Mr. Goldstein’s employment due to disability or death, Mr. Goldstein’s granted but unvested restricted stock awards will vest. Mr. Goldstein would be entitled, under certain circumstances, to a payment equal to 3.82 times his then annual salary, the target LTC payment of $1,890,000 and his accrued 6% bonus in the event of the termination of his employment within eighteen months following a change of control of the Company.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Amended Employment Agreement, in January 2020, Mr. Goldstein received a grant of 157,431 shares of restricted stock under the terms of the Company’s 2014 Plan determined by dividing $1,250,000 by the fair market value of the Company’s Common Stock on the date of grant. This 2020 grant vested with respect to one-third of the award on the first anniversary of the grant date and will vest with respect to one-third of the award on each of the second anniversary of the grant date and December 31, 2022 based on the continued provision of services through the applicable vesting date. Also pursuant to the Amended Employment Agreement, Mr. Goldstein received a grant, under the terms of the 2014 Plan, during January 2021, of 230,769 shares of restricted stock determined by dividing $1,500,000 by the fair market value of the Company’s Common Stock on the date of grant. This 2021 grant will vest with respect to one-half of the award on each of the first anniversary of the grant date and on December 31, 2022 based on the continued provision of services through the applicable vesting date. Further, pursuant to the Amended Employment Agreement, Mr. Goldstein received in 2020 and 2021, and will be entitled to receive during 2022, a grant, under the terms of the 2014 Plan, of a number of shares of restricted stock determined by dividing $136,500 by the fair market value of the Company’s Common Stock on the date of grant. In January 2020, Mr. Goldstein was granted 17,191 shares of restricted stock pursuant to this provision. This grant vested with respect to one-third of the award on the first anniversary of the grant date and will vest with respect to one-third of the award on each of the second anniversary of the grant date and on December 31, 2022 based on the continued provision of services through the applicable vesting date. In January 2021, Mr. Goldstein was granted 21,000 shares of restricted stock pursuant to the provision. This grant will vest with respect to one-half of the award on each of the first anniversary of the grant date and on December 31, 2022 based on the continued provision of services through the applicable vesting date. The 2022 grant will vest on December 31, 2022 based on the continued provision of services through such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Dale A. Thatcher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July 19, 2019 (the “Separation Date”), Dale A. Thatcher retired and resigned his positions as Chief Executive Officer and President of the Company and KICO. At such time, he also resigned his positions on the Board of Directors of each of the Company and KICO. Effective upon Mr. Thatcher’s separation from employment, the Board appointed Barry B. Goldstein, former Chief Executive Officer and Executive Chairman of the Board of Directors, to the position of Chief Executive Officer and President of each of the Company and KICO. Mr. Goldstein previously served as Chief Executive Officer and President of the Company from March 2001 through December 31, 2018, and as Chief Executive Officer and President of KICO from January 2012 through December 31, 2018.</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his separation from employment, each of the Company and KICO entered into an Agreement and General Release (the “Separation Agreement”) with Mr. Thatcher. Pursuant to the Separation Agreement, the Company and KICO provided the following payments and benefits to Mr. Thatcher in full satisfaction of all payments and benefits and other amounts due to him under the terms of the existing employment agreements upon his separation from employment: (i) $381,111 (representing the amount of base salary he would have received had he remained employed through March 31, 2020), (ii) $5,000 in full satisfaction for any bonus payments payable under the existing employment agreements, (iii) continuing group health coverage commencing on the Separation Date and ending on March 31, 2020, and (iv) continued vesting of all stock awards previously granted to Mr. Thatcher in his capacity as an executive officer but which were unvested as of the Separation Date (the “Shares”) (Mr. Thatcher shall not be entitled to any further grants of stock awards after the Separation Date).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Effective January 27, 2021, the Company entered into an agreement (the “Relinquishment Agreement”) with Mr. Thatcher. Pursuant to the Relinquishment Agreement, Mr. Thatcher relinquished his right to receive 14,077 unissued Shares which vested on January 1, 2021, the right to receive 11,905 Shares which were scheduled to vest on March 14, 2021 and the right to receive 14,076 Shares which were scheduled to vest on January 1, 2022 in full consideration of the payment by the Company of an aggregate of $280,406.In addition, the Company and KICO agreed to provide Mr. Thatcher with a</w:t>
      </w:r>
    </w:p>
    <w:p>
      <w:pPr>
        <w:sectPr>
          <w:pgSz w:w="11900" w:h="16838" w:orient="portrait"/>
          <w:cols w:equalWidth="0" w:num="1">
            <w:col w:w="11240"/>
          </w:cols>
          <w:pgMar w:left="320" w:top="125" w:right="339" w:bottom="0" w:gutter="0" w:footer="0" w:header="0"/>
        </w:sectPr>
      </w:pPr>
    </w:p>
    <w:bookmarkStart w:id="25" w:name="page26"/>
    <w:bookmarkEnd w:id="25"/>
    <w:p>
      <w:pPr>
        <w:jc w:val="both"/>
        <w:spacing w:after="0" w:line="308" w:lineRule="auto"/>
        <w:rPr>
          <w:sz w:val="20"/>
          <w:szCs w:val="20"/>
          <w:color w:val="auto"/>
        </w:rPr>
      </w:pPr>
      <w:r>
        <w:rPr>
          <w:rFonts w:ascii="Arial" w:cs="Arial" w:eastAsia="Arial" w:hAnsi="Arial"/>
          <w:sz w:val="17"/>
          <w:szCs w:val="17"/>
          <w:color w:val="auto"/>
        </w:rPr>
        <w:t>severance payment of $20,000 in consideration for a release. Pursuant to the Separation Agreement, Mr. Thatcher agreed that, for a period of three years following the Separation Date, he shall not accept any operating executive role with another property and casualty insurance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Meryl Golden, Chief Operating Officer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16, 2019, the Company and Meryl Golden entered into an employment agreement (the “Golden Employment Agreement”) pursuant to which Ms. Golden serves as the Company’s Chief Operating Officer. Ms. Golden also serves as KICO’s Chief Operating Officer. The Golden Employment Agreement became effective as of September 25, 2019 (amended on December 24, 2020) and now expires on December 31, 2022.</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Golden Employment Agreement, Ms. Golden is entitled to receive an annual salary of $500,000. The Golden Employment also provides for the grant on the effective date of a five year option for the purchase of 50,000 shares of the Company’s Common Stock pursuant to the 2014 Plan. The options granted vest in four equal installments, with the first installment vesting on the grant date, and the remaining installments vesting on the first, second, and third anniversaries of the grant date, subject to the terms of the stock option agreement between the Company and Ms. Golden. In January 2021, pursuant to the Golden Employment Agreement as amended, Ms. Golden was granted 30,000 shares of restricted Common Stock pursuant to the 2014 Plan and will be entitled to receive in January 2022 an additional grant of 30,000 shares of restricted Common Stock pursuant to the 2014 Plan. Each such grant will vest in three equal installments on each of the first, second and third anniversaries of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outbreak of the coronavirus, also known as "COVID-19", has spread across the globe and is impacting worldwide economic activity. Conditions surrounding the coronavirus continue to rapidly evolve and government authorities have implemented emergency measures to mitigate the spread of the virus. The outbreak and the related mitigation measures have had and will continue to have a material adverse impact on global economic conditions as well as on the Company's business activities. The extent to which COVID-19 may impact the Company's business activities will depend on future developments, such as the ultimate geographic spread of the disease, the duration of the outbreak, travel restrictions, business disruptions, and the effectiveness of actions taken in the United States and other countries to contain, prevent and treat the disease. These events are highly uncertain and, as such, the Company cannot determine their financial impact at this time. No adjustments have been made to the amounts reported in these condensed consolidated financial statements as a result of this matter.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Deferred Compensation Plan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deferred compensation liability as of September 30, 2021 and December 31, 2020 amounted to $831,441 and $763,789, respectively, and is recorded in accounts payable, accrued expenses and other liabilities in the accompanying condensed consolidated balance sheets. The Company did not make any voluntary contributions for the nine months ended September 30, 2021 and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evaluated events that occurred subsequent to September 30, 2021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October 18, 2021, the Company entered into a stub catastrophe reinsurance treaty covering the period from October 18, 2021 through December 31, 2021. The treaty provides reinsurance coverage for catastrophe losses of $5,000,000 in excess of $5,000,000. Losses from freeze are excluded from the treaty (see Note 6 – Property and Casualty Insurance Activity - “Reinsurance”).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30, 2021, the Company’s Board of Directors approved a quarterly dividend of $0.04 per share payable in cash on December 15, 2021 to stockholders of record as of the close of business on November 30, 2021 (see Note 8 – Stockholders’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Nor’easter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received 86 claims from a nor’easter that occurred during the month of October 2021 and does not expect a material amount of additional claims, if any, to be filed subsequent to November 15,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MANAGEMENT’S DISCUSSION AND ANALYSIS OF FINANCIAL CONDITION AND RESULTS OF OPERATIONS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offer property and casualty insurance products to individuals through our wholly owned subsidiary, Kingstone Insurance Company (“KICO”). KICO’s insureds are located primarily in downstate New York, consisting of New York City, Long Island and Westchester County, although we are actively</w:t>
      </w:r>
    </w:p>
    <w:p>
      <w:pPr>
        <w:sectPr>
          <w:pgSz w:w="11900" w:h="16838" w:orient="portrait"/>
          <w:cols w:equalWidth="0" w:num="1">
            <w:col w:w="11240"/>
          </w:cols>
          <w:pgMar w:left="320" w:top="125" w:right="339" w:bottom="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writing business in New Jersey, Rhode Island, Connecticut and Massachusetts. We are licensed in the States of New York, New Jersey, Rhode Island, Connecticut, Massachusetts, Pennsylvania, Maine, and New Hampshire. For the three months and nine months ended September 30, 2021, respectively, 79.4% and 77.5% of KICO’s direct written premiums came from the New York policies.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through our subsidiary, Cosi Agency, Inc. (“Cosi”), a multi-state licensed general agency, we access alternative distribution channels. Cosi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and Cosi-related operating expenses are included in other operating expenses. Cosi-related operating expenses are not included in our stand-alone insurance underwriting business and, accordingly, Cosi’s expenses are not included in the calculation of our combined ratio as described below.</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employment, occupancy and consulting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cooperative/condominium, renters,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umbrella policies.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Through July 2019, we offered businessowners policies, which consist primarily of small business retail, service, and office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September 30, 2021, there are no commercial liability policies in-force. As of September 30, 2021, these expired policies represent approximately 20.3% of loss and LAE reserves net of reinsurance recoverables. See discussion below under “Additional Financial Information”.</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 only the physical damage portion of insurance for such vehicles, with no liability coverage included.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have a small participation in mandatory state joint underwriting associations.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the ratio of net losses and LAE incurred to net premiums earned.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net underwriting expense ratios. If the net combined ratio is at or above 100 percent, an insurance company cannot be profitable without investment income, and may not be profitable if investment income is insufficient.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ectPr>
          <w:pgSz w:w="11900" w:h="16838" w:orient="portrait"/>
          <w:cols w:equalWidth="0" w:num="1">
            <w:col w:w="11240"/>
          </w:cols>
          <w:pgMar w:left="320" w:top="125" w:right="339" w:bottom="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w w:val="89"/>
              </w:rPr>
              <w:t>Nine months ended September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131,610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125,090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Ceded to quota share treaties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(24,188)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5940" w:type="dxa"/>
            <w:vAlign w:val="bottom"/>
            <w:gridSpan w:val="2"/>
          </w:tcPr>
          <w:p>
            <w:pPr>
              <w:ind w:left="50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2,057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(21,960)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109,756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81,276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28,480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(5,127)</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Ceded to quota share treaties</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(2,392)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2,377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net unearned premiums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128,698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127,305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1,393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Ceded to reinsurance treaties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(21,869)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24,337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106,829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81,099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25,730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Ceding commission revenue</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10,760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(10,723)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Net gains (losses) on investments</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5,480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(1,639)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7,119</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118,062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95,765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22,296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67,739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52,737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15,002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Losses from catastrophes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Total direct and assumed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73,144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7,136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Ceded 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Losses from catastrophes (1)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(9,673)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ceded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(22,607)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66,879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38,943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27,936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Losses from catastrophes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29,743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0" w:gutter="0" w:footer="0" w:header="0"/>
        </w:sectPr>
      </w:pPr>
    </w:p>
    <w:p>
      <w:pPr>
        <w:ind w:left="180"/>
        <w:spacing w:after="0"/>
        <w:tabs>
          <w:tab w:leader="none" w:pos="6540" w:val="left"/>
          <w:tab w:leader="none" w:pos="7860" w:val="left"/>
          <w:tab w:leader="none" w:pos="9280" w:val="left"/>
          <w:tab w:leader="none" w:pos="10780" w:val="left"/>
        </w:tabs>
        <w:rPr>
          <w:sz w:val="20"/>
          <w:szCs w:val="20"/>
          <w:color w:val="auto"/>
        </w:rPr>
      </w:pPr>
      <w:r>
        <w:rPr>
          <w:rFonts w:ascii="Arial" w:cs="Arial" w:eastAsia="Arial" w:hAnsi="Arial"/>
          <w:sz w:val="18"/>
          <w:szCs w:val="18"/>
          <w:color w:val="auto"/>
        </w:rPr>
        <w:t>Commission expense</w:t>
      </w:r>
      <w:r>
        <w:rPr>
          <w:sz w:val="20"/>
          <w:szCs w:val="20"/>
          <w:color w:val="auto"/>
        </w:rPr>
        <w:tab/>
      </w:r>
      <w:r>
        <w:rPr>
          <w:rFonts w:ascii="Arial" w:cs="Arial" w:eastAsia="Arial" w:hAnsi="Arial"/>
          <w:sz w:val="18"/>
          <w:szCs w:val="18"/>
          <w:color w:val="auto"/>
        </w:rPr>
        <w:t>24,711</w:t>
      </w:r>
      <w:r>
        <w:rPr>
          <w:sz w:val="20"/>
          <w:szCs w:val="20"/>
          <w:color w:val="auto"/>
        </w:rPr>
        <w:tab/>
      </w:r>
      <w:r>
        <w:rPr>
          <w:rFonts w:ascii="Arial" w:cs="Arial" w:eastAsia="Arial" w:hAnsi="Arial"/>
          <w:sz w:val="18"/>
          <w:szCs w:val="18"/>
          <w:color w:val="auto"/>
        </w:rPr>
        <w:t>23,653</w:t>
      </w:r>
      <w:r>
        <w:rPr>
          <w:sz w:val="20"/>
          <w:szCs w:val="20"/>
          <w:color w:val="auto"/>
        </w:rPr>
        <w:tab/>
      </w:r>
      <w:r>
        <w:rPr>
          <w:rFonts w:ascii="Arial" w:cs="Arial" w:eastAsia="Arial" w:hAnsi="Arial"/>
          <w:sz w:val="18"/>
          <w:szCs w:val="18"/>
          <w:color w:val="auto"/>
        </w:rPr>
        <w:t>1,058</w:t>
      </w:r>
      <w:r>
        <w:rPr>
          <w:sz w:val="20"/>
          <w:szCs w:val="20"/>
          <w:color w:val="auto"/>
        </w:rPr>
        <w:tab/>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742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7429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19,723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19,434</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3,141</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3,364</w:t>
            </w:r>
          </w:p>
        </w:tc>
        <w:tc>
          <w:tcPr>
            <w:tcW w:w="3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(223)</w:t>
            </w: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31,277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09"/>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before taxes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(3,443)</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(8,980)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(2,817)</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(1,379)</w:t>
            </w:r>
          </w:p>
        </w:tc>
        <w:tc>
          <w:tcPr>
            <w:tcW w:w="3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(1,438)</w:t>
            </w:r>
          </w:p>
        </w:tc>
        <w:tc>
          <w:tcPr>
            <w:tcW w:w="108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(9,606)</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(7,542)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nine months ended September 30, 2021 and 2020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6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100" w:type="dxa"/>
            <w:vAlign w:val="bottom"/>
          </w:tcPr>
          <w:p>
            <w:pPr>
              <w:ind w:left="260"/>
              <w:spacing w:after="0" w:line="191"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Point Change</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r>
      <w:tr>
        <w:trPr>
          <w:trHeight w:val="425"/>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Key ratios:</w:t>
            </w: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ratio</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r>
      <w:tr>
        <w:trPr>
          <w:trHeight w:val="216"/>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Net underwriting expense ratio</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38.9%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0"/>
        </w:trPr>
        <w:tc>
          <w:tcPr>
            <w:tcW w:w="12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combined ratio</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Direct written premiums during the nine months ended September 30, 2021 (“Nine Months 2021”) were $131,610,000 compared to $125,090,000 during the nine months ended September 30, 2020 (“Nine Months 2020”). The increase of $6,520,000, or 5.2%, was primarily due an increase in premiums from our personal lines business. Direct written premiums from our personal lines business for Nine Months 2021 were $124,593,000, an increase of $4,995,000, or 4.2%, from $119,598,000 in Nine Months 2020. Direct written premiums from our livery physical damage business for Nine Months 2021 were $6,837,000, an increase of $1,370,000, or 25.1%, from $5,467,000 in Nine Months 2020. The increase in livery physical damage direct written premiums is due to the declining effect of the COVID-19 pandemic in our geographic area.</w:t>
      </w:r>
    </w:p>
    <w:p>
      <w:pPr>
        <w:spacing w:after="0" w:line="178"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Expansion business were $29,620,000 in Nine Months 2021 compared to $24,293,000 in Nine Months 2020. Direct written premiums from our Core business were $101,990,000 in Nine Months 2021 compared to $100,796,000 in Nine Months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Effective December 15, 2019, we entered into a quota share reinsurance treaty for our personal lines business covering the period from December 15, 2019 through December 30, 2020 (“2019/2020 Treaty”). Effective December 31, 2020, the 2019/2020 Treaty expired on a cut off basis; this treaty was not renewed. In addition to the 2019/2020 Treaty, our personal lines quota share reinsurance treaty in effect for Nine Months 2020 also included the run-off of the personal lines quota share treaty (“2018/2019 Treaty”) that expired on June 30, 2019. The run-off covered the period from July 1, 2019 through June 30, 2020 (“2019/2020 Run-Off”). The following table describes the quota share reinsurance ceding rates in effect during Nine Months 2021 and Nine Months 2020. This table should be referred to in conjunction with the discussions for net written premiums, net premiums earned, ceding commission revenue and net loss and loss adjustment expenses that follow.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24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8800" w:type="dxa"/>
            <w:vAlign w:val="bottom"/>
          </w:tcPr>
          <w:p>
            <w:pPr>
              <w:spacing w:after="0"/>
              <w:rPr>
                <w:sz w:val="20"/>
                <w:szCs w:val="20"/>
                <w:color w:val="auto"/>
              </w:rPr>
            </w:pPr>
          </w:p>
        </w:tc>
        <w:tc>
          <w:tcPr>
            <w:tcW w:w="24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88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r>
      <w:tr>
        <w:trPr>
          <w:trHeight w:val="411"/>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Quota share reinsurance rates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962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2019/2020 Treaty</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 (1)</w:t>
            </w:r>
          </w:p>
        </w:tc>
        <w:tc>
          <w:tcPr>
            <w:tcW w:w="100" w:type="dxa"/>
            <w:vAlign w:val="bottom"/>
            <w:shd w:val="clear" w:color="auto" w:fill="CCEEFF"/>
          </w:tcPr>
          <w:p>
            <w:pPr>
              <w:spacing w:after="0"/>
              <w:rPr>
                <w:sz w:val="18"/>
                <w:szCs w:val="18"/>
                <w:color w:val="auto"/>
              </w:rPr>
            </w:pPr>
          </w:p>
        </w:tc>
      </w:tr>
      <w:tr>
        <w:trPr>
          <w:trHeight w:val="230"/>
        </w:trPr>
        <w:tc>
          <w:tcPr>
            <w:tcW w:w="9620" w:type="dxa"/>
            <w:vAlign w:val="bottom"/>
            <w:gridSpan w:val="2"/>
          </w:tcPr>
          <w:p>
            <w:pPr>
              <w:ind w:left="180"/>
              <w:spacing w:after="0"/>
              <w:rPr>
                <w:sz w:val="20"/>
                <w:szCs w:val="20"/>
                <w:color w:val="auto"/>
              </w:rPr>
            </w:pPr>
            <w:r>
              <w:rPr>
                <w:rFonts w:ascii="Arial" w:cs="Arial" w:eastAsia="Arial" w:hAnsi="Arial"/>
                <w:sz w:val="18"/>
                <w:szCs w:val="18"/>
                <w:color w:val="auto"/>
              </w:rPr>
              <w:t>2018/2019 Treaty</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 (2)</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920" w:hanging="467"/>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2019/2020 Treaty was effective from December 15, 2019 through December 30, 2020 with a quota share reinsurance rate of 25%.</w:t>
      </w:r>
    </w:p>
    <w:p>
      <w:pPr>
        <w:spacing w:after="0" w:line="236" w:lineRule="exact"/>
        <w:rPr>
          <w:rFonts w:ascii="Arial" w:cs="Arial" w:eastAsia="Arial" w:hAnsi="Arial"/>
          <w:sz w:val="17"/>
          <w:szCs w:val="17"/>
          <w:color w:val="auto"/>
        </w:rPr>
      </w:pPr>
    </w:p>
    <w:p>
      <w:pPr>
        <w:ind w:left="920" w:hanging="467"/>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2018/2019 Treaty expired on a run-off basis from July 1, 2019 through June 30, 2020.</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written premiums increased $28,480,000, or 35.0%, to $109,756,000 in Nine Months 2021 from $81,276,000 in Nine Months 2020. Net written premiums include direct and assumed premiums, less the amount of written premiums ceded under our reinsurance treaties (quota share, excess of loss, and catastrophe). The increase in net written premiums in Nine Months 2021 was attributable to the expiration of the 2019/2020 Treaty on December 30, 2020 on a cut-off basis (see table above). In Nine Months 2021, our premiums ceded under quota share treaties decreased by $24,188,000 in</w:t>
      </w:r>
    </w:p>
    <w:p>
      <w:pPr>
        <w:sectPr>
          <w:pgSz w:w="11900" w:h="16838" w:orient="portrait"/>
          <w:cols w:equalWidth="0" w:num="1">
            <w:col w:w="11240"/>
          </w:cols>
          <w:pgMar w:left="320" w:top="140" w:right="339" w:bottom="0" w:gutter="0" w:footer="0" w:header="0"/>
        </w:sectPr>
      </w:pPr>
    </w:p>
    <w:bookmarkStart w:id="29" w:name="page30"/>
    <w:bookmarkEnd w:id="29"/>
    <w:p>
      <w:pPr>
        <w:jc w:val="both"/>
        <w:spacing w:after="0" w:line="301" w:lineRule="auto"/>
        <w:rPr>
          <w:sz w:val="20"/>
          <w:szCs w:val="20"/>
          <w:color w:val="auto"/>
        </w:rPr>
      </w:pPr>
      <w:r>
        <w:rPr>
          <w:rFonts w:ascii="Arial" w:cs="Arial" w:eastAsia="Arial" w:hAnsi="Arial"/>
          <w:sz w:val="16"/>
          <w:szCs w:val="16"/>
          <w:color w:val="auto"/>
        </w:rPr>
        <w:t>comparison to ceded premiums in Nine Months 2020. Our personal lines business was subject to the 2019/2020 Treaty from December 15, 2019 through December 30, 2020. Our personal lines business was subject to the 2018/2019 Treaty through June 30, 2019. Following June 30, 2019, any earned premium and associated claims for policies still in force continued to be ceded under the 10% quota share rate until such policies expired (run-off) over the next year. The 2019/2020 run-off period was from July 1, 2019 through June 30, 2020 and there was no return of unearned premiums under this arrangement.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Nine Months 2021, our ceded excess of loss reinsurance premiums increased by $575,000 over the comparable ceded premiums for Nine Months 2020. The increase was due to an increase in premiums subject to excess of loss reinsurance.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Nine Months 2021, our premiums ceded under catastrophe treaties increased by $1,653,000 over the comparable ceded premiums in Nine Months 2020. The change was due to an increase in reinsurance rates effective July 1, 2020, partially offset by a decrease in our limit effective July 1, 2020. Through September 30, 2020, our ceded catastrophe premiums were paid based on the total direct written premiums subject to the catastrophe reinsurance treaty. Effective July 1, 2020, and continuing through June 30, 2021, our ceded catastrophe premiums were paid based on the total insured value of our risks calculated as of August 31, 2020. Effective July 1, 2021, and continuing through September 30, 2021, our ceded catastrophe premiums were paid based on the total insured value of our risks projected as of August 31, 2021.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Net premiums earned increased $25,730,000, or 31.7%, to $106,829,000 in Nine Months 2021 from $81,099,000 in Nine Months 2020. The increase was due to the expiration of both the 2019/2020 Treaty on December 30, 2020 on a cut-off basis and the 2019/2020 Run-Off as of June 30,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w w:val="89"/>
              </w:rPr>
              <w:t>Nine Months ended September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(10,486)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10,760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(10,723)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Ceding commission revenue was $37,000 in Nine Months 2021 compared to $10,760,000 in Nine Months 2020. The decrease of $10,723,000 was due to a decrease in both provisional ceding commissions earned and contingent ceding commissions earned. See below for a discussion of provisional ceding commissions earned and contingent ceding commissions earned.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Through December 30, 2020, we received a provisional ceding commission based on ceded written premiums. The $10,486,000 decrease in provisional ceding commissions earned was due to the expiration of both the 2019/2020 Treaty on December 30, 2020 on a cut-off basis and the 2019/2020 Run-Off as of June 30,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structure of the 2019/2020 Treaty and 2019/2020 Run-Off called for a higher upfront provisional ceding commission and there was not an opportunity to earn additional contingent ceding commissions under those treaties. The amount of contingent ceding commissions we are eligible to receive under our prior years’ quota share treaties is subject to change based on losses incurred related to claims with accident dates before July 1, 2017. Under our prior years’ quota share treaties, we received a contingent ceding commission based on a sliding scale in relation to the losses incurred under our quota share treaties. The lower the ceded loss ratio, the more contingent commission we receive.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investment income was $5,138,000 in Nine Months 2021 compared to $4,772,000 in Nine Months 2020, an increase of $366,000, or 7.7%.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average yield on invested assets was 3.42% as of September 30, 2021 compared to 3.51% as of September 30, 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and invested assets were $246,004,000 as of September 30, 2021 compared to $220,749,000 as of September 30, 2020. The $25,255,000 increase in cash and invested assets was primarily attributable to the return of premiums ceded, net of ceding commissions, at the expiration of the 2019/2020 Treaty and by an increase in unrealized gains during the periods after September 30,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rFonts w:ascii="Arial" w:cs="Arial" w:eastAsia="Arial" w:hAnsi="Arial"/>
          <w:sz w:val="16"/>
          <w:szCs w:val="16"/>
          <w:i w:val="1"/>
          <w:iCs w:val="1"/>
          <w:u w:val="single" w:color="auto"/>
          <w:color w:val="0000EE"/>
        </w:rPr>
      </w:pPr>
      <w:hyperlink w:anchor="page1">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240"/>
          </w:cols>
          <w:pgMar w:left="320" w:top="125" w:right="339" w:bottom="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Net Gains and Losses on Investments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gains on investments were $5,480,000 in Nine Months 2021 compared to net losses of $1,639,000 in Nine Months 2020. Unrealized gains on our equity securities and other investments in Nine Months 2021 were $2,603,000, compared to unrealized losses of $2,394,000 in Nine Months 2020. Realized gains on sales of investments were $2,877,000 in Nine Months 2021 compared to a gain of $755,000 in Nine Months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Other income was $577,000 in Nine Months 2021 compared to $773,000 in Nine Months 2020. The decrease of $196,000, or 25.4%, was primarily due to the elimination of fees in our commercial lines business that was in run-off in Nine Months 2020, a result of our decision in July 2019 to no longer underwrite this line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and LAE was $79,060,000 for Nine Months 2021 compared to $49,317,000 for Nine Months 2020. The net loss ratio was 74.0% in Nine Months 2021 compared to 60.8% in Nine Months 2020, an increase of 13.2 percentage points.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117475</wp:posOffset>
            </wp:positionV>
            <wp:extent cx="5271770" cy="39344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71770" cy="393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60"/>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loss ratio during Nine Months 2021 was higher than Nine Months 2020 due to an elevated frequency of liability claims, as well as a higher impact from large fire losses and water damage claims. The elevated reported liability claim frequency began in early 2021 for both Homeowners and Dwelling Fire lines. Liability frequency has improved since June 2021 for Homeowners, our largest line of business, but remains elevated for Dwelling Fire. This is suspected to be related to the COVID-19 pandemic and is expected to return to a more typical level as people return to work. The impact of water damage claims during Nine Months 2021 was higher than the prior year period but was in line with the long-term average.</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impact of catastrophe losses was high for Nine Months 2021. The winter was mild, but there were five catastrophe events during the three months ended September 30, 2021, including three named storms, Elsa, Henri and Ida. Ida was one of the largest catastrophe events in the company’s history, resulting in over 1,500 reported claims. The estimated net impact of Ida is $9,600,000, or a 9.0-point impact on the year-to-date loss ratio. The total impact of all catastrophe events on the loss ratio is 11.5 points for Nine Months 2021. This compares to a 12.8 points impact from catastrophe events for Nine Months 2020, which also had a mild winter but was heavily impacted by Tropical Storm Isaias in the three months ended September 30, 2020.</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Prior year development continued to be stable for Nine Months 2021. There was an overall favorable development of $11,000, which had a marginal impact on the loss ratio.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ectPr>
          <w:pgSz w:w="11900" w:h="16838" w:orient="portrait"/>
          <w:cols w:equalWidth="0" w:num="1">
            <w:col w:w="11240"/>
          </w:cols>
          <w:pgMar w:left="320" w:top="341" w:right="339" w:bottom="0" w:gutter="0" w:footer="0" w:header="0"/>
        </w:sectPr>
      </w:pPr>
    </w:p>
    <w:bookmarkStart w:id="31" w:name="page32"/>
    <w:bookmarkEnd w:id="31"/>
    <w:p>
      <w:pPr>
        <w:jc w:val="both"/>
        <w:ind w:firstLine="648"/>
        <w:spacing w:after="0" w:line="263" w:lineRule="auto"/>
        <w:rPr>
          <w:sz w:val="20"/>
          <w:szCs w:val="20"/>
          <w:color w:val="auto"/>
        </w:rPr>
      </w:pPr>
      <w:r>
        <w:rPr>
          <w:rFonts w:ascii="Arial" w:cs="Arial" w:eastAsia="Arial" w:hAnsi="Arial"/>
          <w:sz w:val="18"/>
          <w:szCs w:val="18"/>
          <w:color w:val="auto"/>
        </w:rPr>
        <w:t>Commission expense was $24,711,000 in Nine Months 2021 or 19.2% of direct earned premiums. Commission expense was $23,653,000 in Nine Months 2020 or 18.6% of direct earned premiums. The increase in the rate is due to an increase in the estimate for annual contingent commissions for Nine Months 2021 as compared to Nine Months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underwriting expenses were $19,723,000 in Nine Months 2021 compared to $19,434,000 in Nine Months 2020. The modest increase of $289,000, or 1.5%, was primarily due to an initiative to reduce expenses with the use of technology.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largest single component of other underwriting expenses is salaries and employment costs, with costs of $7,592,000 in Nine Months 2021 compared to $8,177,000 in Nine Months 2020. The decrease of $585,000, or 7.2%, compares favorably with the 4.2% increase in personal lines direct written premiums. The decrease in employment costs was attributable to staff reductions.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net underwriting expense ratio in Nine Months 2021 was 41.0% compared to 38.9% in Nine Months 2020. The following table shows the individual components of our net underwriting expense ratio for the periods indicated: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gridSpan w:val="3"/>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6000" w:type="dxa"/>
            <w:vAlign w:val="bottom"/>
          </w:tcPr>
          <w:p>
            <w:pPr>
              <w:spacing w:after="0"/>
              <w:rPr>
                <w:sz w:val="24"/>
                <w:szCs w:val="24"/>
                <w:color w:val="auto"/>
              </w:rPr>
            </w:pPr>
          </w:p>
        </w:tc>
        <w:tc>
          <w:tcPr>
            <w:tcW w:w="210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8"/>
              </w:rPr>
              <w:t>Nine months ended</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10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Percentage</w:t>
            </w:r>
          </w:p>
        </w:tc>
      </w:tr>
      <w:tr>
        <w:trPr>
          <w:trHeight w:val="210"/>
        </w:trPr>
        <w:tc>
          <w:tcPr>
            <w:tcW w:w="12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Point Change</w:t>
            </w:r>
          </w:p>
        </w:tc>
        <w:tc>
          <w:tcPr>
            <w:tcW w:w="100" w:type="dxa"/>
            <w:vAlign w:val="bottom"/>
          </w:tcPr>
          <w:p>
            <w:pPr>
              <w:spacing w:after="0"/>
              <w:rPr>
                <w:sz w:val="18"/>
                <w:szCs w:val="18"/>
                <w:color w:val="auto"/>
              </w:rPr>
            </w:pPr>
          </w:p>
        </w:tc>
      </w:tr>
      <w:tr>
        <w:trPr>
          <w:trHeight w:val="425"/>
        </w:trPr>
        <w:tc>
          <w:tcPr>
            <w:tcW w:w="8040" w:type="dxa"/>
            <w:vAlign w:val="bottom"/>
            <w:gridSpan w:val="3"/>
          </w:tcPr>
          <w:p>
            <w:pPr>
              <w:spacing w:after="0"/>
              <w:rPr>
                <w:sz w:val="20"/>
                <w:szCs w:val="20"/>
                <w:color w:val="auto"/>
              </w:rPr>
            </w:pPr>
            <w:r>
              <w:rPr>
                <w:rFonts w:ascii="Arial" w:cs="Arial" w:eastAsia="Arial" w:hAnsi="Arial"/>
                <w:sz w:val="18"/>
                <w:szCs w:val="18"/>
                <w:color w:val="auto"/>
              </w:rPr>
              <w:t>Other underwriting expenses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Employment costs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8040" w:type="dxa"/>
            <w:vAlign w:val="bottom"/>
            <w:gridSpan w:val="3"/>
          </w:tcPr>
          <w:p>
            <w:pPr>
              <w:ind w:left="340"/>
              <w:spacing w:after="0"/>
              <w:rPr>
                <w:sz w:val="20"/>
                <w:szCs w:val="20"/>
                <w:color w:val="auto"/>
              </w:rPr>
            </w:pPr>
            <w:r>
              <w:rPr>
                <w:rFonts w:ascii="Arial" w:cs="Arial" w:eastAsia="Arial" w:hAnsi="Arial"/>
                <w:sz w:val="18"/>
                <w:szCs w:val="18"/>
                <w:color w:val="auto"/>
              </w:rPr>
              <w:t>Underwriting fees (inspections/data services)</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8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IT expenses</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7280" w:type="dxa"/>
            <w:vAlign w:val="bottom"/>
            <w:gridSpan w:val="2"/>
          </w:tcPr>
          <w:p>
            <w:pPr>
              <w:ind w:left="340"/>
              <w:spacing w:after="0"/>
              <w:rPr>
                <w:sz w:val="20"/>
                <w:szCs w:val="20"/>
                <w:color w:val="auto"/>
              </w:rPr>
            </w:pPr>
            <w:r>
              <w:rPr>
                <w:rFonts w:ascii="Arial" w:cs="Arial" w:eastAsia="Arial" w:hAnsi="Arial"/>
                <w:sz w:val="18"/>
                <w:szCs w:val="18"/>
                <w:color w:val="auto"/>
              </w:rPr>
              <w:t>Other expenses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0"/>
        </w:trPr>
        <w:tc>
          <w:tcPr>
            <w:tcW w:w="12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other underwriting expenses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18.5</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09"/>
        </w:trPr>
        <w:tc>
          <w:tcPr>
            <w:tcW w:w="128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Commission expense</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23.1</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09"/>
        </w:trPr>
        <w:tc>
          <w:tcPr>
            <w:tcW w:w="128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Ceding commission revenue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gridSpan w:val="3"/>
          </w:tcPr>
          <w:p>
            <w:pPr>
              <w:ind w:left="340"/>
              <w:spacing w:after="0"/>
              <w:rPr>
                <w:sz w:val="20"/>
                <w:szCs w:val="20"/>
                <w:color w:val="auto"/>
              </w:rPr>
            </w:pPr>
            <w:r>
              <w:rPr>
                <w:rFonts w:ascii="Arial" w:cs="Arial" w:eastAsia="Arial" w:hAnsi="Arial"/>
                <w:sz w:val="18"/>
                <w:szCs w:val="18"/>
                <w:color w:val="auto"/>
              </w:rPr>
              <w:t>Provisional</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7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Contingent</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0"/>
        </w:trPr>
        <w:tc>
          <w:tcPr>
            <w:tcW w:w="1280" w:type="dxa"/>
            <w:vAlign w:val="bottom"/>
            <w:shd w:val="clear" w:color="auto" w:fill="CCEEFF"/>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280" w:type="dxa"/>
            <w:vAlign w:val="bottom"/>
            <w:gridSpan w:val="2"/>
          </w:tcPr>
          <w:p>
            <w:pPr>
              <w:ind w:left="180"/>
              <w:spacing w:after="0"/>
              <w:rPr>
                <w:sz w:val="20"/>
                <w:szCs w:val="20"/>
                <w:color w:val="auto"/>
              </w:rPr>
            </w:pPr>
            <w:r>
              <w:rPr>
                <w:rFonts w:ascii="Arial" w:cs="Arial" w:eastAsia="Arial" w:hAnsi="Arial"/>
                <w:sz w:val="18"/>
                <w:szCs w:val="18"/>
                <w:color w:val="auto"/>
              </w:rPr>
              <w:t>Total ceding commission revenue</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0"/>
        </w:trPr>
        <w:tc>
          <w:tcPr>
            <w:tcW w:w="128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0"/>
        </w:trPr>
        <w:tc>
          <w:tcPr>
            <w:tcW w:w="128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Net underwriting expense ratio</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41.0%</w:t>
            </w:r>
          </w:p>
        </w:tc>
        <w:tc>
          <w:tcPr>
            <w:tcW w:w="7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38.9%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0"/>
        </w:trPr>
        <w:tc>
          <w:tcPr>
            <w:tcW w:w="12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overall 13.3 percentage point decrease in the benefit from ceding commissions in Nine Months 2020 was driven by the reduction in provisional ceding commission revenue due to the expiration of the 2019/2020 Treaty on December 30, 2020. The components of our net underwriting expense ratio related to other underwriting expenses and commissions decreased in all categories due to more retention, given the reduction of ceded premiums after the expiration of the 2019/2020 Treaty on December 30, 2020, resulting in an 11.5 percentage point decrease in these components of the net underwriting expense ratio.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Other operating expenses, related to the expenses of our holding company and Cosi, were $3,141,000 for Nine Months 2021 compared to $3,364,000 for Nine Months 2020. The decrease in Nine Months 2021 of $223,000, or 6.6%, as compared to Nine Months 2020 was primarily due to a decrease in professional fees. This aforementioned decrease was partially offset by an increase in employment costs due to fluctuations in deferred compensation liability related to changes in the underlying invested portfolio and compensation paid pursuant to a relinquishment agreement with Dale A. Thatcher, our former Chef Executive Officer (see Note 11 to the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Depreciation and amortization was $2,480,000 in Nine Months 2021 compared to $2,070,000 in Nine Months 2020. The increase of $410,000, or 19.8%, in depreciation and amortization was primarily due to depreciation of new system platforms for policy and claims management and newly purchased assets used to upgrade our other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expense was $1,370,000 for both Nine Months 2021 and Nine Months 2020. We incurred interest expense in connection with our $30.0 million issuance of long-term debt in December 2017.</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ectPr>
          <w:pgSz w:w="11900" w:h="16838" w:orient="portrait"/>
          <w:cols w:equalWidth="0" w:num="1">
            <w:col w:w="11240"/>
          </w:cols>
          <w:pgMar w:left="320" w:top="125" w:right="339" w:bottom="25" w:gutter="0" w:footer="0" w:header="0"/>
        </w:sectPr>
      </w:pPr>
    </w:p>
    <w:bookmarkStart w:id="32" w:name="page33"/>
    <w:bookmarkEnd w:id="32"/>
    <w:p>
      <w:pPr>
        <w:spacing w:after="0" w:line="6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Income tax benefit in Nine Months 2021 was $2,817,000, which resulted in an effective tax expense rate of 22.7%. Income tax benefit in Nine Months 2020 was $1,379,000, which resulted in an effective tax expense rate of 40.1%. Loss before taxes was $12,423,000 in Nine Months 2021 compared to loss before taxes of $3,443,000 in Nine Months 2020. On March 27, 2020, the Coronavirus Aid, Relief, and Economic Security (CARES) Act was signed into law, allowing for a five year carryback of 2020 NOLs. We elected on our 2020 federal income tax return to carry back the entire annual 2020 NOL of $5,715,000 to tax year 2015. The corporate tax rate in 2015 was 34%, compared to the corporate tax rate of 21% in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loss was $9,606,000 in Nine Months 2021 compared to net loss of $2,064,000 in Nine Months 2020. The increase in net loss of $7,542,000 was due to the circumstances described above, which caused the increases in net loss ratio, commission expense, other underwriting expenses, depreciation and amortization, and decrease in ceding commission revenue and other income, partially offset by the increases in our net premiums earned, net investment income, net gains on investments, and income tax benefit, and decreases in other 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2021Compared to Three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46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b w:val="1"/>
                <w:bCs w:val="1"/>
                <w:color w:val="auto"/>
                <w:w w:val="90"/>
              </w:rPr>
              <w:t>Three months ended September 30,</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4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48,865</w:t>
            </w:r>
          </w:p>
        </w:tc>
        <w:tc>
          <w:tcPr>
            <w:tcW w:w="44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45,743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48,865</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gridSpan w:val="3"/>
          </w:tcPr>
          <w:p>
            <w:pPr>
              <w:ind w:left="18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Ceded to quota share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(8,823)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5940" w:type="dxa"/>
            <w:vAlign w:val="bottom"/>
            <w:gridSpan w:val="3"/>
          </w:tcPr>
          <w:p>
            <w:pPr>
              <w:ind w:left="50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(8,525)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29,995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11,647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5940" w:type="dxa"/>
            <w:vAlign w:val="bottom"/>
            <w:gridSpan w:val="3"/>
          </w:tcPr>
          <w:p>
            <w:pPr>
              <w:ind w:left="340"/>
              <w:spacing w:after="0"/>
              <w:rPr>
                <w:sz w:val="20"/>
                <w:szCs w:val="20"/>
                <w:color w:val="auto"/>
              </w:rPr>
            </w:pPr>
            <w:r>
              <w:rPr>
                <w:rFonts w:ascii="Arial" w:cs="Arial" w:eastAsia="Arial" w:hAnsi="Arial"/>
                <w:sz w:val="18"/>
                <w:szCs w:val="18"/>
                <w:color w:val="auto"/>
              </w:rPr>
              <w:t>Ceded to quota share treaties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(678)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Change in net unearned premiums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42,581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1,436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Ceded to reinsurance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9,282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Ceding commission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3,449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(3,456)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Net gains on investments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2,107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3"/>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4,136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15,656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7,987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Losses from catastrophes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12,435</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3"/>
          </w:tcPr>
          <w:p>
            <w:pPr>
              <w:ind w:left="340"/>
              <w:spacing w:after="0"/>
              <w:rPr>
                <w:sz w:val="20"/>
                <w:szCs w:val="20"/>
                <w:color w:val="auto"/>
              </w:rPr>
            </w:pPr>
            <w:r>
              <w:rPr>
                <w:rFonts w:ascii="Arial" w:cs="Arial" w:eastAsia="Arial" w:hAnsi="Arial"/>
                <w:sz w:val="18"/>
                <w:szCs w:val="18"/>
                <w:color w:val="auto"/>
              </w:rPr>
              <w:t>Total direct and assumed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2,353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340"/>
              <w:spacing w:after="0"/>
              <w:rPr>
                <w:sz w:val="20"/>
                <w:szCs w:val="20"/>
                <w:color w:val="auto"/>
              </w:rPr>
            </w:pPr>
            <w:r>
              <w:rPr>
                <w:rFonts w:ascii="Arial" w:cs="Arial" w:eastAsia="Arial" w:hAnsi="Arial"/>
                <w:sz w:val="18"/>
                <w:szCs w:val="18"/>
                <w:color w:val="auto"/>
              </w:rPr>
              <w:t>Ceded 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3"/>
          </w:tcPr>
          <w:p>
            <w:pPr>
              <w:ind w:left="340"/>
              <w:spacing w:after="0"/>
              <w:rPr>
                <w:sz w:val="20"/>
                <w:szCs w:val="20"/>
                <w:color w:val="auto"/>
              </w:rPr>
            </w:pPr>
            <w:r>
              <w:rPr>
                <w:rFonts w:ascii="Arial" w:cs="Arial" w:eastAsia="Arial" w:hAnsi="Arial"/>
                <w:sz w:val="18"/>
                <w:szCs w:val="18"/>
                <w:color w:val="auto"/>
              </w:rPr>
              <w:t>Losses from catastrophes (1)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(9,045)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ceded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(13,269)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11,454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12,211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Losses from catastrophes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12,075</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3"/>
          </w:tcPr>
          <w:p>
            <w:pPr>
              <w:ind w:left="34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15,622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Commission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8,036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52,637</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15,931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280" w:type="dxa"/>
            <w:vAlign w:val="bottom"/>
            <w:shd w:val="clear" w:color="auto" w:fill="CCEEFF"/>
          </w:tcPr>
          <w:p>
            <w:pPr>
              <w:spacing w:after="0"/>
              <w:rPr>
                <w:sz w:val="7"/>
                <w:szCs w:val="7"/>
                <w:color w:val="auto"/>
              </w:rPr>
            </w:pPr>
          </w:p>
        </w:tc>
        <w:tc>
          <w:tcPr>
            <w:tcW w:w="4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20" w:type="dxa"/>
            <w:vAlign w:val="bottom"/>
            <w:tcBorders>
              <w:left w:val="single" w:sz="8" w:color="CCEEFF"/>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before taxes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(13,679)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(11,795)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(3,061)</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(656)</w:t>
            </w:r>
          </w:p>
        </w:tc>
        <w:tc>
          <w:tcPr>
            <w:tcW w:w="3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(2,405)</w:t>
            </w:r>
          </w:p>
        </w:tc>
        <w:tc>
          <w:tcPr>
            <w:tcW w:w="1080" w:type="dxa"/>
            <w:vAlign w:val="bottom"/>
          </w:tcPr>
          <w:p>
            <w:pPr>
              <w:jc w:val="right"/>
              <w:spacing w:after="0"/>
              <w:rPr>
                <w:sz w:val="20"/>
                <w:szCs w:val="20"/>
                <w:color w:val="auto"/>
              </w:rPr>
            </w:pPr>
            <w:r>
              <w:rPr>
                <w:rFonts w:ascii="Arial" w:cs="Arial" w:eastAsia="Arial" w:hAnsi="Arial"/>
                <w:sz w:val="18"/>
                <w:szCs w:val="18"/>
                <w:color w:val="auto"/>
              </w:rPr>
              <w:t>(366.6)%</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(10,618)</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(1,228)</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(9,390)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46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three months ended September 30, 2021 and 2020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151765</wp:posOffset>
            </wp:positionV>
            <wp:extent cx="5915025" cy="1405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1502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Direct written premiums during the three months ended September 30, 2021 (“Three Months 2021”) were $48,865,000 compared to $45,743,000 during the three months ended September 30, 2020 (“Three Months 2020”). The increase of $3,122,000, or 6.8%, was primarily due an increase in premiums from our personal lines business. Direct written premiums from our personal lines business for Three Months 2021 were $45,985,000, an increase of $2,344,000, or 5.4%, from $43,641,000 in Three Months 2020. Direct written premiums from our livery physical damage business for Three Months 2021 were $2,814,000, an increase of $768,000, or 37.5%, from $2,046,000 in Three Months 2020. The increase in livery physical damage direct written premiums is due to the declining effect of the COVID-19 pandemic in our geographic area.</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Expansion business were $10,049,000 in Three Months 2021 compared to $9,197,000 in Three Months 2020. Direct written premiums from our Core business were $38,816,000 in Three Months 2021 compared to $36,545,000 in Three Months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December 15, 2019, we entered into a quota share reinsurance treaty for our personal lines business covering the period from December 15, 2019 through December 30, 2020 (“2019/2020 Treaty”). Effective December 31, 2020, the 2019/2020 Treaty expired on a cut off basis; this treaty was not renewed. The following table describes the quota share reinsurance ceding rates in effect during Three Months 2021 and Three Months 2020. This table should be referred to in conjunction with the discussions for net written premiums, net premiums earned, ceding commission revenue and net loss and loss adjustment expenses that follow.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244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8800" w:type="dxa"/>
            <w:vAlign w:val="bottom"/>
          </w:tcPr>
          <w:p>
            <w:pPr>
              <w:spacing w:after="0"/>
              <w:rPr>
                <w:sz w:val="18"/>
                <w:szCs w:val="18"/>
                <w:color w:val="auto"/>
              </w:rPr>
            </w:pPr>
          </w:p>
        </w:tc>
        <w:tc>
          <w:tcPr>
            <w:tcW w:w="2440" w:type="dxa"/>
            <w:vAlign w:val="bottom"/>
            <w:gridSpan w:val="5"/>
          </w:tcPr>
          <w:p>
            <w:pPr>
              <w:ind w:left="62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8800" w:type="dxa"/>
            <w:vAlign w:val="bottom"/>
          </w:tcPr>
          <w:p>
            <w:pPr>
              <w:spacing w:after="0"/>
              <w:rPr>
                <w:sz w:val="20"/>
                <w:szCs w:val="20"/>
                <w:color w:val="auto"/>
              </w:rPr>
            </w:pPr>
          </w:p>
        </w:tc>
        <w:tc>
          <w:tcPr>
            <w:tcW w:w="8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11"/>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Quota share reinsurance rates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962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2019/2020 Treaty</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 (1)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900" w:hanging="447"/>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2019/2020 Treaty was effective from December 15, 2019 through December 30, 2020 with a quota share reinsurance rate of 25%.</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written premiums increased $11,647,000, or 38.8%, to $41,642,000 in Three Months 2021 from $29,995,000 in Three Months 2020. Net written premiums include direct and assumed premiums, less the amount of written premiums ceded under our reinsurance treaties (quota share, excess of loss, and catastrophe). The increase in net written premiums in Three Months 2021 was attributable to the expiration of the 2019/2020 Treaty on December 30, 2020 on a cut-off basis (see table above). In Three Months 2021, our premiums ceded under quota share treaties decreased by $8,823,000 in comparison to ceded premiums in Three Months 2020. Our personal lines business was subject to the 2019/2020 Treaty from December 15, 2019 through December 30, 2020.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Three Months 2021, our ceded excess of loss reinsurance premiums increased by $463,000 over the comparable ceded premiums for Three Months 2020. The increase was due to an increase in premiums subject to excess of loss reinsurance.</w:t>
      </w:r>
    </w:p>
    <w:p>
      <w:pPr>
        <w:sectPr>
          <w:pgSz w:w="11900" w:h="16838" w:orient="portrait"/>
          <w:cols w:equalWidth="0" w:num="1">
            <w:col w:w="11240"/>
          </w:cols>
          <w:pgMar w:left="320" w:top="140" w:right="339" w:bottom="0" w:gutter="0" w:footer="0" w:header="0"/>
        </w:sectPr>
      </w:pP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Catastrophe reinsurance treaties</w:t>
      </w:r>
    </w:p>
    <w:p>
      <w:pPr>
        <w:sectPr>
          <w:pgSz w:w="11900" w:h="16838" w:orient="portrait"/>
          <w:cols w:equalWidth="0" w:num="1">
            <w:col w:w="11240"/>
          </w:cols>
          <w:pgMar w:left="320" w:top="140" w:right="339" w:bottom="0" w:gutter="0" w:footer="0" w:header="0"/>
          <w:type w:val="continuous"/>
        </w:sectPr>
      </w:pPr>
    </w:p>
    <w:bookmarkStart w:id="34" w:name="page35"/>
    <w:bookmarkEnd w:id="34"/>
    <w:p>
      <w:pPr>
        <w:jc w:val="both"/>
        <w:ind w:firstLine="648"/>
        <w:spacing w:after="0" w:line="271" w:lineRule="auto"/>
        <w:rPr>
          <w:sz w:val="20"/>
          <w:szCs w:val="20"/>
          <w:color w:val="auto"/>
        </w:rPr>
      </w:pPr>
      <w:r>
        <w:rPr>
          <w:rFonts w:ascii="Arial" w:cs="Arial" w:eastAsia="Arial" w:hAnsi="Arial"/>
          <w:sz w:val="17"/>
          <w:szCs w:val="17"/>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Three Months 2021, our premiums ceded under catastrophe treaties decreased by $165,000 over the comparable ceded premiums in Three Months 2020. The change was due to a decrease in reinsurance rates effective July 1, 2021, partially offset by an increase in our limit effective July 1, 2021. Effective July 1, 2020, and continuing through June 30, 2021, our ceded catastrophe premiums were paid based on the total insured value of our risks calculated as of August 31, 2020. Effective July 1, 2021, and continuing through September 30, 2021, our ceded catastrophe premiums were paid based on the total insured value of our risks projected as of August 31, 2021.</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premiums earned increased $9,282,000, or 33.7%, to $36,803,000 in Three Months 2021 from $27,521,000 in Three Months 2020. The increase was due to the expiration of the 2019/2020 Treaty on December 30, 2020 on a cut-off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89"/>
              </w:rPr>
              <w:t>Three Months ended September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3,449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(3,456)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vMerge w:val="restart"/>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2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Ceding commission revenue was $(7,000) in Three Months 2021 compared to $3,449,000 in Three Months 2020. The decrease of $3,456,000 was due to a decrease in both provisional ceding commissions earned and contingent ceding commissions earned. See below for a discussion of provisional ceding commissions earned and contingent ceding commissions earned.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Through December 30, 2020, we received a provisional ceding commission based on ceded written premiums. The $3,420,000 decrease in provisional ceding commissions earned was due to the expiration of the 2019/2020 Treaty on December 30, 2020 on a cut-off basis.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structure of the 2019/2020 Treaty and 2019/2020 Run-Off called for a higher upfront provisional ceding commission and there was not an opportunity to earn additional contingent ceding commissions under those treaties. The amount of contingent ceding commissions we are eligible to receive under our prior years’ quota share treaties is subject to change based on losses incurred related to claims with accident dates before July 1, 2017. Under our prior years’ quota share treaties, we received a contingent ceding commission based on a sliding scale in relation to the losses incurred under our quota share treaties. The lower the ceded loss ratio, the more contingent commission we receive.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investment income was $1,677,000 in Three Months 2021 compared to $1,494,000 in Three Months 2020, an increase of $183,000, or 12.2%.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average yield on invested assets was 3.42% as of September 30, 2021 compared to 3.51% as of September 30, 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and invested assets were $246,004,000 as of September 30, 2021 compared to $220,749,000 as of September 30, 2020. The $25,255,000 increase in cash and invested assets was primarily attributable to the return of premiums ceded, net of ceding commissions, at the expiration of the 2019/2020 Treaty and by an increase in unrealized gains during the periods after September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and Losses on Investments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gains on investments were $204,000 in Three Months 2021 compared to $2,107,000 in Three Months 2020. Unrealized losses on our equity securities and other investments in Three Months 2021 were $829,000, compared to a gain of $1,501,000 in Three Months 2020. Realized gains on sales of investments were $1,033,000 in Three Months 2021 compared to $597,000 in Three Months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was $281,000 in Three Months 2021 compared to $251,000 in Three Months 2020. The increase of $30,000, or 12.0%, was primarily due to additional fees income related to the growth in direct written premiums.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loss and LAE was $35,740,000 for Three Months 2021 compared to $20,118,000 for Three Months 2020. The net loss ratio was 97.1% in Three Months 2021 compared to 73.1% in Three Months 2020, an increase of 24.0 percentage points.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117475</wp:posOffset>
            </wp:positionV>
            <wp:extent cx="5271770" cy="3943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717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Three Months 2021, the loss ratio was higher than Three Months 2020 mainly due to the impact of catastrophe events, an elevated frequency of liability claims from the Dwelling Fire line, and a higher frequency of large fire losses.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impact of catastrophe losses was significant for Three Months 2021. There were five catastrophe events during Three Months 2021, including three named storms, Elsa, Henri and Ida. Ida was one of the largest catastrophe events in the company’s history, resulting in over 1,500 reported claims. The estimated net impact of Ida is $9.6 million, or a 26.1 point impact on the quarterly loss ratio. The total impact of all catastrophe events on the loss ratio is 33.1 points for the quarter. This compares to a 31.5-point impact from catastrophe events in Three Months 2020, which was heavily impacted by Tropical Storm Isaias.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Prior year development continued to be stable for Three Months 2021. The loss estimates from all prior years were adjusted down by $2,000, which had a marginal impact on the loss ratio.</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underlying loss ratio (loss ratio excluding the impact of catastrophe and prior year development) was 64.0% for Three Months 2021, an increase of 22.0 points from the 42.0% underlying loss ratio recorded for Three Months 2020. The higher 2021 loss ratio was primarily due to large fire claims and an increase in liability claims frequency for the Dwelling Fire line, which is suspected to be related to the COVID-19 pandemic.</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Commission expense was $8,202,000 in Three Months 2021 or 18.6% of direct earned premiums. Commission expense was $8,036,000 in Three Months 2020 or 18.9% of direct earned premiums. The increase in the rate is due to an increase in the estimate for annual contingent commissions for Three Months 2021 as compared to Three Months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underwriting expenses were $6,563,000 in Three Months 2021 compared to $6,347,000 in Three Months 2020. The increase of $216,000, or 3.4%, was primarily due an increase in consulting fees and IT expense as part of an initiative to reduce overall expenses with the use of technology. This initiative resulted in a decrease or modest increase in the remaining other underwriting expenses.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largest single component of other underwriting expenses is salaries and employment costs, with costs of $2,513,000 in Three Months 2021 compared to $2,835,000 in Three Months 2020. The decrease of $322,000, or 11.4%, compares favorably with the 5.4% increase in personal lines direct written premiums. The decrease in employment costs was attributable to staff reductions.</w:t>
      </w:r>
    </w:p>
    <w:p>
      <w:pPr>
        <w:sectPr>
          <w:pgSz w:w="11900" w:h="16838" w:orient="portrait"/>
          <w:cols w:equalWidth="0" w:num="1">
            <w:col w:w="11240"/>
          </w:cols>
          <w:pgMar w:left="320" w:top="260" w:right="339" w:bottom="0" w:gutter="0" w:footer="0" w:header="0"/>
        </w:sectPr>
      </w:pPr>
    </w:p>
    <w:bookmarkStart w:id="36" w:name="page37"/>
    <w:bookmarkEnd w:id="36"/>
    <w:p>
      <w:pPr>
        <w:jc w:val="both"/>
        <w:ind w:right="20" w:firstLine="648"/>
        <w:spacing w:after="0" w:line="277" w:lineRule="auto"/>
        <w:rPr>
          <w:sz w:val="20"/>
          <w:szCs w:val="20"/>
          <w:color w:val="auto"/>
        </w:rPr>
      </w:pPr>
      <w:r>
        <w:rPr>
          <w:rFonts w:ascii="Arial" w:cs="Arial" w:eastAsia="Arial" w:hAnsi="Arial"/>
          <w:sz w:val="18"/>
          <w:szCs w:val="18"/>
          <w:color w:val="auto"/>
        </w:rPr>
        <w:t>Our net underwriting expense ratio in Three Months 2021 was 39.3% compared to 38.8% in Three Months 2020. The following table shows the individual components of our net underwriting expense ratio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10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89"/>
              </w:rPr>
              <w:t>Three months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10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Percentage</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Point Change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8040" w:type="dxa"/>
            <w:vAlign w:val="bottom"/>
            <w:gridSpan w:val="3"/>
          </w:tcPr>
          <w:p>
            <w:pPr>
              <w:spacing w:after="0"/>
              <w:rPr>
                <w:sz w:val="20"/>
                <w:szCs w:val="20"/>
                <w:color w:val="auto"/>
              </w:rPr>
            </w:pPr>
            <w:r>
              <w:rPr>
                <w:rFonts w:ascii="Arial" w:cs="Arial" w:eastAsia="Arial" w:hAnsi="Arial"/>
                <w:sz w:val="18"/>
                <w:szCs w:val="18"/>
                <w:color w:val="auto"/>
              </w:rPr>
              <w:t>Other underwriting expenses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Employment costs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040" w:type="dxa"/>
            <w:vAlign w:val="bottom"/>
            <w:gridSpan w:val="3"/>
          </w:tcPr>
          <w:p>
            <w:pPr>
              <w:ind w:left="340"/>
              <w:spacing w:after="0"/>
              <w:rPr>
                <w:sz w:val="20"/>
                <w:szCs w:val="20"/>
                <w:color w:val="auto"/>
              </w:rPr>
            </w:pPr>
            <w:r>
              <w:rPr>
                <w:rFonts w:ascii="Arial" w:cs="Arial" w:eastAsia="Arial" w:hAnsi="Arial"/>
                <w:sz w:val="18"/>
                <w:szCs w:val="18"/>
                <w:color w:val="auto"/>
              </w:rPr>
              <w:t>Underwriting fees (inspections/data services)</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IT expenses</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7280" w:type="dxa"/>
            <w:vAlign w:val="bottom"/>
            <w:gridSpan w:val="2"/>
          </w:tcPr>
          <w:p>
            <w:pPr>
              <w:ind w:left="340"/>
              <w:spacing w:after="0"/>
              <w:rPr>
                <w:sz w:val="20"/>
                <w:szCs w:val="20"/>
                <w:color w:val="auto"/>
              </w:rPr>
            </w:pPr>
            <w:r>
              <w:rPr>
                <w:rFonts w:ascii="Arial" w:cs="Arial" w:eastAsia="Arial" w:hAnsi="Arial"/>
                <w:sz w:val="18"/>
                <w:szCs w:val="18"/>
                <w:color w:val="auto"/>
              </w:rPr>
              <w:t>Other expenses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other underwriting expenses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Commission expense</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22.3</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Ceding commission revenue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tcPr>
          <w:p>
            <w:pPr>
              <w:ind w:left="340"/>
              <w:spacing w:after="0"/>
              <w:rPr>
                <w:sz w:val="20"/>
                <w:szCs w:val="20"/>
                <w:color w:val="auto"/>
              </w:rPr>
            </w:pPr>
            <w:r>
              <w:rPr>
                <w:rFonts w:ascii="Arial" w:cs="Arial" w:eastAsia="Arial" w:hAnsi="Arial"/>
                <w:sz w:val="18"/>
                <w:szCs w:val="18"/>
                <w:color w:val="auto"/>
              </w:rPr>
              <w:t>Provisional</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7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Contingent</w:t>
            </w:r>
          </w:p>
        </w:tc>
        <w:tc>
          <w:tcPr>
            <w:tcW w:w="7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40" w:type="dxa"/>
            <w:vAlign w:val="bottom"/>
            <w:gridSpan w:val="3"/>
          </w:tcPr>
          <w:p>
            <w:pPr>
              <w:ind w:left="180"/>
              <w:spacing w:after="0"/>
              <w:rPr>
                <w:sz w:val="20"/>
                <w:szCs w:val="20"/>
                <w:color w:val="auto"/>
              </w:rPr>
            </w:pPr>
            <w:r>
              <w:rPr>
                <w:rFonts w:ascii="Arial" w:cs="Arial" w:eastAsia="Arial" w:hAnsi="Arial"/>
                <w:sz w:val="18"/>
                <w:szCs w:val="18"/>
                <w:color w:val="auto"/>
              </w:rPr>
              <w:t>Total ceding commission revenue</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Net underwriting expense ratio</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39.3%</w:t>
            </w:r>
          </w:p>
        </w:tc>
        <w:tc>
          <w:tcPr>
            <w:tcW w:w="7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38.8%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ind w:left="5540"/>
              <w:spacing w:after="0"/>
              <w:rPr>
                <w:sz w:val="20"/>
                <w:szCs w:val="20"/>
                <w:color w:val="auto"/>
              </w:rPr>
            </w:pPr>
            <w:r>
              <w:rPr>
                <w:rFonts w:ascii="Arial" w:cs="Arial" w:eastAsia="Arial" w:hAnsi="Arial"/>
                <w:sz w:val="18"/>
                <w:szCs w:val="18"/>
                <w:color w:val="auto"/>
              </w:rPr>
              <w:t>55</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280" w:type="dxa"/>
            <w:vAlign w:val="bottom"/>
            <w:tcBorders>
              <w:bottom w:val="single" w:sz="8" w:color="auto"/>
            </w:tcBorders>
            <w:gridSpan w:val="2"/>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67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overall 12.6 percentage point decrease in the benefit from ceding commissions in Three Months 2021 was driven by the reduction in provisional ceding commission revenue due to the expiration of the 2019/2020 Treaty on December 30, 2020. The components of our net underwriting expense ratio related to other underwriting expenses and commissions decreased in all categories due to more retention after the expiration of the 2019/2020 Treaty on December 30, 2020, resulting in a 12.1 percentage point decrease in these components of the net underwriting expense ratio.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operating expenses, related to the expenses of our holding company and Cosi, were $855,000 for Three Months 2021 compared to $1,038,000 for Three Months 2020. The decrease in Three Months 2021 of $183,000, or 17.6%, as compared to Three Months 2020 was primarily due to a decrease in professional fees and employment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Depreciation and amortization was $820,000 in Three Months 2021 compared to $710,000 in Three Months 2020. The increase of $110,000, or 15.5%, in depreciation and amortization was primarily due to depreciation of new system platforms for policy and claims management and newly purchased assets used to upgrade our other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was $457,000 for both Three Months 2021 and Three Months 2020. We incurred interest expense in connection with our $30.0 million issuance of long-term debt in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Income tax benefit in Three Months 2021 was $3,061,000, which resulted in an effective tax expense rate of 22.4%. Income tax benefit in Three Months 2020 was $656,000, which resulted in an effective tax expense rate of 34.8%. Loss before taxes was $13,679,000 in Three Months 2021 compared to loss before taxes of $1,884,000 in Three Months 2020. On March 27, 2020, the Coronavirus Aid, Relief, and Economic Security (CARES) Act was signed into law, allowing for a five year carryback of 2020 NOLs. We elected on our 2020 federal income tax return to carry back the entire annual 2020 NOL of $5,715,000 to tax year 2015. The corporate tax rate in 2015 was 34%, compared to the corporate tax rate of 21% in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loss was $10,618,000 in Three Months 2021 compared to net loss of $1,228,000 in Three Months 2020. The increase in net loss of $9,390,000 was due to the circumstances described above, which caused the increases in net loss ratio, commission expense, other underwriting expenses, depreciation and amortization, and decreases in ceding commission revenue and net gains on investments, partially offset by increases in our net premiums earned, net investment income, other income and income tax benefit and a decrease in other 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ectPr>
          <w:pgSz w:w="11900" w:h="16838" w:orient="portrait"/>
          <w:cols w:equalWidth="0" w:num="1">
            <w:col w:w="11240"/>
          </w:cols>
          <w:pgMar w:left="320" w:top="125" w:right="339" w:bottom="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7" w:name="page38"/>
    <w:bookmarkEnd w:id="37"/>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1"/>
              </w:rPr>
              <w:t>For the Three Months Ended</w:t>
            </w:r>
          </w:p>
        </w:tc>
        <w:tc>
          <w:tcPr>
            <w:tcW w:w="120" w:type="dxa"/>
            <w:vAlign w:val="bottom"/>
          </w:tcPr>
          <w:p>
            <w:pPr>
              <w:spacing w:after="0"/>
              <w:rPr>
                <w:sz w:val="24"/>
                <w:szCs w:val="24"/>
                <w:color w:val="auto"/>
              </w:rPr>
            </w:pPr>
          </w:p>
        </w:tc>
        <w:tc>
          <w:tcPr>
            <w:tcW w:w="25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3"/>
              </w:rPr>
              <w:t>For the Nine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5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Gross premiums written:</w:t>
            </w: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45,984,939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43,640,603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124,593,302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119,598,207</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Livery physical damage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2,813,571</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2,045,746</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6,836,999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5,466,552</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66,659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62,664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180,485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192,395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Total without commercial lines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48,865,169</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45,749,013</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131,610,786</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125,257,154</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(167,583)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Total gross premiums written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48,865,169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45,742,165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131,609,930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125,089,571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Net premiums written: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38,762,235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27,916,850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102,741,368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76,231,996</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Livery physical damage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2,813,571</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2,045,746</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6,836,999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5,466,552</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65,837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50,625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178,021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151,783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Total without commercial lines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41,641,643</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30,013,221</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109,756,388</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81,850,331</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(18,271)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(574,228)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Total net premiums written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41,641,643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29,994,950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109,755,532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81,276,103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Net premiums earned: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34,715,708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25,220,883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101,054,415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71,434,757</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Livery physical damage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2,028,786</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2,014,458</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5,598,605</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6,803,475</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49,939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176,731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149,087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Total without commercial lines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36,803,251</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27,285,280</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106,829,751</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78,387,319</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235,801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2,712,068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Total net premiums earned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36,803,251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27,521,081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106,828,895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81,099,387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Net loss and loss adjustment expenses(4):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32,958,728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18,657,325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72,353,668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41,810,950</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Livery physical damage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1,766,989</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648,520</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3,469,465</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1,798,210</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180,995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29,104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434,816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Unallocated loss adjustment expenses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867,675</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827,031</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2,783,547</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2,839,359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without commercial lines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35,774,387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20,161,980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79,041,496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46,453,984</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Commercial lines (in run-off effective July 2019)(2)</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(34,152)</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(44,005)</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18,621</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2,863,443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net loss and loss adjustment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35,740,235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20,117,975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79,060,117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49,317,427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ratio(4):</w:t>
            </w:r>
          </w:p>
        </w:tc>
        <w:tc>
          <w:tcPr>
            <w:tcW w:w="2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Personal lines</w:t>
            </w:r>
          </w:p>
        </w:tc>
        <w:tc>
          <w:tcPr>
            <w:tcW w:w="2360" w:type="dxa"/>
            <w:vAlign w:val="bottom"/>
          </w:tcPr>
          <w:p>
            <w:pPr>
              <w:jc w:val="right"/>
              <w:ind w:right="330"/>
              <w:spacing w:after="0"/>
              <w:rPr>
                <w:sz w:val="20"/>
                <w:szCs w:val="20"/>
                <w:color w:val="auto"/>
              </w:rPr>
            </w:pPr>
            <w:r>
              <w:rPr>
                <w:rFonts w:ascii="Arial" w:cs="Arial" w:eastAsia="Arial" w:hAnsi="Arial"/>
                <w:sz w:val="18"/>
                <w:szCs w:val="18"/>
                <w:color w:val="auto"/>
              </w:rPr>
              <w:t>94.9%</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74.0%</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71.6%</w:t>
            </w:r>
          </w:p>
        </w:tc>
        <w:tc>
          <w:tcPr>
            <w:tcW w:w="98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2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87.1%</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32.2%</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Other(1)</w:t>
            </w:r>
          </w:p>
        </w:tc>
        <w:tc>
          <w:tcPr>
            <w:tcW w:w="2360" w:type="dxa"/>
            <w:vAlign w:val="bottom"/>
          </w:tcPr>
          <w:p>
            <w:pPr>
              <w:jc w:val="right"/>
              <w:ind w:right="330"/>
              <w:spacing w:after="0"/>
              <w:rPr>
                <w:sz w:val="20"/>
                <w:szCs w:val="20"/>
                <w:color w:val="auto"/>
              </w:rPr>
            </w:pPr>
            <w:r>
              <w:rPr>
                <w:rFonts w:ascii="Arial" w:cs="Arial" w:eastAsia="Arial" w:hAnsi="Arial"/>
                <w:sz w:val="18"/>
                <w:szCs w:val="18"/>
                <w:color w:val="auto"/>
              </w:rPr>
              <w:t>308.0%</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58.3%</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246.0%</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without commercial lines</w:t>
            </w:r>
          </w:p>
        </w:tc>
        <w:tc>
          <w:tcPr>
            <w:tcW w:w="2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97.2%</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73.9%</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16"/>
        </w:trPr>
        <w:tc>
          <w:tcPr>
            <w:tcW w:w="5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23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na</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-18.7%</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2360" w:type="dxa"/>
            <w:vAlign w:val="bottom"/>
          </w:tcPr>
          <w:p>
            <w:pPr>
              <w:jc w:val="right"/>
              <w:ind w:right="330"/>
              <w:spacing w:after="0"/>
              <w:rPr>
                <w:sz w:val="20"/>
                <w:szCs w:val="20"/>
                <w:color w:val="auto"/>
              </w:rPr>
            </w:pPr>
            <w:r>
              <w:rPr>
                <w:rFonts w:ascii="Arial" w:cs="Arial" w:eastAsia="Arial" w:hAnsi="Arial"/>
                <w:sz w:val="18"/>
                <w:szCs w:val="18"/>
                <w:color w:val="auto"/>
              </w:rPr>
              <w:t>97.1%</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73.1%</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74.0%</w:t>
            </w:r>
          </w:p>
        </w:tc>
        <w:tc>
          <w:tcPr>
            <w:tcW w:w="980" w:type="dxa"/>
            <w:vAlign w:val="bottom"/>
          </w:tcPr>
          <w:p>
            <w:pPr>
              <w:jc w:val="right"/>
              <w:spacing w:after="0"/>
              <w:rPr>
                <w:sz w:val="20"/>
                <w:szCs w:val="20"/>
                <w:color w:val="auto"/>
              </w:rPr>
            </w:pPr>
            <w:r>
              <w:rPr>
                <w:rFonts w:ascii="Arial" w:cs="Arial" w:eastAsia="Arial" w:hAnsi="Arial"/>
                <w:sz w:val="18"/>
                <w:szCs w:val="18"/>
                <w:color w:val="auto"/>
              </w:rPr>
              <w:t>60.8%</w:t>
            </w:r>
          </w:p>
        </w:tc>
      </w:tr>
    </w:tbl>
    <w:p>
      <w:pPr>
        <w:spacing w:after="0" w:line="187" w:lineRule="exact"/>
        <w:rPr>
          <w:sz w:val="20"/>
          <w:szCs w:val="20"/>
          <w:color w:val="auto"/>
        </w:rPr>
      </w:pPr>
    </w:p>
    <w:p>
      <w:pPr>
        <w:ind w:left="460" w:right="20" w:hanging="452"/>
        <w:spacing w:after="0" w:line="25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July 2019, we decided that we will no longer underwrite Commercial Liability risks. See discussions above regarding the discontinuation of this line of business.</w:t>
      </w:r>
    </w:p>
    <w:p>
      <w:pPr>
        <w:ind w:lef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discussion above with regard to “Net Written Premiums and Net Premiums Earned”, as to changes in quota share ceding rates, effective December 31, 2020, December 15, 2019 and July 1, 2019.</w:t>
      </w:r>
    </w:p>
    <w:p>
      <w:pPr>
        <w:ind w:left="460" w:hanging="452"/>
        <w:spacing w:after="0" w:line="26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discussion above with regard to “Net Loss and LAE”, as to catastrophe losses in the three months and nine months ended September 30, 2021 and 2020.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underwriting business reported on a standalone basis for the periods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7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Three months ended</w:t>
            </w:r>
          </w:p>
        </w:tc>
        <w:tc>
          <w:tcPr>
            <w:tcW w:w="27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740" w:type="dxa"/>
            <w:vAlign w:val="bottom"/>
          </w:tcPr>
          <w:p>
            <w:pPr>
              <w:spacing w:after="0"/>
              <w:rPr>
                <w:sz w:val="20"/>
                <w:szCs w:val="20"/>
                <w:color w:val="auto"/>
              </w:rPr>
            </w:pPr>
          </w:p>
        </w:tc>
        <w:tc>
          <w:tcPr>
            <w:tcW w:w="27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76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7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r>
      <w:tr>
        <w:trPr>
          <w:trHeight w:val="425"/>
        </w:trPr>
        <w:tc>
          <w:tcPr>
            <w:tcW w:w="57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  36,803,251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  27,521,081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  106,828,895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  81,099,387</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Ceding commission revenue</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(7,276)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3,448,774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37,400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10,760,087</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1,676,596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1,494,086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5,137,867</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4,771,316</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Net gains (losses) on investments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214,085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2,073,245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5,380,909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(1,580,398)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322,705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248,824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617,257</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754,943</w:t>
            </w:r>
          </w:p>
        </w:tc>
      </w:tr>
      <w:tr>
        <w:trPr>
          <w:trHeight w:val="20"/>
        </w:trPr>
        <w:tc>
          <w:tcPr>
            <w:tcW w:w="57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bl>
    <w:p>
      <w:pPr>
        <w:sectPr>
          <w:pgSz w:w="11900" w:h="16877" w:orient="portrait"/>
          <w:cols w:equalWidth="0" w:num="1">
            <w:col w:w="11240"/>
          </w:cols>
          <w:pgMar w:left="320" w:top="108" w:right="3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39,009,361</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34,786,010</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118,002,328</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95,805,335</w:t>
            </w:r>
          </w:p>
        </w:tc>
      </w:tr>
      <w:tr>
        <w:trPr>
          <w:trHeight w:val="210"/>
        </w:trPr>
        <w:tc>
          <w:tcPr>
            <w:tcW w:w="5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35,740,235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20,117,975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79,060,117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49,317,427</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8,201,935</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8,036,298</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24,711,115</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23,652,765</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6,562,743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6,346,846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19,722,705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19,434,110</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780,906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676,989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2,374,203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1,970,859</w:t>
            </w: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51,285,819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35,178,108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125,868,140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94,375,161</w:t>
            </w:r>
          </w:p>
        </w:tc>
      </w:tr>
      <w:tr>
        <w:trPr>
          <w:trHeight w:val="210"/>
        </w:trPr>
        <w:tc>
          <w:tcPr>
            <w:tcW w:w="57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income from operations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(12,276,458)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(392,098)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(7,865,812)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1,430,174</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(2,633,026)</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(203,922)</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(1,812,195)</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(24,888)</w:t>
            </w: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9"/>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(9,643,432)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(188,176)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(6,053,617)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1,455,062</w:t>
            </w:r>
          </w:p>
        </w:tc>
      </w:tr>
      <w:tr>
        <w:trPr>
          <w:trHeight w:val="197"/>
        </w:trPr>
        <w:tc>
          <w:tcPr>
            <w:tcW w:w="57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Key Measures: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Net loss ratio</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97.1%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w:t>
            </w:r>
          </w:p>
        </w:tc>
      </w:tr>
      <w:tr>
        <w:trPr>
          <w:trHeight w:val="20"/>
        </w:trPr>
        <w:tc>
          <w:tcPr>
            <w:tcW w:w="57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09"/>
        </w:trPr>
        <w:tc>
          <w:tcPr>
            <w:tcW w:w="5740" w:type="dxa"/>
            <w:vAlign w:val="bottom"/>
          </w:tcPr>
          <w:p>
            <w:pPr>
              <w:ind w:left="180"/>
              <w:spacing w:after="0"/>
              <w:rPr>
                <w:sz w:val="20"/>
                <w:szCs w:val="20"/>
                <w:color w:val="auto"/>
              </w:rPr>
            </w:pPr>
            <w:r>
              <w:rPr>
                <w:rFonts w:ascii="Arial" w:cs="Arial" w:eastAsia="Arial" w:hAnsi="Arial"/>
                <w:sz w:val="18"/>
                <w:szCs w:val="18"/>
                <w:color w:val="auto"/>
              </w:rPr>
              <w:t>Net combined ratio</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136.4%</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99.7%</w:t>
            </w: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Reconciliation of net underwriting expense ratio:</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costs and other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underwriting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14,764,678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14,383,144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44,433,820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43,086,875</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Ceding commission revenue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7,276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(3,448,774)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(10,760,087)</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Less: Other income</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(322,705)</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(248,824)</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(617,257)</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(754,943)</w:t>
            </w: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14,449,249</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10,685,546</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43,779,163</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31,571,845</w:t>
            </w:r>
          </w:p>
        </w:tc>
      </w:tr>
      <w:tr>
        <w:trPr>
          <w:trHeight w:val="197"/>
        </w:trPr>
        <w:tc>
          <w:tcPr>
            <w:tcW w:w="57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r>
      <w:tr>
        <w:trPr>
          <w:trHeight w:val="25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36,803,251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27,521,081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106,828,895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81,099,387</w:t>
            </w:r>
          </w:p>
        </w:tc>
      </w:tr>
      <w:tr>
        <w:trPr>
          <w:trHeight w:val="197"/>
        </w:trPr>
        <w:tc>
          <w:tcPr>
            <w:tcW w:w="57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r>
      <w:tr>
        <w:trPr>
          <w:trHeight w:val="23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w:t>
            </w: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our direct, assumed and ceded earned premiums, loss and loss adjustment expenses, and loss ratios is shown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140" w:type="dxa"/>
            <w:vAlign w:val="bottom"/>
          </w:tcPr>
          <w:p>
            <w:pPr>
              <w:spacing w:after="0"/>
              <w:rPr>
                <w:sz w:val="24"/>
                <w:szCs w:val="2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Direct</w:t>
            </w:r>
          </w:p>
        </w:tc>
        <w:tc>
          <w:tcPr>
            <w:tcW w:w="14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Assumed</w:t>
            </w:r>
          </w:p>
        </w:tc>
        <w:tc>
          <w:tcPr>
            <w:tcW w:w="160" w:type="dxa"/>
            <w:vAlign w:val="bottom"/>
          </w:tcPr>
          <w:p>
            <w:pPr>
              <w:spacing w:after="0"/>
              <w:rPr>
                <w:sz w:val="24"/>
                <w:szCs w:val="2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Ceded</w:t>
            </w:r>
          </w:p>
        </w:tc>
        <w:tc>
          <w:tcPr>
            <w:tcW w:w="140" w:type="dxa"/>
            <w:vAlign w:val="bottom"/>
          </w:tcPr>
          <w:p>
            <w:pPr>
              <w:spacing w:after="0"/>
              <w:rPr>
                <w:sz w:val="24"/>
                <w:szCs w:val="2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131,609,930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(21,854,398)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109,755,532</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(2,911,439)</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(15,198)</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(2,926,637)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128,698,491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(21,869,596)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106,828,895</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tcPr>
          <w:p>
            <w:pPr>
              <w:spacing w:after="0"/>
              <w:rPr>
                <w:sz w:val="17"/>
                <w:szCs w:val="17"/>
                <w:color w:val="auto"/>
              </w:rPr>
            </w:pPr>
          </w:p>
        </w:tc>
        <w:tc>
          <w:tcPr>
            <w:tcW w:w="45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 exluding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340"/>
              <w:spacing w:after="0"/>
              <w:rPr>
                <w:sz w:val="20"/>
                <w:szCs w:val="20"/>
                <w:color w:val="auto"/>
              </w:rPr>
            </w:pPr>
            <w:r>
              <w:rPr>
                <w:rFonts w:ascii="Arial" w:cs="Arial" w:eastAsia="Arial" w:hAnsi="Arial"/>
                <w:sz w:val="18"/>
                <w:szCs w:val="18"/>
                <w:color w:val="auto"/>
              </w:rPr>
              <w:t>the effect of catastrophes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67,633,915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(860,490)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66,773,425</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12,647,172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(360,480)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12,286,692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Loss and loss adjustment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80,281,087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(1,220,970)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79,060,117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125,089,571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(43,813,468)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81,276,103</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2,215,602</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(2,392,318)</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(176,716)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127,305,173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(46,205,786)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81,099,387</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tcPr>
          <w:p>
            <w:pPr>
              <w:spacing w:after="0"/>
              <w:rPr>
                <w:sz w:val="17"/>
                <w:szCs w:val="17"/>
                <w:color w:val="auto"/>
              </w:rPr>
            </w:pPr>
          </w:p>
        </w:tc>
        <w:tc>
          <w:tcPr>
            <w:tcW w:w="45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 exluding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340"/>
              <w:spacing w:after="0"/>
              <w:rPr>
                <w:sz w:val="20"/>
                <w:szCs w:val="20"/>
                <w:color w:val="auto"/>
              </w:rPr>
            </w:pPr>
            <w:r>
              <w:rPr>
                <w:rFonts w:ascii="Arial" w:cs="Arial" w:eastAsia="Arial" w:hAnsi="Arial"/>
                <w:sz w:val="18"/>
                <w:szCs w:val="18"/>
                <w:color w:val="auto"/>
              </w:rPr>
              <w:t>the effect of catastrophes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52,736,775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(13,794,461)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38,942,314</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20,407,638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(10,032,525)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10,375,113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Loss and loss adjustment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73,144,413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(23,826,986)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49,317,427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September 30, 2021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48,865,169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(7,223,526)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41,641,643</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(4,848,145)</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9,753</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(4,838,392)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44,017,024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(7,213,773)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36,803,251</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tcPr>
          <w:p>
            <w:pPr>
              <w:spacing w:after="0"/>
              <w:rPr>
                <w:sz w:val="17"/>
                <w:szCs w:val="17"/>
                <w:color w:val="auto"/>
              </w:rPr>
            </w:pPr>
          </w:p>
        </w:tc>
        <w:tc>
          <w:tcPr>
            <w:tcW w:w="45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 exluding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340"/>
              <w:spacing w:after="0"/>
              <w:rPr>
                <w:sz w:val="20"/>
                <w:szCs w:val="20"/>
                <w:color w:val="auto"/>
              </w:rPr>
            </w:pPr>
            <w:r>
              <w:rPr>
                <w:rFonts w:ascii="Arial" w:cs="Arial" w:eastAsia="Arial" w:hAnsi="Arial"/>
                <w:sz w:val="18"/>
                <w:szCs w:val="18"/>
                <w:color w:val="auto"/>
              </w:rPr>
              <w:t>the effect of catastrophes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23,537,875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21,239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23,559,114</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12,541,601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(360,480)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12,181,121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39" w:name="page40"/>
    <w:bookmarkEnd w:id="3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36,079,476</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(339,241)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35,740,235</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64.0%</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82.0%</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97.1%</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Three months ended September 30, 2020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45,742,165</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(15,747,215)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29,994,950</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Change in unearned premiums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(3,161,356)</w:t>
            </w:r>
          </w:p>
        </w:tc>
        <w:tc>
          <w:tcPr>
            <w:tcW w:w="4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687,487</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(2,473,869)</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42,580,809</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(15,059,728)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27,521,081</w:t>
            </w:r>
          </w:p>
        </w:tc>
      </w:tr>
      <w:tr>
        <w:trPr>
          <w:trHeight w:val="196"/>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 exluding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the effect of catastrophes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15,655,839</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(4,202,861)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11,452,978</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18,069,690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(9,404,693)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8,664,997</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33,725,529</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(13,607,554)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20,117,975</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91.6%</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79.2%</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90.3%</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73.1%</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measures for our insurance underwriting business for the periods indicated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58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10"/>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36,803,251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27,521,081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106,828,895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81,099,387</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(7,276)</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3,448,774</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37,400</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10,760,087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322,705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248,824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617,257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754,943</w:t>
            </w:r>
          </w:p>
        </w:tc>
      </w:t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and loss adjustment expenses (1)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35,740,235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20,117,975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79,060,117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49,317,427</w:t>
            </w:r>
          </w:p>
        </w:tc>
      </w:t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other underwriting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8,201,935</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8,036,298</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24,711,115</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23,652,765</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6,562,743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6,346,846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19,722,705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19,434,110</w:t>
            </w:r>
          </w:p>
        </w:tc>
      </w:tr>
      <w:tr>
        <w:trPr>
          <w:trHeight w:val="210"/>
        </w:trPr>
        <w:tc>
          <w:tcPr>
            <w:tcW w:w="5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acquisition costs and other</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underwriting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14,764,678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14,383,144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44,433,820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43,086,875</w:t>
            </w:r>
          </w:p>
        </w:tc>
      </w:tr>
      <w:tr>
        <w:trPr>
          <w:trHeight w:val="210"/>
        </w:trPr>
        <w:tc>
          <w:tcPr>
            <w:tcW w:w="58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Underwriting (loss)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(13,386,233)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(3,282,440)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(16,010,385)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210,115</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Key Measures: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loss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catastrophe loss on net loss ratio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Net loss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97.1%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73.1%</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60.8%</w:t>
            </w:r>
          </w:p>
        </w:tc>
      </w:tr>
      <w:tr>
        <w:trPr>
          <w:trHeight w:val="209"/>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underwriting expense ratio excluding the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Effect of catastrophe loss on net underwriting</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 ratio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Net underwriting expense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r>
      <w:tr>
        <w:trPr>
          <w:trHeight w:val="210"/>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combined ratio excluding the effect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Effect of catastrophe loss on net combined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ratio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Net combined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136.4%</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99.7%</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Reconciliation of net underwriting expense ratio:</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costs and other</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underwriting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14,764,678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14,383,144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44,433,820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43,086,875</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Ceding commission revenue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(3,448,774)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(10,760,087)</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Less: Other income</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(322,705)</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(248,824)</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(617,257)</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(754,943)</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14,449,249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10,685,546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43,779,163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31,571,845</w:t>
            </w:r>
          </w:p>
        </w:tc>
      </w:tr>
      <w:tr>
        <w:trPr>
          <w:trHeight w:val="197"/>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earned premium</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36,803,251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27,521,081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106,828,895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81,099,387</w:t>
            </w:r>
          </w:p>
        </w:tc>
      </w:tr>
      <w:tr>
        <w:trPr>
          <w:trHeight w:val="196"/>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r>
      <w:tr>
        <w:trPr>
          <w:trHeight w:val="22"/>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ectPr>
          <w:pgSz w:w="11900" w:h="16900" w:orient="portrait"/>
          <w:cols w:equalWidth="0" w:num="1">
            <w:col w:w="11240"/>
          </w:cols>
          <w:pgMar w:left="320" w:top="125" w:right="339" w:bottom="0" w:gutter="0" w:footer="0" w:header="0"/>
        </w:sectPr>
      </w:pPr>
    </w:p>
    <w:bookmarkStart w:id="40" w:name="page41"/>
    <w:bookmarkEnd w:id="40"/>
    <w:p>
      <w:pPr>
        <w:jc w:val="both"/>
        <w:ind w:left="460" w:hanging="452"/>
        <w:spacing w:after="0" w:line="26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three months ended September 30, 2021 and 2020, includes the sum of net catastrophe losses and loss adjustment expenses of $12,181,121 and $8,664,997, respectively. For the nine months ended September 30, 2021 and 2020, includes the sum of net catastrophe losses and loss adjustment expenses of $12,286,692 and $10,375,113,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a breakdown of the amortized cost, estimated fair value, and unrealized gains and losses of our investments in fixed-maturity securities classified as available-for-sale as of September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w w:val="93"/>
              </w:rPr>
              <w:t>September 30, 2021</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26"/>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Cost or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Gross</w:t>
            </w:r>
          </w:p>
        </w:tc>
        <w:tc>
          <w:tcPr>
            <w:tcW w:w="222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89"/>
              </w:rPr>
              <w:t>Gross Unrealized Losses</w:t>
            </w: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r>
      <w:tr>
        <w:trPr>
          <w:trHeight w:val="191"/>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Less than</w:t>
            </w:r>
          </w:p>
        </w:tc>
        <w:tc>
          <w:tcPr>
            <w:tcW w:w="8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8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8"/>
                <w:szCs w:val="18"/>
                <w:color w:val="auto"/>
              </w:rPr>
            </w:pPr>
          </w:p>
        </w:tc>
        <w:tc>
          <w:tcPr>
            <w:tcW w:w="78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4"/>
              </w:rPr>
              <w:t>Cost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Months</w:t>
            </w: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4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2,002,935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2,006,880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14,384,428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259,721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(89,844)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14,554,305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88,059,505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7,391,053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(27,577)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95,422,981</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40,988,538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561,035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(243,639)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41,305,076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r>
      <w:tr>
        <w:trPr>
          <w:trHeight w:val="20"/>
        </w:trPr>
        <w:tc>
          <w:tcPr>
            <w:tcW w:w="4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145,435,406</w:t>
            </w:r>
          </w:p>
        </w:tc>
        <w:tc>
          <w:tcPr>
            <w:tcW w:w="140" w:type="dxa"/>
            <w:vAlign w:val="bottom"/>
          </w:tcPr>
          <w:p>
            <w:pPr>
              <w:spacing w:after="0"/>
              <w:rPr>
                <w:sz w:val="18"/>
                <w:szCs w:val="18"/>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w w:val="94"/>
              </w:rPr>
              <w:t>$ 8,215,754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line="210" w:lineRule="exact"/>
              <w:rPr>
                <w:sz w:val="20"/>
                <w:szCs w:val="20"/>
                <w:color w:val="auto"/>
              </w:rPr>
            </w:pPr>
            <w:r>
              <w:rPr>
                <w:rFonts w:ascii="Arial" w:cs="Arial" w:eastAsia="Arial" w:hAnsi="Arial"/>
                <w:sz w:val="14"/>
                <w:szCs w:val="14"/>
                <w:color w:val="auto"/>
              </w:rPr>
              <w:t>(361,060</w:t>
            </w:r>
            <w:r>
              <w:rPr>
                <w:rFonts w:ascii="Arial" w:cs="Arial" w:eastAsia="Arial" w:hAnsi="Arial"/>
                <w:sz w:val="24"/>
                <w:szCs w:val="24"/>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line="210" w:lineRule="exact"/>
              <w:rPr>
                <w:sz w:val="20"/>
                <w:szCs w:val="20"/>
                <w:color w:val="auto"/>
              </w:rPr>
            </w:pPr>
            <w:r>
              <w:rPr>
                <w:rFonts w:ascii="Arial" w:cs="Arial" w:eastAsia="Arial" w:hAnsi="Arial"/>
                <w:sz w:val="14"/>
                <w:szCs w:val="14"/>
                <w:color w:val="auto"/>
              </w:rPr>
              <w:t>(858</w:t>
            </w:r>
            <w:r>
              <w:rPr>
                <w:rFonts w:ascii="Arial" w:cs="Arial" w:eastAsia="Arial" w:hAnsi="Arial"/>
                <w:sz w:val="24"/>
                <w:szCs w:val="24"/>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153,289,242</w:t>
            </w:r>
          </w:p>
        </w:tc>
        <w:tc>
          <w:tcPr>
            <w:tcW w:w="1040" w:type="dxa"/>
            <w:vAlign w:val="bottom"/>
            <w:gridSpan w:val="3"/>
          </w:tcPr>
          <w:p>
            <w:pPr>
              <w:jc w:val="right"/>
              <w:ind w:right="20"/>
              <w:spacing w:after="0" w:line="210" w:lineRule="exact"/>
              <w:rPr>
                <w:sz w:val="20"/>
                <w:szCs w:val="20"/>
                <w:color w:val="auto"/>
              </w:rPr>
            </w:pPr>
            <w:r>
              <w:rPr>
                <w:rFonts w:ascii="Arial" w:cs="Arial" w:eastAsia="Arial" w:hAnsi="Arial"/>
                <w:sz w:val="14"/>
                <w:szCs w:val="14"/>
                <w:color w:val="auto"/>
              </w:rPr>
              <w:t>100.0</w:t>
            </w:r>
            <w:r>
              <w:rPr>
                <w:rFonts w:ascii="Arial" w:cs="Arial" w:eastAsia="Arial" w:hAnsi="Arial"/>
                <w:sz w:val="24"/>
                <w:szCs w:val="24"/>
                <w:color w:val="auto"/>
                <w:vertAlign w:val="subscript"/>
              </w:rPr>
              <w:t>%</w:t>
            </w:r>
          </w:p>
        </w:tc>
      </w:tr>
      <w:tr>
        <w:trPr>
          <w:trHeight w:val="40"/>
        </w:trPr>
        <w:tc>
          <w:tcPr>
            <w:tcW w:w="4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gridSpan w:val="2"/>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r>
      <w:tr>
        <w:trPr>
          <w:trHeight w:val="432"/>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w w:val="93"/>
              </w:rPr>
              <w:t>December 31, 2020</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25"/>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Cost or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Gross</w:t>
            </w:r>
          </w:p>
        </w:tc>
        <w:tc>
          <w:tcPr>
            <w:tcW w:w="222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89"/>
              </w:rPr>
              <w:t>Gross Unrealized Losses</w:t>
            </w: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r>
      <w:tr>
        <w:trPr>
          <w:trHeight w:val="191"/>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Less than</w:t>
            </w:r>
          </w:p>
        </w:tc>
        <w:tc>
          <w:tcPr>
            <w:tcW w:w="8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1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78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4"/>
              </w:rPr>
              <w:t>Cost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Gains</w:t>
            </w:r>
          </w:p>
        </w:tc>
        <w:tc>
          <w:tcPr>
            <w:tcW w:w="1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Months</w:t>
            </w: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4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3,020,710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3,049,900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45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5,287,561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355,541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5,643,102</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45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108,573,422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9"/>
              </w:rPr>
              <w:t>11,634,123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120,194,329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r>
      <w:tr>
        <w:trPr>
          <w:trHeight w:val="216"/>
        </w:trPr>
        <w:tc>
          <w:tcPr>
            <w:tcW w:w="45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 (1)</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28,163,891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617,368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(111,947)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28,661,941</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r>
      <w:tr>
        <w:trPr>
          <w:trHeight w:val="20"/>
        </w:trPr>
        <w:tc>
          <w:tcPr>
            <w:tcW w:w="4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8"/>
                <w:szCs w:val="18"/>
                <w:color w:val="auto"/>
              </w:rPr>
              <w:t>Total fixed-maturity securities</w:t>
            </w: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145,045,584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12,636,222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(20,587)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(111,947)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157,549,272</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hanging="452"/>
        <w:spacing w:after="0" w:line="25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KICO placed certain residential mortgage backed securities as eligible collateral in a designated custodian account related to its membership in the Federal Home Loan Bank of New York ("FHLBNY") (see Note 7 to the condensed consolidated financial statements). The eligible collateral would be pledged to FHLBNY if KICO draws an advance from the FHLBNY credit line. As of December 31, 2020, the estimated fair value of the eligible investments was approximately $11,391,000. KICO will retain all rights regarding all securities if pledged as collateral. As of December 31, 2020, there was no outstanding balance on the FHLBNY credit line.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Equity Securities</w:t>
      </w:r>
    </w:p>
    <w:p>
      <w:pPr>
        <w:sectPr>
          <w:pgSz w:w="11900" w:h="16838" w:orient="portrait"/>
          <w:cols w:equalWidth="0" w:num="1">
            <w:col w:w="11240"/>
          </w:cols>
          <w:pgMar w:left="320" w:top="341" w:right="339" w:bottom="0" w:gutter="0" w:footer="0" w:header="0"/>
        </w:sectPr>
      </w:pPr>
    </w:p>
    <w:bookmarkStart w:id="41" w:name="page42"/>
    <w:bookmarkEnd w:id="41"/>
    <w:p>
      <w:pPr>
        <w:spacing w:after="0" w:line="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a breakdown of the cost and estimated fair value of, and gross gains and losses on, investments in equity securities as of September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September 30, 2021</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Gains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6"/>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21,934,910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1,123,310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(157,431)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22,900,789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traded funds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15,610,331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1,620,343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(70,591)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17,160,083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r>
      <w:tr>
        <w:trPr>
          <w:trHeight w:val="20"/>
        </w:trPr>
        <w:tc>
          <w:tcPr>
            <w:tcW w:w="4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37,545,241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2,743,653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(228,022)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40,060,872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Gains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6"/>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18,097,942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853,277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(426,942)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18,524,277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traded funds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14,473,224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1,820,512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(404,700)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15,889,036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w:t>
            </w:r>
          </w:p>
        </w:tc>
      </w:tr>
      <w:tr>
        <w:trPr>
          <w:trHeight w:val="20"/>
        </w:trPr>
        <w:tc>
          <w:tcPr>
            <w:tcW w:w="4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32,571,166</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2,673,789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(831,642)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34,413,313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breakdown of the cost and estimated fair value of, and gross gains on, our other investments as of September 30,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2021 and December 31, 2020: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89"/>
              </w:rPr>
              <w:t>September 30, 2021</w:t>
            </w:r>
          </w:p>
        </w:tc>
        <w:tc>
          <w:tcPr>
            <w:tcW w:w="30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December 31, 2020</w:t>
            </w:r>
          </w:p>
        </w:tc>
      </w:tr>
      <w:tr>
        <w:trPr>
          <w:trHeight w:val="191"/>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Cost</w:t>
            </w: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r>
      <w:tr>
        <w:trPr>
          <w:trHeight w:val="425"/>
        </w:trPr>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Other Investments:</w:t>
            </w: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$ 3,999,381</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$ 3,379,730</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$ 7,379,111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$ 1,999,381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$ 3,368,626</w:t>
            </w:r>
          </w:p>
        </w:tc>
      </w:t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Real estate limited partnership</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0"/>
        </w:trPr>
        <w:tc>
          <w:tcPr>
            <w:tcW w:w="4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$ 3,999,381</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$ 3,379,730</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w w:val="96"/>
              </w:rPr>
              <w:t>$ 7,379,111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$ 2,149,381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$ 3,518,626</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a breakdown of the amortized cost and estimated fair value of, and gross unrealized gains and losses on, investments in held-to-maturity securities as of September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3"/>
              </w:rPr>
              <w:t>September 30, 2021</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25"/>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Cost or</w:t>
            </w:r>
          </w:p>
        </w:tc>
        <w:tc>
          <w:tcPr>
            <w:tcW w:w="14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85"/>
              </w:rPr>
              <w:t>Gross Unrealized Losses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r>
      <w:tr>
        <w:trPr>
          <w:trHeight w:val="191"/>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rPr>
              <w:t>Less than</w:t>
            </w: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Months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Months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4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210,466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940,096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r>
      <w:tr>
        <w:trPr>
          <w:trHeight w:val="216"/>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998,296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1,028,040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304,111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(16,611)</w:t>
            </w: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287,500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7,134,946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315,285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(6,363)</w:t>
            </w: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7,443,868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76.7%</w:t>
            </w:r>
          </w:p>
        </w:tc>
      </w:tr>
      <w:tr>
        <w:trPr>
          <w:trHeight w:val="209"/>
        </w:trPr>
        <w:tc>
          <w:tcPr>
            <w:tcW w:w="4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9,166,983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555,495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(22,974)</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9,699,504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6"/>
              </w:rPr>
              <w:t>December 31, 2020</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26"/>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Cost or</w:t>
            </w:r>
          </w:p>
        </w:tc>
        <w:tc>
          <w:tcPr>
            <w:tcW w:w="14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85"/>
              </w:rPr>
              <w:t>Gross Unrealized Losses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r>
      <w:tr>
        <w:trPr>
          <w:trHeight w:val="228"/>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9"/>
                <w:szCs w:val="19"/>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b w:val="1"/>
                <w:bCs w:val="1"/>
                <w:color w:val="auto"/>
              </w:rPr>
              <w:t>Less than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5"/>
              </w:rPr>
              <w:t>More than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Estimated</w:t>
            </w:r>
          </w:p>
        </w:tc>
      </w:tr>
    </w:tbl>
    <w:p>
      <w:pPr>
        <w:sectPr>
          <w:pgSz w:w="11900" w:h="16923" w:orient="portrait"/>
          <w:cols w:equalWidth="0" w:num="1">
            <w:col w:w="11240"/>
          </w:cols>
          <w:pgMar w:left="320" w:top="341" w:right="3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98"/>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Gains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Months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Months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Value</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09"/>
        </w:trPr>
        <w:tc>
          <w:tcPr>
            <w:tcW w:w="4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729,595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319,714</w:t>
            </w:r>
          </w:p>
        </w:tc>
        <w:tc>
          <w:tcPr>
            <w:tcW w:w="8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$ 1,049,309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998,428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50,917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1,049,345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5,640,792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455,378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6,096,170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7,368,815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826,009</w:t>
            </w:r>
          </w:p>
        </w:tc>
        <w:tc>
          <w:tcPr>
            <w:tcW w:w="8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$ 8,194,824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fair value of our investments in held-to-maturity securities by contractual maturity as of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is shown below: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Pr>
          <w:p>
            <w:pPr>
              <w:spacing w:after="0"/>
              <w:rPr>
                <w:sz w:val="24"/>
                <w:szCs w:val="24"/>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12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1280" w:type="dxa"/>
            <w:vAlign w:val="bottom"/>
            <w:tcBorders>
              <w:top w:val="single" w:sz="8" w:color="auto"/>
            </w:tcBorders>
          </w:tcPr>
          <w:p>
            <w:pPr>
              <w:spacing w:after="0"/>
              <w:rPr>
                <w:sz w:val="18"/>
                <w:szCs w:val="18"/>
                <w:color w:val="auto"/>
              </w:rPr>
            </w:pPr>
          </w:p>
        </w:tc>
        <w:tc>
          <w:tcPr>
            <w:tcW w:w="4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1,394,102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1,420,414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1,205,500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1,301,973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2,598,193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2,777,936</w:t>
            </w: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1,511,072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1,686,289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1,502,603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1,727,316</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5,056,309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5,290,828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3,268,019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3,689,572</w:t>
            </w:r>
          </w:p>
        </w:tc>
      </w:tr>
      <w:tr>
        <w:trPr>
          <w:trHeight w:val="20"/>
        </w:trPr>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9,166,983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9,699,504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7,368,815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8,194,824</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September 30, 2021 and December 31, 2020 as rated by Standard &amp; Poor’s (or, if unavailable from Standard &amp; Poor’s, then Moody’s or Fitch):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Pr>
          <w:p>
            <w:pPr>
              <w:spacing w:after="0"/>
              <w:rPr>
                <w:sz w:val="20"/>
                <w:szCs w:val="20"/>
                <w:color w:val="auto"/>
              </w:rPr>
            </w:pPr>
          </w:p>
        </w:tc>
        <w:tc>
          <w:tcPr>
            <w:tcW w:w="246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Fair Market</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Fair Market</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Fair Market</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Fair Market</w:t>
            </w:r>
          </w:p>
        </w:tc>
      </w:tr>
      <w:tr>
        <w:trPr>
          <w:trHeight w:val="234"/>
        </w:trPr>
        <w:tc>
          <w:tcPr>
            <w:tcW w:w="5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r>
      <w:tr>
        <w:trPr>
          <w:trHeight w:val="425"/>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Rating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2,006,880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3,049,900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municipal bonds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AAA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2,417,351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1,453,924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10,258,737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3,572,164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23,227,866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23,989,619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73,042,960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95,814,824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Non rated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1,030,372</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1,006,901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corporate and municipal bonds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109,977,286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125,837,432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w:t>
            </w: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AAA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2,000,580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5,467,075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36,854,164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18,865,749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996,406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2,451,635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30,927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50,276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CCC</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824,310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960,042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CC</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62,029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15,161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58,117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Non rated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540,572</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670,829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residential mortgage backed securities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41,305,076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28,661,940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153,289,242</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157,549,272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the average yield by type of fixed-maturity security as of September 30, 2021 and December 31,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line="225" w:lineRule="exact"/>
        <w:rPr>
          <w:sz w:val="20"/>
          <w:szCs w:val="20"/>
          <w:color w:val="auto"/>
        </w:rPr>
      </w:pPr>
    </w:p>
    <w:p>
      <w:pPr>
        <w:spacing w:after="0"/>
        <w:rPr>
          <w:rFonts w:ascii="Arial" w:cs="Arial" w:eastAsia="Arial" w:hAnsi="Arial"/>
          <w:sz w:val="16"/>
          <w:szCs w:val="16"/>
          <w:i w:val="1"/>
          <w:iCs w:val="1"/>
          <w:u w:val="single" w:color="auto"/>
          <w:color w:val="0000EE"/>
        </w:rPr>
      </w:pPr>
      <w:hyperlink w:anchor="page1">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240"/>
          </w:cols>
          <w:pgMar w:left="320" w:top="121" w:right="339" w:bottom="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02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4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09"/>
        </w:trPr>
        <w:tc>
          <w:tcPr>
            <w:tcW w:w="8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r>
      <w:tr>
        <w:trPr>
          <w:trHeight w:val="216"/>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r>
      <w:tr>
        <w:trPr>
          <w:trHeight w:val="216"/>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r>
      <w:tr>
        <w:trPr>
          <w:trHeight w:val="216"/>
        </w:trPr>
        <w:tc>
          <w:tcPr>
            <w:tcW w:w="80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r>
      <w:tr>
        <w:trPr>
          <w:trHeight w:val="216"/>
        </w:trPr>
        <w:tc>
          <w:tcPr>
            <w:tcW w:w="80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lists the weighted average maturity and effective duration in years on our fixed-maturity securities as of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8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effective maturity</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final maturity</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Effective duration</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September 30, 2021 and December 31, 2020, 81% of the investment portfolio recorded at fair value was priced based upon quoted market prices.</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September 30, 2021 and December 31,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September 30, 2021</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2780" w:type="dxa"/>
            <w:vAlign w:val="bottom"/>
            <w:gridSpan w:val="8"/>
          </w:tcPr>
          <w:p>
            <w:pPr>
              <w:ind w:left="56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ind w:left="68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88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2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r>
      <w:tr>
        <w:trPr>
          <w:trHeight w:val="426"/>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government corporations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agencies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9,106,494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(89,844)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9,106,494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(89,844)</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1,071,100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(27,577)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1,071,100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(27,577)</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27,039,698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(243,639)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27,052,134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(244,497)</w:t>
            </w:r>
          </w:p>
        </w:tc>
      </w:tr>
      <w:tr>
        <w:trPr>
          <w:trHeight w:val="209"/>
        </w:trPr>
        <w:tc>
          <w:tcPr>
            <w:tcW w:w="12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37,217,292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(361,060)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37,229,728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(361,918)</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16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0" w:gutter="0" w:footer="0" w:header="0"/>
        </w:sectPr>
      </w:pPr>
    </w:p>
    <w:bookmarkStart w:id="44" w:name="page45"/>
    <w:bookmarkEnd w:id="44"/>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8"/>
                <w:szCs w:val="18"/>
                <w:b w:val="1"/>
                <w:bCs w:val="1"/>
                <w:color w:val="auto"/>
                <w:w w:val="97"/>
              </w:rPr>
              <w:t>December 31, 2020</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8"/>
          </w:tcPr>
          <w:p>
            <w:pPr>
              <w:ind w:left="60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ind w:left="68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r>
      <w:tr>
        <w:trPr>
          <w:trHeight w:val="210"/>
        </w:trPr>
        <w:tc>
          <w:tcPr>
            <w:tcW w:w="1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corporations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agencies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1,006,901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1,006,901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(13,216)</w:t>
            </w: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6,137,522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3,735,732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(111,947)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9,873,254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(119,318)</w:t>
            </w:r>
          </w:p>
        </w:tc>
      </w:tr>
      <w:tr>
        <w:trPr>
          <w:trHeight w:val="210"/>
        </w:trPr>
        <w:tc>
          <w:tcPr>
            <w:tcW w:w="1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7,144,423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(20,587)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3,735,732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(111,947)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10,880,155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(132,534)</w:t>
            </w:r>
          </w:p>
        </w:tc>
      </w:tr>
      <w:tr>
        <w:trPr>
          <w:trHeight w:val="629"/>
        </w:trPr>
        <w:tc>
          <w:tcPr>
            <w:tcW w:w="1280" w:type="dxa"/>
            <w:vAlign w:val="bottom"/>
            <w:tcBorders>
              <w:top w:val="single" w:sz="8" w:color="CCEEFF"/>
              <w:bottom w:val="single" w:sz="8" w:color="auto"/>
            </w:tcBorders>
          </w:tcPr>
          <w:p>
            <w:pPr>
              <w:spacing w:after="0"/>
              <w:rPr>
                <w:sz w:val="24"/>
                <w:szCs w:val="24"/>
                <w:color w:val="auto"/>
              </w:rPr>
            </w:pPr>
          </w:p>
        </w:tc>
        <w:tc>
          <w:tcPr>
            <w:tcW w:w="16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were 25 securities at September 30, 2021 that accounted for the gross unrealized loss of our fixed-maturity securities available-for-sale, none of which were deemed by us to be other than temporarily impaired. There were 16 securities at December 31, 2020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For the nine months ended September 30, 2021, the primary source of cash flow for our holding company was the dividends received from KICO, subject to statutory restrictions. For the nine months ended September 30, 2021, KICO paid dividends of $3,500,000 to us.</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KICO currently does not have any securities pledged to FHLBNY, as such, there were no borrowings under this facility during the nine months ended September 30, 2021 and 2020.</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September 30, 2021, invested assets and cash in our holding company totaled approximately $2,341,000. If the aforementioned sources of cash flow currently available are insufficient to cover our holding company cash requirements, we will seek to obtain additional financing.</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Nine Months ended September 30,</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2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2860"/>
                    </a:xfrm>
                    <a:prstGeom prst="rect">
                      <a:avLst/>
                    </a:prstGeom>
                    <a:noFill/>
                  </pic:spPr>
                </pic:pic>
              </a:graphicData>
            </a:graphic>
          </wp:anchor>
        </w:drawing>
      </w:r>
    </w:p>
    <w:p>
      <w:pPr>
        <w:sectPr>
          <w:pgSz w:w="11900" w:h="16841" w:orient="portrait"/>
          <w:cols w:equalWidth="0" w:num="1">
            <w:col w:w="11240"/>
          </w:cols>
          <w:pgMar w:left="320" w:top="108" w:right="339" w:bottom="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29,079,787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(9,465,006)</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(9,297,954)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3,927,739</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(3,137,487)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(2,466,115)</w:t>
            </w:r>
          </w:p>
        </w:tc>
      </w:tr>
      <w:tr>
        <w:trPr>
          <w:trHeight w:val="20"/>
        </w:trPr>
        <w:tc>
          <w:tcPr>
            <w:tcW w:w="87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16,644,346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(8,003,382)</w:t>
            </w: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19,463,742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32,391,485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36,108,088</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24,388,103</w:t>
            </w:r>
          </w:p>
        </w:tc>
      </w:tr>
      <w:tr>
        <w:trPr>
          <w:trHeight w:val="20"/>
        </w:trPr>
        <w:tc>
          <w:tcPr>
            <w:tcW w:w="8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operating activities was $29,080,000 in Nine Months 2021 as compared to $9,465,000 used in operating activities in Nine Months 2020. The $38,545,000 increase in cash flows provided by operating activities in Nine Months 2021 was primarily the result of an increase in cash arising from net fluctuations in assets and liabilities, partially offset by net loss (adjusted for non-cash items) of $18,247,000. The net fluctuations in assets and liabilities are related to operating activities of KICO as affected by growth or declines in its operations, payments on claims and other changes, which are described above.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was $9,298,000 in Nine Months 2021 compared to $3,928,000 provided by investing activities in Nine Months 2020. The $13,226,000 increase in net cash used in investing activities was the result of a $23,660,000 increase in the acquisition of invested assets, partially offset by an $11,119,000 increase in disposals of invested assets in Nine Months 2021.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was $3,137,000 in Nine Months 2021 compared to $2,466,000 used in Nine Months 2020. The $671,000 increase in net cash used in financing activities was attributable to a $870,000 increase in purchases of treasury stock offset by a $256,000 reduction in dividends paid in Nine Months 2021 compared to Nine Months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December 15, 2019, we entered into a quota share reinsurance treaty for our personal lines business covering the period from December 15, 2019 through December 30, 2020 (“2019/2020 Treaty”). Effective December 31, 2020 the 2019/2020 Treaty expired on a cut off basis; this treaty was not renewed. In addition to the 2019/2020 Treaty, our personal lines quota share reinsurance treaty in effect for Three Months 2020 also included the run-off of the personal lines quota share treaty (“2018/2019 Treaty”) that expired on June 30, 2019. The run-off covered the period from July 1, 2019 through June 30, 2020 (“2019/2020 Run-off”). We entered into new excess of loss and catastrophe reinsurance treaties effective July 1, 2021. Effective October 18, 2021, we entered into a stub catastrophe reinsurance treaty covering the period from October 18, 2021 through December 31, 2021. The treaty provides reinsurance coverage for catastrophe losses of $5,000,000 in excess of $5,000,000. Losses from freeze are excluded from the treaty. Material terms for our reinsurance treaties in effect for the treaty years shown below are as follows: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40"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816610</wp:posOffset>
            </wp:positionH>
            <wp:positionV relativeFrom="page">
              <wp:posOffset>88900</wp:posOffset>
            </wp:positionV>
            <wp:extent cx="5940425" cy="62833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940425" cy="628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460" w:right="20" w:hanging="452"/>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personal lines, includes the addition of an automatic facultative facility allowing KICO to obtain homeowners single risk coverage up to $10,000,000 in total insured value, which covers direct losses from $3,500,000 to $10,000,000 through June 30, 2020. For the period July 1, 2020 through June 30, 2022, direct losses are covered up to $9,000,000.</w:t>
      </w:r>
    </w:p>
    <w:p>
      <w:pPr>
        <w:spacing w:after="0" w:line="2"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Plus losses in excess of catastrophe coverage. For the period July 1, 2020 through December 30, 2020, there was no reinsurance coverage for the $2,500,000 gap between quota share limit of $7,500,000 and first $10,000,000 layer of catastrophe coverage (see note (7) below).</w:t>
      </w:r>
    </w:p>
    <w:p>
      <w:pPr>
        <w:ind w:left="460" w:hanging="452"/>
        <w:spacing w:after="0" w:line="26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460" w:hanging="452"/>
        <w:spacing w:after="0" w:line="25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period July 1, 2019 through June 30, 2020, reinstatement premium protection for $292,500,000 of catastrophe coverage in excess of $7,500,000.</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period July 1, 2020 through June 30, 2021, reinstatement premium protection for $70,000,000 of catastrophe coverage in excess of $10,000,000.</w:t>
      </w:r>
    </w:p>
    <w:p>
      <w:pPr>
        <w:ind w:left="460" w:right="2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period July 1, 2021 through June 30, 2022, reinstatement premium protection for $70,000,000 of catastrophe coverage in excess of $10,000,000.</w:t>
      </w:r>
    </w:p>
    <w:p>
      <w:pPr>
        <w:ind w:left="4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personal lines quota share (homeowners, dwelling fire and canine legal liability) expired on December 30, 2020; reinsurance coverage from December 31, 2020 through June 30, 2022 is only for excess of loss and catastrophe reinsurance.</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freeze and freeze related claims.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Treaty Year</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91"/>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July 1, 2021</w:t>
            </w:r>
          </w:p>
        </w:tc>
        <w:tc>
          <w:tcPr>
            <w:tcW w:w="28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July 1, 2020</w:t>
            </w:r>
          </w:p>
        </w:tc>
        <w:tc>
          <w:tcPr>
            <w:tcW w:w="28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July 1, 2019</w:t>
            </w: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2"/>
              </w:rPr>
              <w:t>to</w:t>
            </w:r>
          </w:p>
        </w:tc>
        <w:tc>
          <w:tcPr>
            <w:tcW w:w="2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2"/>
              </w:rPr>
              <w:t>to</w:t>
            </w:r>
          </w:p>
        </w:tc>
        <w:tc>
          <w:tcPr>
            <w:tcW w:w="2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June 30, 2022</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June 30, 2021</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June 30, 2020</w:t>
            </w:r>
          </w:p>
        </w:tc>
      </w:tr>
    </w:tbl>
    <w:p>
      <w:pPr>
        <w:sectPr>
          <w:pgSz w:w="11900" w:h="16838" w:orient="portrait"/>
          <w:cols w:equalWidth="0" w:num="1">
            <w:col w:w="11240"/>
          </w:cols>
          <w:pgMar w:left="320" w:top="1440" w:right="3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Personal Lines:</w:t>
            </w: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6220" w:type="dxa"/>
            <w:vAlign w:val="bottom"/>
          </w:tcPr>
          <w:p>
            <w:pPr>
              <w:spacing w:after="0"/>
              <w:rPr>
                <w:sz w:val="20"/>
                <w:szCs w:val="20"/>
                <w:color w:val="auto"/>
              </w:rPr>
            </w:pPr>
            <w:r>
              <w:rPr>
                <w:rFonts w:ascii="Arial" w:cs="Arial" w:eastAsia="Arial" w:hAnsi="Arial"/>
                <w:sz w:val="18"/>
                <w:szCs w:val="18"/>
                <w:color w:val="auto"/>
              </w:rPr>
              <w:t>Personal Umbrella</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6220" w:type="dxa"/>
            <w:vAlign w:val="bottom"/>
          </w:tcPr>
          <w:p>
            <w:pPr>
              <w:ind w:left="160"/>
              <w:spacing w:after="0"/>
              <w:rPr>
                <w:sz w:val="20"/>
                <w:szCs w:val="20"/>
                <w:color w:val="auto"/>
              </w:rPr>
            </w:pPr>
            <w:r>
              <w:rPr>
                <w:rFonts w:ascii="Arial" w:cs="Arial" w:eastAsia="Arial" w:hAnsi="Arial"/>
                <w:sz w:val="18"/>
                <w:szCs w:val="18"/>
                <w:color w:val="auto"/>
              </w:rPr>
              <w:t>Quota share treaty:</w:t>
            </w: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 ceded - first $1,000,000 of coverage</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Percent ceded - excess of $1,000,000 of coverage</w:t>
            </w:r>
          </w:p>
        </w:tc>
        <w:tc>
          <w:tcPr>
            <w:tcW w:w="1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Risk retained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100,000</w:t>
            </w: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Total reinsurance coverage per occurrence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4,700,000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4,700,000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4,900,000</w:t>
            </w: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5,000,000</w:t>
            </w:r>
          </w:p>
        </w:tc>
      </w:tr>
      <w:tr>
        <w:trPr>
          <w:trHeight w:val="216"/>
        </w:trPr>
        <w:tc>
          <w:tcPr>
            <w:tcW w:w="6220" w:type="dxa"/>
            <w:vAlign w:val="bottom"/>
          </w:tcPr>
          <w:p>
            <w:pPr>
              <w:ind w:left="160"/>
              <w:spacing w:after="0"/>
              <w:rPr>
                <w:sz w:val="20"/>
                <w:szCs w:val="20"/>
                <w:color w:val="auto"/>
              </w:rPr>
            </w:pPr>
            <w:r>
              <w:rPr>
                <w:rFonts w:ascii="Arial" w:cs="Arial" w:eastAsia="Arial" w:hAnsi="Arial"/>
                <w:sz w:val="18"/>
                <w:szCs w:val="18"/>
                <w:color w:val="auto"/>
              </w:rPr>
              <w:t>Expiration date</w:t>
            </w:r>
          </w:p>
        </w:tc>
        <w:tc>
          <w:tcPr>
            <w:tcW w:w="110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w w:val="85"/>
              </w:rPr>
              <w:t>June 30, 2022</w:t>
            </w:r>
          </w:p>
        </w:tc>
        <w:tc>
          <w:tcPr>
            <w:tcW w:w="1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w w:val="85"/>
              </w:rPr>
              <w:t>June 30, 2021</w:t>
            </w:r>
          </w:p>
        </w:tc>
        <w:tc>
          <w:tcPr>
            <w:tcW w:w="1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w w:val="87"/>
              </w:rPr>
              <w:t>June 30, 2020</w:t>
            </w:r>
          </w:p>
        </w:tc>
      </w:tr>
      <w:tr>
        <w:trPr>
          <w:trHeight w:val="216"/>
        </w:trPr>
        <w:tc>
          <w:tcPr>
            <w:tcW w:w="6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Commercial Lines (1):</w:t>
            </w: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General liability commercial policies</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220" w:type="dxa"/>
            <w:vAlign w:val="bottom"/>
          </w:tcPr>
          <w:p>
            <w:pPr>
              <w:ind w:left="160"/>
              <w:spacing w:after="0"/>
              <w:rPr>
                <w:sz w:val="20"/>
                <w:szCs w:val="20"/>
                <w:color w:val="auto"/>
              </w:rPr>
            </w:pPr>
            <w:r>
              <w:rPr>
                <w:rFonts w:ascii="Arial" w:cs="Arial" w:eastAsia="Arial" w:hAnsi="Arial"/>
                <w:sz w:val="18"/>
                <w:szCs w:val="18"/>
                <w:color w:val="auto"/>
              </w:rPr>
              <w:t>Quota share treaty</w:t>
            </w: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None</w:t>
            </w:r>
          </w:p>
        </w:tc>
      </w:tr>
      <w:tr>
        <w:trPr>
          <w:trHeight w:val="216"/>
        </w:trPr>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Risk retained</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750,000</w:t>
            </w:r>
          </w:p>
        </w:tc>
      </w:tr>
      <w:tr>
        <w:trPr>
          <w:trHeight w:val="216"/>
        </w:trPr>
        <w:tc>
          <w:tcPr>
            <w:tcW w:w="6220" w:type="dxa"/>
            <w:vAlign w:val="bottom"/>
          </w:tcPr>
          <w:p>
            <w:pPr>
              <w:ind w:left="160"/>
              <w:spacing w:after="0"/>
              <w:rPr>
                <w:sz w:val="20"/>
                <w:szCs w:val="20"/>
                <w:color w:val="auto"/>
              </w:rPr>
            </w:pPr>
            <w:r>
              <w:rPr>
                <w:rFonts w:ascii="Arial" w:cs="Arial" w:eastAsia="Arial" w:hAnsi="Arial"/>
                <w:sz w:val="18"/>
                <w:szCs w:val="18"/>
                <w:color w:val="auto"/>
              </w:rPr>
              <w:t>Excess of loss coverage above risk retained</w:t>
            </w: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3,750,000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3,750,000</w:t>
            </w:r>
          </w:p>
        </w:tc>
      </w:tr>
      <w:tr>
        <w:trPr>
          <w:trHeight w:val="216"/>
        </w:trPr>
        <w:tc>
          <w:tcPr>
            <w:tcW w:w="6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in excess of</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in excess of</w:t>
            </w:r>
          </w:p>
        </w:tc>
      </w:tr>
      <w:tr>
        <w:trPr>
          <w:trHeight w:val="216"/>
        </w:trPr>
        <w:tc>
          <w:tcPr>
            <w:tcW w:w="6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750,000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750,000</w:t>
            </w:r>
          </w:p>
        </w:tc>
      </w:tr>
      <w:tr>
        <w:trPr>
          <w:trHeight w:val="216"/>
        </w:trPr>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reinsurance coverage per occurrence</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3,750,000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3,750,000</w:t>
            </w:r>
          </w:p>
        </w:tc>
      </w:tr>
      <w:tr>
        <w:trPr>
          <w:trHeight w:val="216"/>
        </w:trPr>
        <w:tc>
          <w:tcPr>
            <w:tcW w:w="6220" w:type="dxa"/>
            <w:vAlign w:val="bottom"/>
          </w:tcPr>
          <w:p>
            <w:pPr>
              <w:ind w:left="160"/>
              <w:spacing w:after="0"/>
              <w:rPr>
                <w:sz w:val="20"/>
                <w:szCs w:val="20"/>
                <w:color w:val="auto"/>
              </w:rPr>
            </w:pPr>
            <w:r>
              <w:rPr>
                <w:rFonts w:ascii="Arial" w:cs="Arial" w:eastAsia="Arial" w:hAnsi="Arial"/>
                <w:sz w:val="18"/>
                <w:szCs w:val="18"/>
                <w:color w:val="auto"/>
              </w:rPr>
              <w:t>Losses per occurrence subject to reinsurance coverage</w:t>
            </w: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4,500,000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4,500,000</w:t>
            </w:r>
          </w:p>
        </w:tc>
      </w:tr>
      <w:tr>
        <w:trPr>
          <w:trHeight w:val="216"/>
        </w:trPr>
        <w:tc>
          <w:tcPr>
            <w:tcW w:w="6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Commercial Umbrella</w:t>
            </w: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Quota share treaty</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None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Coverage on all commercial lines policies expired in September 2020; reinsurance coverage is based on treaties in effect on the date of loss.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71"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07"/>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607"/>
        <w:spacing w:after="0" w:line="275" w:lineRule="auto"/>
        <w:rPr>
          <w:sz w:val="20"/>
          <w:szCs w:val="20"/>
          <w:color w:val="auto"/>
        </w:rPr>
      </w:pPr>
      <w:r>
        <w:rPr>
          <w:rFonts w:ascii="Arial" w:cs="Arial" w:eastAsia="Arial" w:hAnsi="Arial"/>
          <w:sz w:val="17"/>
          <w:szCs w:val="17"/>
          <w:color w:val="auto"/>
        </w:rPr>
        <w:t>The impacts of COVID-19 and related economic conditions on our results are highly uncertain and outside our control. The scope, duration and magnitude of the direct and indirect effects of COVID-19 are evolving rapidly and in ways that are difficult or impossible to anticipate. The impact of COVID-19 on our results for the period ended September 30, 2021 may not be indicative of its impact on our results for the remainder of 2021. For additional information on the risks posed by COVID-19, see “The impact of COVID-19 and related risks could materially affect our results of operations, financial position and/or liquidity” included in Part II, Item 1A— “Risk Factors” in this Quarterly Report.</w:t>
      </w:r>
    </w:p>
    <w:p>
      <w:pPr>
        <w:spacing w:after="0" w:line="176"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7"/>
          <w:szCs w:val="17"/>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As a result of COVID-19, economic conditions in the United States rapidly deteriorated. The decreased levels of economic activity have negatively impacted, and may continue to negatively impact, premium volumes generated by new business. We began to experience this impact in March 2020 and it became more significant in the second and third quarters of 2020. We also expect this impact will further persist but to a lesser extent for the remainder of 2021, but the degree of the impact will depend on the extent and duration of the economic contraction and could be material. We have also made underwriting changes to emphasize profitability over growth and have culled out the type of risks that do not generate an acceptable level of return. This action has led, and may continue to lead, to a slowdown in premium growth, particularly in new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Principal Financial Officer, as appropriate, to allow timely decisions regarding required disclosures. Based on this evaluation, our</w:t>
      </w:r>
    </w:p>
    <w:p>
      <w:pPr>
        <w:sectPr>
          <w:pgSz w:w="11900" w:h="16838" w:orient="portrait"/>
          <w:cols w:equalWidth="0" w:num="1">
            <w:col w:w="11240"/>
          </w:cols>
          <w:pgMar w:left="320" w:top="125" w:right="339" w:bottom="0" w:gutter="0" w:footer="0" w:header="0"/>
        </w:sectPr>
      </w:pPr>
    </w:p>
    <w:bookmarkStart w:id="48" w:name="page49"/>
    <w:bookmarkEnd w:id="48"/>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Chief Executive Officer and Principal Financial Officer have concluded that, as of September 30, 2021, our disclosure controls and procedures were: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Principal Financial Officer, as appropriate, to allow timely decisions regarding required disclosure.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by Exchange Act Rule 13a-15(b), as of the end of the period covered by this Quarterly Report, under the supervision and with the participation of our Chief Executive Officer and Principal Financial Officer, we evaluated the effectiveness of our disclosure controls and procedures. Based on this evaluation, our Chief Executive Officer and Principal Financial Officer concluded that our disclosure controls and procedures were effective as of September 30, 2021.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of the date of this report, there have been no misstatements identified. nd the g that were assessed as a material weakness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Effectiveness of Controls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Internal control over financial reporting is a process designed by, or under the supervision of, our Chief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6"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a discussion of the Company’s potential risks and uncertainties, see Part I, Item 1A— “Risk Factors” and Part II, Item 7— “Management’s Discussion and Analysis of Financial Condition and Results of Operations” in the Company’s 2020 Annual Report filed with the SEC, and Part I, Item 2 —“Management’s Discussion and Analysis of Financial Condition and Results of Operations” herein, in each case as updated by the Company's periodic filings with the SEC. There have been no material changes to the risk factors disclosed in Part I, Item 1A of the Company’s 2020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r>
        <w:rPr>
          <w:rFonts w:ascii="Arial" w:cs="Arial" w:eastAsia="Arial" w:hAnsi="Arial"/>
          <w:sz w:val="18"/>
          <w:szCs w:val="18"/>
          <w:color w:val="auto"/>
        </w:rPr>
        <w:t>.</w:t>
      </w:r>
    </w:p>
    <w:p>
      <w:pPr>
        <w:spacing w:after="0" w:line="229" w:lineRule="exact"/>
        <w:rPr>
          <w:sz w:val="20"/>
          <w:szCs w:val="20"/>
          <w:color w:val="auto"/>
        </w:rPr>
      </w:pPr>
    </w:p>
    <w:p>
      <w:pPr>
        <w:ind w:left="860" w:hanging="24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265"/>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860" w:hanging="245"/>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following table sets forth certain information with respect to purchases of common stock made by us during the quarter ended September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30,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Part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Price Paid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Plans or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r>
      <w:tr>
        <w:trPr>
          <w:trHeight w:val="234"/>
        </w:trPr>
        <w:tc>
          <w:tcPr>
            <w:tcW w:w="5940" w:type="dxa"/>
            <w:vAlign w:val="bottom"/>
          </w:tcPr>
          <w:p>
            <w:pPr>
              <w:ind w:left="272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Purchased(1)</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per 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Programs(2)</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Programs(2)</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7/1/21 – 7/31/21</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19,190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1,337,302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8/1/21 – 8/31/21</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36,699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36,699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1,298,617</w:t>
            </w:r>
          </w:p>
        </w:tc>
      </w:tr>
      <w:tr>
        <w:trPr>
          <w:trHeight w:val="130"/>
        </w:trPr>
        <w:tc>
          <w:tcPr>
            <w:tcW w:w="5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240"/>
          </w:cols>
          <w:pgMar w:left="320" w:top="125" w:right="33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9/1/21 – 9/30/21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32,440</w:t>
            </w:r>
          </w:p>
        </w:tc>
        <w:tc>
          <w:tcPr>
            <w:tcW w:w="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1,264,826</w:t>
            </w:r>
          </w:p>
        </w:tc>
      </w:tr>
      <w:tr>
        <w:trPr>
          <w:trHeight w:val="20"/>
        </w:trPr>
        <w:tc>
          <w:tcPr>
            <w:tcW w:w="60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88,329</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7.11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88,329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1,264,826</w:t>
            </w:r>
          </w:p>
        </w:tc>
      </w:tr>
      <w:tr>
        <w:trPr>
          <w:trHeight w:val="20"/>
        </w:trPr>
        <w:tc>
          <w:tcPr>
            <w:tcW w:w="6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Purchases were made by us in open market transactions.</w:t>
      </w:r>
    </w:p>
    <w:p>
      <w:pPr>
        <w:spacing w:after="0" w:line="23" w:lineRule="exact"/>
        <w:rPr>
          <w:rFonts w:ascii="Arial" w:cs="Arial" w:eastAsia="Arial" w:hAnsi="Arial"/>
          <w:sz w:val="18"/>
          <w:szCs w:val="18"/>
          <w:color w:val="auto"/>
        </w:rPr>
      </w:pPr>
    </w:p>
    <w:p>
      <w:pPr>
        <w:ind w:left="900" w:right="120" w:hanging="447"/>
        <w:spacing w:after="0" w:line="260"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 to $10,000,000 of common stock may be purchased pursuant to our repurchase plan announced on March 18, 2021; the maximum number of shares shown is based on the September 30, 2021 closing stock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u w:val="single" w:color="auto"/>
          <w:color w:val="auto"/>
        </w:rPr>
        <w:t>Mine Safety Disclosures</w:t>
      </w:r>
      <w:r>
        <w:rPr>
          <w:rFonts w:ascii="Arial" w:cs="Arial" w:eastAsia="Arial" w:hAnsi="Arial"/>
          <w:sz w:val="16"/>
          <w:szCs w:val="16"/>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rFonts w:ascii="Arial" w:cs="Arial" w:eastAsia="Arial" w:hAnsi="Arial"/>
                <w:sz w:val="18"/>
                <w:szCs w:val="18"/>
                <w:color w:val="0000EE"/>
                <w:w w:val="81"/>
              </w:rPr>
            </w:pPr>
            <w:hyperlink r:id="rId97">
              <w:r>
                <w:rPr>
                  <w:rFonts w:ascii="Arial" w:cs="Arial" w:eastAsia="Arial" w:hAnsi="Arial"/>
                  <w:sz w:val="18"/>
                  <w:szCs w:val="18"/>
                  <w:color w:val="0000EE"/>
                  <w:w w:val="81"/>
                </w:rPr>
                <w:t>3(a)</w:t>
              </w:r>
            </w:hyperlink>
          </w:p>
        </w:tc>
        <w:tc>
          <w:tcPr>
            <w:tcW w:w="10020" w:type="dxa"/>
            <w:vAlign w:val="bottom"/>
            <w:gridSpan w:val="6"/>
            <w:shd w:val="clear" w:color="auto" w:fill="CCEEFF"/>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Restated Certificate of Incorporation, as amended (incorporated by reference to Exhibit 3(a) to the Company’s Quarterly Report on Form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2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10-Q for the period ended March 31, 2014 filed on May 15, 2014).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2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ind w:right="220"/>
              <w:spacing w:after="0" w:line="176" w:lineRule="exact"/>
              <w:rPr>
                <w:rFonts w:ascii="Arial" w:cs="Arial" w:eastAsia="Arial" w:hAnsi="Arial"/>
                <w:sz w:val="18"/>
                <w:szCs w:val="18"/>
                <w:color w:val="0000EE"/>
              </w:rPr>
            </w:pPr>
            <w:hyperlink r:id="rId98">
              <w:r>
                <w:rPr>
                  <w:rFonts w:ascii="Arial" w:cs="Arial" w:eastAsia="Arial" w:hAnsi="Arial"/>
                  <w:sz w:val="18"/>
                  <w:szCs w:val="18"/>
                  <w:color w:val="0000EE"/>
                </w:rPr>
                <w:t>3(b)</w:t>
              </w:r>
            </w:hyperlink>
          </w:p>
        </w:tc>
        <w:tc>
          <w:tcPr>
            <w:tcW w:w="10020" w:type="dxa"/>
            <w:vAlign w:val="bottom"/>
            <w:gridSpan w:val="6"/>
            <w:shd w:val="clear" w:color="auto" w:fill="CCEEFF"/>
          </w:tcPr>
          <w:p>
            <w:pPr>
              <w:spacing w:after="0" w:line="176" w:lineRule="exact"/>
              <w:rPr>
                <w:rFonts w:ascii="Arial" w:cs="Arial" w:eastAsia="Arial" w:hAnsi="Arial"/>
                <w:sz w:val="18"/>
                <w:szCs w:val="18"/>
                <w:color w:val="0000EE"/>
                <w:w w:val="95"/>
              </w:rPr>
            </w:pPr>
            <w:hyperlink r:id="rId98">
              <w:r>
                <w:rPr>
                  <w:rFonts w:ascii="Arial" w:cs="Arial" w:eastAsia="Arial" w:hAnsi="Arial"/>
                  <w:sz w:val="18"/>
                  <w:szCs w:val="18"/>
                  <w:color w:val="0000EE"/>
                  <w:w w:val="95"/>
                </w:rPr>
                <w:t>By-laws, as amended (incorporated by reference to Exhibit 3.1 to the Company’s Current Report on Form 8-K filed on November 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2009).</w:t>
              </w:r>
            </w:hyperlink>
          </w:p>
        </w:tc>
        <w:tc>
          <w:tcPr>
            <w:tcW w:w="1400" w:type="dxa"/>
            <w:vAlign w:val="bottom"/>
            <w:tcBorders>
              <w:top w:val="single" w:sz="8" w:color="0000EE"/>
            </w:tcBorders>
            <w:shd w:val="clear" w:color="auto" w:fill="CCEEFF"/>
          </w:tcPr>
          <w:p>
            <w:pPr>
              <w:spacing w:after="0"/>
              <w:rPr>
                <w:sz w:val="18"/>
                <w:szCs w:val="18"/>
                <w:color w:val="auto"/>
              </w:rPr>
            </w:pPr>
          </w:p>
        </w:tc>
        <w:tc>
          <w:tcPr>
            <w:tcW w:w="50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220"/>
              <w:spacing w:after="0" w:line="176" w:lineRule="exact"/>
              <w:rPr>
                <w:rFonts w:ascii="Arial" w:cs="Arial" w:eastAsia="Arial" w:hAnsi="Arial"/>
                <w:sz w:val="18"/>
                <w:szCs w:val="18"/>
                <w:color w:val="0000EE"/>
                <w:w w:val="85"/>
              </w:rPr>
            </w:pPr>
            <w:hyperlink w:anchor="page52">
              <w:r>
                <w:rPr>
                  <w:rFonts w:ascii="Arial" w:cs="Arial" w:eastAsia="Arial" w:hAnsi="Arial"/>
                  <w:sz w:val="18"/>
                  <w:szCs w:val="18"/>
                  <w:color w:val="0000EE"/>
                  <w:w w:val="85"/>
                </w:rPr>
                <w:t>31(a)</w:t>
              </w:r>
            </w:hyperlink>
          </w:p>
        </w:tc>
        <w:tc>
          <w:tcPr>
            <w:tcW w:w="10020" w:type="dxa"/>
            <w:vAlign w:val="bottom"/>
            <w:gridSpan w:val="6"/>
            <w:shd w:val="clear" w:color="auto" w:fill="CCEEFF"/>
          </w:tcPr>
          <w:p>
            <w:pPr>
              <w:spacing w:after="0" w:line="17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Rule 13a-14(a)/15d-14(a) Certification of Chief Executive Officer as adopted pursuant to Section 302 of the Sarbanes-Oxley Act of 2002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50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ind w:right="220"/>
              <w:spacing w:after="0" w:line="176"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31(b)</w:t>
              </w:r>
            </w:hyperlink>
          </w:p>
        </w:tc>
        <w:tc>
          <w:tcPr>
            <w:tcW w:w="10020" w:type="dxa"/>
            <w:vAlign w:val="bottom"/>
            <w:gridSpan w:val="6"/>
            <w:shd w:val="clear" w:color="auto" w:fill="CCEEFF"/>
          </w:tcPr>
          <w:p>
            <w:pPr>
              <w:spacing w:after="0" w:line="176" w:lineRule="exact"/>
              <w:rPr>
                <w:rFonts w:ascii="Arial" w:cs="Arial" w:eastAsia="Arial" w:hAnsi="Arial"/>
                <w:sz w:val="18"/>
                <w:szCs w:val="18"/>
                <w:color w:val="0000EE"/>
                <w:w w:val="94"/>
              </w:rPr>
            </w:pPr>
            <w:hyperlink w:anchor="page53">
              <w:r>
                <w:rPr>
                  <w:rFonts w:ascii="Arial" w:cs="Arial" w:eastAsia="Arial" w:hAnsi="Arial"/>
                  <w:sz w:val="18"/>
                  <w:szCs w:val="18"/>
                  <w:color w:val="0000EE"/>
                  <w:w w:val="94"/>
                </w:rPr>
                <w:t>Rule 13a-14(a)/15d-14(a) Certification of Principal Financial Officer as adopted pursuant to Section 302 of the Sarbanes-Oxley Act of</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4"/>
              </w:rPr>
            </w:pPr>
            <w:hyperlink w:anchor="page53">
              <w:r>
                <w:rPr>
                  <w:rFonts w:ascii="Arial" w:cs="Arial" w:eastAsia="Arial" w:hAnsi="Arial"/>
                  <w:sz w:val="18"/>
                  <w:szCs w:val="18"/>
                  <w:color w:val="0000EE"/>
                  <w:w w:val="84"/>
                </w:rPr>
                <w:t>2002</w:t>
              </w:r>
            </w:hyperlink>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2960" w:type="dxa"/>
            <w:vAlign w:val="bottom"/>
            <w:tcBorders>
              <w:top w:val="single" w:sz="8" w:color="0000EE"/>
              <w:bottom w:val="single" w:sz="8" w:color="CCEEFF"/>
            </w:tcBorders>
            <w:shd w:val="clear" w:color="auto" w:fill="CCEEFF"/>
          </w:tcPr>
          <w:p>
            <w:pPr>
              <w:spacing w:after="0"/>
              <w:rPr>
                <w:sz w:val="18"/>
                <w:szCs w:val="18"/>
                <w:color w:val="auto"/>
              </w:rPr>
            </w:pPr>
          </w:p>
        </w:tc>
        <w:tc>
          <w:tcPr>
            <w:tcW w:w="1400" w:type="dxa"/>
            <w:vAlign w:val="bottom"/>
            <w:tcBorders>
              <w:top w:val="single" w:sz="8" w:color="0000EE"/>
              <w:bottom w:val="single" w:sz="8" w:color="CCEEFF"/>
            </w:tcBorders>
            <w:shd w:val="clear" w:color="auto" w:fill="CCEEFF"/>
          </w:tcPr>
          <w:p>
            <w:pPr>
              <w:spacing w:after="0"/>
              <w:rPr>
                <w:sz w:val="18"/>
                <w:szCs w:val="18"/>
                <w:color w:val="auto"/>
              </w:rPr>
            </w:pPr>
          </w:p>
        </w:tc>
        <w:tc>
          <w:tcPr>
            <w:tcW w:w="506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20" w:type="dxa"/>
            <w:vAlign w:val="bottom"/>
            <w:gridSpan w:val="5"/>
            <w:shd w:val="clear" w:color="auto" w:fill="CCEEFF"/>
          </w:tcPr>
          <w:p>
            <w:pPr>
              <w:jc w:val="right"/>
              <w:ind w:right="22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32+</w:t>
              </w:r>
            </w:hyperlink>
          </w:p>
        </w:tc>
        <w:tc>
          <w:tcPr>
            <w:tcW w:w="10020" w:type="dxa"/>
            <w:vAlign w:val="bottom"/>
            <w:gridSpan w:val="6"/>
            <w:shd w:val="clear" w:color="auto" w:fill="CCEEFF"/>
          </w:tcPr>
          <w:p>
            <w:pPr>
              <w:spacing w:after="0" w:line="17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Certification of Chief Executive Officer and Principal Financial Officer Pursuant to 18 U.S.C. Section 1350, as Adopted Pursuant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2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Section 906 of the Sarbanes-Oxley Act of 2002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101.INS</w:t>
            </w:r>
          </w:p>
        </w:tc>
        <w:tc>
          <w:tcPr>
            <w:tcW w:w="10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101.SCH</w:t>
            </w:r>
          </w:p>
        </w:tc>
        <w:tc>
          <w:tcPr>
            <w:tcW w:w="10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101.SCH XBRL Taxonomy Extension Schema.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101.CAL</w:t>
            </w:r>
          </w:p>
        </w:tc>
        <w:tc>
          <w:tcPr>
            <w:tcW w:w="10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101.CAL XBRL Taxonomy Extension Calculation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101.DEF</w:t>
            </w:r>
          </w:p>
        </w:tc>
        <w:tc>
          <w:tcPr>
            <w:tcW w:w="10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101.DEF XBRL Taxonomy Extension Definition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101.LAB</w:t>
            </w:r>
          </w:p>
        </w:tc>
        <w:tc>
          <w:tcPr>
            <w:tcW w:w="10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101.LAB XBRL Taxonomy Extension Label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101.PRE</w:t>
            </w:r>
          </w:p>
        </w:tc>
        <w:tc>
          <w:tcPr>
            <w:tcW w:w="10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101.PRE XBRL Taxonomy Extension Presentation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20" w:hanging="314"/>
        <w:spacing w:after="0" w:line="263"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6100" w:type="dxa"/>
            <w:vAlign w:val="bottom"/>
            <w:gridSpan w:val="2"/>
          </w:tcPr>
          <w:p>
            <w:pPr>
              <w:ind w:left="1840"/>
              <w:spacing w:after="0"/>
              <w:rPr>
                <w:sz w:val="20"/>
                <w:szCs w:val="20"/>
                <w:color w:val="auto"/>
              </w:rPr>
            </w:pPr>
            <w:r>
              <w:rPr>
                <w:rFonts w:ascii="Arial" w:cs="Arial" w:eastAsia="Arial" w:hAnsi="Arial"/>
                <w:sz w:val="18"/>
                <w:szCs w:val="18"/>
                <w:b w:val="1"/>
                <w:bCs w:val="1"/>
                <w:color w:val="auto"/>
              </w:rPr>
              <w:t>KINGSTONE COMPANIES, INC.</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November 15, 2021</w:t>
            </w:r>
          </w:p>
        </w:tc>
        <w:tc>
          <w:tcPr>
            <w:tcW w:w="6100" w:type="dxa"/>
            <w:vAlign w:val="bottom"/>
            <w:gridSpan w:val="2"/>
          </w:tcPr>
          <w:p>
            <w:pPr>
              <w:ind w:left="1840"/>
              <w:spacing w:after="0"/>
              <w:rPr>
                <w:sz w:val="20"/>
                <w:szCs w:val="20"/>
                <w:color w:val="auto"/>
              </w:rPr>
            </w:pPr>
            <w:r>
              <w:rPr>
                <w:rFonts w:ascii="Arial" w:cs="Arial" w:eastAsia="Arial" w:hAnsi="Arial"/>
                <w:sz w:val="18"/>
                <w:szCs w:val="18"/>
                <w:color w:val="auto"/>
              </w:rPr>
              <w:t>By: /s/ Barry B. Goldstein</w:t>
            </w:r>
          </w:p>
        </w:tc>
      </w:tr>
      <w:tr>
        <w:trPr>
          <w:trHeight w:val="195"/>
        </w:trPr>
        <w:tc>
          <w:tcPr>
            <w:tcW w:w="38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Barry B. Goldstein</w:t>
            </w:r>
          </w:p>
        </w:tc>
      </w:tr>
      <w:tr>
        <w:trPr>
          <w:trHeight w:val="230"/>
        </w:trPr>
        <w:tc>
          <w:tcPr>
            <w:tcW w:w="3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November 15, 2021</w:t>
            </w:r>
          </w:p>
        </w:tc>
        <w:tc>
          <w:tcPr>
            <w:tcW w:w="6100" w:type="dxa"/>
            <w:vAlign w:val="bottom"/>
            <w:gridSpan w:val="2"/>
          </w:tcPr>
          <w:p>
            <w:pPr>
              <w:ind w:left="1840"/>
              <w:spacing w:after="0"/>
              <w:rPr>
                <w:sz w:val="20"/>
                <w:szCs w:val="20"/>
                <w:color w:val="auto"/>
              </w:rPr>
            </w:pPr>
            <w:r>
              <w:rPr>
                <w:rFonts w:ascii="Arial" w:cs="Arial" w:eastAsia="Arial" w:hAnsi="Arial"/>
                <w:sz w:val="18"/>
                <w:szCs w:val="18"/>
                <w:color w:val="auto"/>
              </w:rPr>
              <w:t>By: /s/ Richard Swartz</w:t>
            </w:r>
          </w:p>
        </w:tc>
      </w:tr>
      <w:tr>
        <w:trPr>
          <w:trHeight w:val="195"/>
        </w:trPr>
        <w:tc>
          <w:tcPr>
            <w:tcW w:w="38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Swartz</w:t>
            </w:r>
          </w:p>
        </w:tc>
      </w:tr>
      <w:tr>
        <w:trPr>
          <w:trHeight w:val="230"/>
        </w:trPr>
        <w:tc>
          <w:tcPr>
            <w:tcW w:w="3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40" w:right="339" w:bottom="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Barry B. Goldstein, certify that:</w:t>
      </w:r>
    </w:p>
    <w:p>
      <w:pPr>
        <w:spacing w:after="0" w:line="22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4942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Barry B. Goldstein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Swartz, certify that:</w:t>
      </w:r>
    </w:p>
    <w:p>
      <w:pPr>
        <w:spacing w:after="0" w:line="22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Richard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4942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Richard Swartz</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September 30, 2021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Dated: November 15,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B. Goldstein</w:t>
            </w:r>
          </w:p>
        </w:tc>
      </w:tr>
      <w:tr>
        <w:trPr>
          <w:trHeight w:val="195"/>
        </w:trPr>
        <w:tc>
          <w:tcPr>
            <w:tcW w:w="564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Barry B. Goldstein</w:t>
            </w:r>
          </w:p>
        </w:tc>
      </w:tr>
      <w:tr>
        <w:trPr>
          <w:trHeight w:val="230"/>
        </w:trPr>
        <w:tc>
          <w:tcPr>
            <w:tcW w:w="5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64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Swartz</w:t>
            </w:r>
          </w:p>
        </w:tc>
      </w:tr>
      <w:tr>
        <w:trPr>
          <w:trHeight w:val="195"/>
        </w:trPr>
        <w:tc>
          <w:tcPr>
            <w:tcW w:w="564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Richard Swartz</w:t>
            </w:r>
          </w:p>
        </w:tc>
      </w:tr>
      <w:tr>
        <w:trPr>
          <w:trHeight w:val="230"/>
        </w:trPr>
        <w:tc>
          <w:tcPr>
            <w:tcW w:w="5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4"/>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upperLetter"/>
      <w:start w:val="1"/>
    </w:lvl>
  </w:abstractNum>
  <w:abstractNum w:abstractNumId="8">
    <w:nsid w:val="25E45D32"/>
    <w:multiLevelType w:val="hybridMultilevel"/>
    <w:lvl w:ilvl="0">
      <w:lvlJc w:val="left"/>
      <w:lvlText w:val="(%1)"/>
      <w:numFmt w:val="decimal"/>
      <w:start w:val="2"/>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4"/>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97" Type="http://schemas.openxmlformats.org/officeDocument/2006/relationships/hyperlink" Target="http://www.sec.gov/Archives/edgar/data/33992/000135448814002619/kins_ex3a.htm" TargetMode="External"/><Relationship Id="rId98" Type="http://schemas.openxmlformats.org/officeDocument/2006/relationships/hyperlink" Target="http://www.sec.gov/Archives/edgar/data/33992/000102177109000069/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2021-11-15T16:27:14Z</dcterms:created>
  <dcterms:modified xsi:type="dcterms:W3CDTF">2021-11-15T16:27:14Z</dcterms:modified>
</cp:coreProperties>
</file>