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80" w:right="1640" w:hanging="3872"/>
        <w:spacing w:after="0" w:line="49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40" w:right="1620" w:hanging="3532"/>
        <w:spacing w:after="0" w:line="500" w:lineRule="auto"/>
        <w:tabs>
          <w:tab w:leader="none" w:pos="4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24130</wp:posOffset>
            </wp:positionV>
            <wp:extent cx="3917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638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36-2476480</w:t>
            </w:r>
          </w:p>
        </w:tc>
      </w:tr>
      <w:tr>
        <w:trPr>
          <w:trHeight w:val="191"/>
        </w:trPr>
        <w:tc>
          <w:tcPr>
            <w:tcW w:w="43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center"/>
              <w:ind w:right="10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638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4000" w:type="dxa"/>
            <w:vAlign w:val="bottom"/>
          </w:tcPr>
          <w:p>
            <w:pPr>
              <w:spacing w:after="0"/>
              <w:rPr>
                <w:sz w:val="24"/>
                <w:szCs w:val="24"/>
                <w:color w:val="auto"/>
              </w:rPr>
            </w:pPr>
          </w:p>
        </w:tc>
        <w:tc>
          <w:tcPr>
            <w:tcW w:w="238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88"/>
              </w:rPr>
              <w:t>15 Joys Lane</w:t>
            </w:r>
          </w:p>
        </w:tc>
        <w:tc>
          <w:tcPr>
            <w:tcW w:w="3160" w:type="dxa"/>
            <w:vAlign w:val="bottom"/>
          </w:tcPr>
          <w:p>
            <w:pPr>
              <w:spacing w:after="0"/>
              <w:rPr>
                <w:sz w:val="24"/>
                <w:szCs w:val="24"/>
                <w:color w:val="auto"/>
              </w:rPr>
            </w:pPr>
          </w:p>
        </w:tc>
      </w:tr>
      <w:tr>
        <w:trPr>
          <w:trHeight w:val="194"/>
        </w:trPr>
        <w:tc>
          <w:tcPr>
            <w:tcW w:w="400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Kingston, NY 12401</w:t>
            </w:r>
          </w:p>
        </w:tc>
        <w:tc>
          <w:tcPr>
            <w:tcW w:w="8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37"/>
        </w:trPr>
        <w:tc>
          <w:tcPr>
            <w:tcW w:w="6380" w:type="dxa"/>
            <w:vAlign w:val="bottom"/>
            <w:gridSpan w:val="5"/>
          </w:tcPr>
          <w:p>
            <w:pPr>
              <w:jc w:val="center"/>
              <w:ind w:left="3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6"/>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August 13, 2021, there were 10,564,299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4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rPr>
              <w:t>KINGSTONE COMPANIES, INC.</w:t>
            </w:r>
          </w:p>
        </w:tc>
      </w:tr>
      <w:tr>
        <w:trPr>
          <w:trHeight w:val="234"/>
        </w:trPr>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rPr>
              <w:t>INDEX</w:t>
            </w:r>
          </w:p>
        </w:tc>
      </w:tr>
      <w:tr>
        <w:trPr>
          <w:trHeight w:val="432"/>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100" w:type="dxa"/>
            <w:vAlign w:val="bottom"/>
          </w:tcPr>
          <w:p>
            <w:pPr>
              <w:spacing w:after="0"/>
              <w:rPr>
                <w:sz w:val="24"/>
                <w:szCs w:val="24"/>
                <w:color w:val="auto"/>
              </w:rPr>
            </w:pPr>
          </w:p>
        </w:tc>
      </w:tr>
      <w:tr>
        <w:trPr>
          <w:trHeight w:val="385"/>
        </w:trPr>
        <w:tc>
          <w:tcPr>
            <w:tcW w:w="370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75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3700" w:type="dxa"/>
            <w:vAlign w:val="bottom"/>
            <w:gridSpan w:val="6"/>
            <w:shd w:val="clear" w:color="auto" w:fill="CCEEFF"/>
          </w:tcPr>
          <w:p>
            <w:pPr>
              <w:ind w:left="220"/>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Item 1 -  Financial Statements</w:t>
              </w:r>
            </w:hyperlink>
          </w:p>
        </w:tc>
        <w:tc>
          <w:tcPr>
            <w:tcW w:w="754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w:t>
            </w:r>
          </w:p>
        </w:tc>
      </w:tr>
      <w:tr>
        <w:trPr>
          <w:trHeight w:val="23"/>
        </w:trPr>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900" w:orient="portrait"/>
          <w:cols w:equalWidth="0" w:num="1">
            <w:col w:w="11240"/>
          </w:cols>
          <w:pgMar w:left="320" w:top="675" w:right="339" w:bottom="0" w:gutter="0" w:footer="0" w:header="0"/>
        </w:sectPr>
      </w:pPr>
    </w:p>
    <w:bookmarkStart w:id="1" w:name="page2"/>
    <w:bookmarkEnd w:id="1"/>
    <w:p>
      <w:pPr>
        <w:spacing w:after="0" w:line="26" w:lineRule="exact"/>
        <w:rPr>
          <w:sz w:val="20"/>
          <w:szCs w:val="20"/>
          <w:color w:val="auto"/>
        </w:rPr>
      </w:pPr>
    </w:p>
    <w:p>
      <w:pPr>
        <w:ind w:left="9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Balance Sheets at June 30, 2021 (Unaudited) and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900" w:right="160"/>
        <w:spacing w:after="0" w:line="250"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Operations and Comprehensive Income (Loss) for the three months and six months</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ended June 30, 2021 (Unaudited) and 2020 (Unaudited)</w:t>
        </w:r>
      </w:hyperlink>
    </w:p>
    <w:p>
      <w:pPr>
        <w:spacing w:after="0" w:line="1" w:lineRule="exact"/>
        <w:rPr>
          <w:sz w:val="20"/>
          <w:szCs w:val="20"/>
          <w:color w:val="auto"/>
        </w:rPr>
      </w:pPr>
    </w:p>
    <w:p>
      <w:pPr>
        <w:ind w:left="900" w:right="160"/>
        <w:spacing w:after="0" w:line="260"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Stockholders’ Equity for the three months and six months ended June 30, 2021</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(Unaudited) and 2020 (Unaudited)</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6-7</w:t>
      </w:r>
    </w:p>
    <w:p>
      <w:pPr>
        <w:spacing w:after="0" w:line="171" w:lineRule="exact"/>
        <w:rPr>
          <w:sz w:val="20"/>
          <w:szCs w:val="20"/>
          <w:color w:val="auto"/>
        </w:rPr>
      </w:pPr>
    </w:p>
    <w:p>
      <w:pPr>
        <w:sectPr>
          <w:pgSz w:w="11900" w:h="16864" w:orient="portrait"/>
          <w:cols w:equalWidth="0" w:num="2">
            <w:col w:w="10180" w:space="720"/>
            <w:col w:w="340"/>
          </w:cols>
          <w:pgMar w:left="320" w:top="125" w:right="339" w:bottom="0" w:gutter="0" w:footer="0" w:header="0"/>
        </w:sectPr>
      </w:pPr>
    </w:p>
    <w:tbl>
      <w:tblPr>
        <w:tblLayout w:type="fixed"/>
        <w:tblInd w:w="0" w:type="dxa"/>
        <w:tblCellMar>
          <w:top w:w="0" w:type="dxa"/>
          <w:left w:w="0" w:type="dxa"/>
          <w:bottom w:w="0" w:type="dxa"/>
          <w:right w:w="0" w:type="dxa"/>
        </w:tblCellMar>
      </w:tblPr>
      <w:tr>
        <w:trPr>
          <w:trHeight w:val="180"/>
        </w:trPr>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580" w:type="dxa"/>
            <w:vAlign w:val="bottom"/>
            <w:gridSpan w:val="13"/>
            <w:shd w:val="clear" w:color="auto" w:fill="CCEEFF"/>
          </w:tcPr>
          <w:p>
            <w:pPr>
              <w:spacing w:after="0" w:line="159"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for the six months ended June 30, 2021 (Unaudited) and 2020 (Unaudited)</w:t>
              </w:r>
            </w:hyperlink>
          </w:p>
        </w:tc>
        <w:tc>
          <w:tcPr>
            <w:tcW w:w="760" w:type="dxa"/>
            <w:vAlign w:val="bottom"/>
            <w:shd w:val="clear" w:color="auto" w:fill="CCEEFF"/>
          </w:tcPr>
          <w:p>
            <w:pPr>
              <w:jc w:val="right"/>
              <w:ind w:right="10"/>
              <w:spacing w:after="0" w:line="15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6"/>
        </w:trPr>
        <w:tc>
          <w:tcPr>
            <w:tcW w:w="2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12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4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26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  Management’s Discussion and Analysis of Financial Condition and Results of Operations</w:t>
              </w:r>
            </w:hyperlink>
          </w:p>
        </w:tc>
        <w:tc>
          <w:tcPr>
            <w:tcW w:w="7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60" w:type="dxa"/>
            <w:vAlign w:val="bottom"/>
            <w:gridSpan w:val="17"/>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3 -  Quantitative and Qualitative Disclosures About Market Risk</w:t>
              </w:r>
            </w:hyperlink>
          </w:p>
        </w:tc>
        <w:tc>
          <w:tcPr>
            <w:tcW w:w="7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260" w:type="dxa"/>
            <w:vAlign w:val="bottom"/>
            <w:gridSpan w:val="1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4 -  Controls and Procedures</w:t>
              </w:r>
            </w:hyperlink>
          </w:p>
        </w:tc>
        <w:tc>
          <w:tcPr>
            <w:tcW w:w="7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480" w:type="dxa"/>
            <w:vAlign w:val="bottom"/>
            <w:gridSpan w:val="18"/>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 OTHER INFORMATION</w:t>
              </w:r>
            </w:hyperlink>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
        </w:trPr>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Item 1 -</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8240" w:type="dxa"/>
            <w:vAlign w:val="bottom"/>
            <w:tcBorders>
              <w:bottom w:val="single" w:sz="8" w:color="CCEEFF"/>
            </w:tcBorders>
            <w:gridSpan w:val="9"/>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660" w:type="dxa"/>
            <w:vAlign w:val="bottom"/>
            <w:tcBorders>
              <w:bottom w:val="single" w:sz="8" w:color="0000EE"/>
            </w:tcBorders>
            <w:gridSpan w:val="3"/>
          </w:tcPr>
          <w:p>
            <w:pPr>
              <w:spacing w:after="0" w:line="15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Item  1A</w:t>
              </w:r>
            </w:hyperlink>
          </w:p>
        </w:tc>
        <w:tc>
          <w:tcPr>
            <w:tcW w:w="9600" w:type="dxa"/>
            <w:vAlign w:val="bottom"/>
            <w:gridSpan w:val="14"/>
            <w:vMerge w:val="restart"/>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82"/>
        </w:trPr>
        <w:tc>
          <w:tcPr>
            <w:tcW w:w="220" w:type="dxa"/>
            <w:vAlign w:val="bottom"/>
          </w:tcPr>
          <w:p>
            <w:pPr>
              <w:spacing w:after="0"/>
              <w:rPr>
                <w:sz w:val="7"/>
                <w:szCs w:val="7"/>
                <w:color w:val="auto"/>
              </w:rPr>
            </w:pPr>
          </w:p>
        </w:tc>
        <w:tc>
          <w:tcPr>
            <w:tcW w:w="60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9600" w:type="dxa"/>
            <w:vAlign w:val="bottom"/>
            <w:gridSpan w:val="14"/>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80" w:type="dxa"/>
            <w:vAlign w:val="bottom"/>
            <w:gridSpan w:val="2"/>
          </w:tcPr>
          <w:p>
            <w:pPr>
              <w:ind w:left="220"/>
              <w:spacing w:after="0" w:line="135" w:lineRule="exact"/>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w:t>
              </w:r>
            </w:hyperlink>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260" w:type="dxa"/>
            <w:vAlign w:val="bottom"/>
            <w:gridSpan w:val="1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2 -  Unregistered Sales of Equity Securities and Use of Proceeds</w:t>
              </w:r>
            </w:hyperlink>
          </w:p>
        </w:tc>
        <w:tc>
          <w:tcPr>
            <w:tcW w:w="7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10260" w:type="dxa"/>
            <w:vAlign w:val="bottom"/>
            <w:gridSpan w:val="17"/>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3 -  Defaults Upon Senior Securities</w:t>
              </w:r>
            </w:hyperlink>
          </w:p>
        </w:tc>
        <w:tc>
          <w:tcPr>
            <w:tcW w:w="7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10260" w:type="dxa"/>
            <w:vAlign w:val="bottom"/>
            <w:gridSpan w:val="1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4 -  Mine Safety Disclosures</w:t>
              </w:r>
            </w:hyperlink>
          </w:p>
        </w:tc>
        <w:tc>
          <w:tcPr>
            <w:tcW w:w="7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5"/>
        </w:trPr>
        <w:tc>
          <w:tcPr>
            <w:tcW w:w="220" w:type="dxa"/>
            <w:vAlign w:val="bottom"/>
            <w:tcBorders>
              <w:top w:val="single" w:sz="8" w:color="CCEEFF"/>
            </w:tcBorders>
          </w:tcPr>
          <w:p>
            <w:pPr>
              <w:spacing w:after="0"/>
              <w:rPr>
                <w:sz w:val="15"/>
                <w:szCs w:val="15"/>
                <w:color w:val="auto"/>
              </w:rPr>
            </w:pPr>
          </w:p>
        </w:tc>
        <w:tc>
          <w:tcPr>
            <w:tcW w:w="560" w:type="dxa"/>
            <w:vAlign w:val="bottom"/>
            <w:tcBorders>
              <w:top w:val="single" w:sz="8" w:color="0000EE"/>
            </w:tcBorders>
          </w:tcPr>
          <w:p>
            <w:pPr>
              <w:spacing w:after="0" w:line="17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Item 5 -</w:t>
              </w:r>
            </w:hyperlink>
          </w:p>
        </w:tc>
        <w:tc>
          <w:tcPr>
            <w:tcW w:w="120" w:type="dxa"/>
            <w:vAlign w:val="bottom"/>
            <w:tcBorders>
              <w:top w:val="single" w:sz="8" w:color="CCEEFF"/>
            </w:tcBorders>
            <w:gridSpan w:val="3"/>
          </w:tcPr>
          <w:p>
            <w:pPr>
              <w:spacing w:after="0"/>
              <w:rPr>
                <w:sz w:val="15"/>
                <w:szCs w:val="15"/>
                <w:color w:val="auto"/>
              </w:rPr>
            </w:pPr>
          </w:p>
        </w:tc>
        <w:tc>
          <w:tcPr>
            <w:tcW w:w="17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820" w:type="dxa"/>
            <w:vAlign w:val="bottom"/>
            <w:tcBorders>
              <w:top w:val="single" w:sz="8" w:color="CCEEFF"/>
            </w:tcBorders>
            <w:gridSpan w:val="8"/>
          </w:tcPr>
          <w:p>
            <w:pPr>
              <w:spacing w:after="0"/>
              <w:rPr>
                <w:sz w:val="15"/>
                <w:szCs w:val="15"/>
                <w:color w:val="auto"/>
              </w:rPr>
            </w:pPr>
          </w:p>
        </w:tc>
        <w:tc>
          <w:tcPr>
            <w:tcW w:w="76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Item 6 -</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8980" w:type="dxa"/>
            <w:vAlign w:val="bottom"/>
            <w:tcBorders>
              <w:bottom w:val="single" w:sz="8" w:color="CCEEFF"/>
            </w:tcBorders>
            <w:gridSpan w:val="1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6"/>
        </w:trPr>
        <w:tc>
          <w:tcPr>
            <w:tcW w:w="82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2"/>
              </w:rPr>
              <w:t>Signatures</w:t>
            </w:r>
          </w:p>
        </w:tc>
        <w:tc>
          <w:tcPr>
            <w:tcW w:w="8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This Quarterly Report contains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within the meaning of the Private Securities Litigation Reform Act of 1995. The events described 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under “Factors That May Affect Future Results and Financial Condition” on Form 10-K for the year ended December 31, 2020 and Part II, Item 1A of this Quarterly Report.</w:t>
      </w:r>
    </w:p>
    <w:p>
      <w:pPr>
        <w:spacing w:after="0" w:line="20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Fixed-maturity securities, held-to-maturity, at amortized cost (fair value of $10,458,317 at June 30, 2021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$8,194,824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9,822,799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7,368,815</w:t>
            </w:r>
          </w:p>
        </w:tc>
        <w:tc>
          <w:tcPr>
            <w:tcW w:w="0" w:type="dxa"/>
            <w:vAlign w:val="bottom"/>
          </w:tcPr>
          <w:p>
            <w:pPr>
              <w:spacing w:after="0"/>
              <w:rPr>
                <w:sz w:val="1"/>
                <w:szCs w:val="1"/>
                <w:color w:val="auto"/>
              </w:rPr>
            </w:pPr>
          </w:p>
        </w:tc>
      </w:tr>
      <w:tr>
        <w:trPr>
          <w:trHeight w:val="202"/>
        </w:trPr>
        <w:tc>
          <w:tcPr>
            <w:tcW w:w="8700" w:type="dxa"/>
            <w:vAlign w:val="bottom"/>
          </w:tcPr>
          <w:p>
            <w:pPr>
              <w:ind w:left="220"/>
              <w:spacing w:after="0" w:line="201" w:lineRule="exact"/>
              <w:rPr>
                <w:sz w:val="20"/>
                <w:szCs w:val="20"/>
                <w:color w:val="auto"/>
              </w:rPr>
            </w:pPr>
            <w:r>
              <w:rPr>
                <w:rFonts w:ascii="Arial" w:cs="Arial" w:eastAsia="Arial" w:hAnsi="Arial"/>
                <w:sz w:val="18"/>
                <w:szCs w:val="18"/>
                <w:color w:val="auto"/>
                <w:w w:val="95"/>
              </w:rPr>
              <w:t>Fixed-maturity securities, available-for-sale, at fair value (amortized cost of $128,897,850 at June 30, 2021 and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$145,045,584 at December 31, 2020)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137,916,652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157,549,272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Equity securities, at fair value (cost of $32,679,724 at June 30, 2021 and $32,571,166 at December 31, 2020)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36,317,931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6,983,057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3,518,626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191,040,439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202,850,026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43,059,747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19,463,742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10,719,732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11,819,639</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28,192,924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45,460,729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19,950,955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20,142,515</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8,619,114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8,083,123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10,617,258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9,262,493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312,700,169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317,582,267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4" w:orient="portrait"/>
          <w:cols w:equalWidth="0" w:num="1">
            <w:col w:w="11240"/>
          </w:cols>
          <w:pgMar w:left="320" w:top="125" w:right="339" w:bottom="0" w:gutter="0" w:footer="0" w:header="0"/>
          <w:type w:val="continuous"/>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85,025,038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82,801,228</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88,072,566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90,009,272</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5,242,684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2,660,354</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2,026,000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6,979,735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93,519</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8,535,418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8,433,233</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4,013,528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4,156,913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29,735,701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29,647,611</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222,735,523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224,781,865</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Preferred stock, $.01 par value; authorized 2,500,000 shares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Common stock, $.01 par value; authorized 20,000,000 shares; issued 11,944,220 shares at June 30, 2021 and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11,871,307 shares at December 31, 2020; outstanding 10,561,143 shares at June 30, 2021 and 10,616,815 shares at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119,442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118,713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Capital in excess of par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71,567,797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70,769,165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7,127,003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9,880,062</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16,086,337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15,928,345</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94,900,579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96,696,285</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Treasury stock, at cost, 1,383,077 shares at June 30, 2021 and 1,254,492 shares at December 31, 2020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(4,935,933)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(3,895,883)</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89,964,646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92,800,402</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312,700,169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317,582,267</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Consdensed Consolidated Statements of Operations 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3"/>
              </w:rPr>
              <w:t>For the Six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35,436,426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26,636,856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70,025,644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53,578,306</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45,741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3,480,214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44,676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7,311,313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1,678,075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1,612,006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3,461,271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3,277,850</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Net gains (losses) on investments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2,315,261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2,697,868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5,275,668</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(3,746,550)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124,946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262,388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296,392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522,018</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39,600,449</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34,689,332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79,103,651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60,942,937</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20,759,210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12,813,631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43,319,882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29,199,452</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8,285,341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7,760,540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16,509,180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15,616,467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6,692,920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6,325,472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13,159,962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13,087,264</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933,272</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1,089,135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2,285,578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2,326,030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837,654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673,160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1,659,994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1,360,254</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913,090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913,090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37,964,942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29,118,483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77,847,686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62,502,557</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1,635,507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5,570,849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1,255,965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(1,559,620)</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312,146</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962,659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243,701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(723,607)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1,323,361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4,608,190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1,012,264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(836,013)</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w w:val="99"/>
              </w:rPr>
              <w:t>Gross change in unrealized gains (losses) on available-for-sale-securities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1,074,164</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10,887,611</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(2,749,115)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4,160,122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w w:val="98"/>
              </w:rPr>
              <w:t>Reclassification adjustment for (gains) losses included in net income (loss)</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(341,474)</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148,495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(735,771)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46,273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gains (losses)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732,690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11,036,106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(3,484,886)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4,206,395</w:t>
            </w:r>
          </w:p>
        </w:tc>
        <w:tc>
          <w:tcPr>
            <w:tcW w:w="0" w:type="dxa"/>
            <w:vAlign w:val="bottom"/>
          </w:tcPr>
          <w:p>
            <w:pPr>
              <w:spacing w:after="0"/>
              <w:rPr>
                <w:sz w:val="1"/>
                <w:szCs w:val="1"/>
                <w:color w:val="auto"/>
              </w:rPr>
            </w:pPr>
          </w:p>
        </w:tc>
      </w:tr>
      <w:tr>
        <w:trPr>
          <w:trHeight w:val="202"/>
        </w:trPr>
        <w:tc>
          <w:tcPr>
            <w:tcW w:w="6060" w:type="dxa"/>
            <w:vAlign w:val="bottom"/>
          </w:tcPr>
          <w:p>
            <w:pPr>
              <w:ind w:left="220"/>
              <w:spacing w:after="0" w:line="201" w:lineRule="exact"/>
              <w:rPr>
                <w:sz w:val="20"/>
                <w:szCs w:val="20"/>
                <w:color w:val="auto"/>
              </w:rPr>
            </w:pPr>
            <w:r>
              <w:rPr>
                <w:rFonts w:ascii="Arial" w:cs="Arial" w:eastAsia="Arial" w:hAnsi="Arial"/>
                <w:sz w:val="18"/>
                <w:szCs w:val="18"/>
                <w:color w:val="auto"/>
                <w:w w:val="94"/>
              </w:rPr>
              <w:t>Income tax benefit (expense) related to items of other comprehensive income</w:t>
            </w:r>
          </w:p>
        </w:tc>
        <w:tc>
          <w:tcPr>
            <w:tcW w:w="8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(153,865)</w:t>
            </w:r>
          </w:p>
        </w:tc>
        <w:tc>
          <w:tcPr>
            <w:tcW w:w="26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(2,317,582)</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731,827</w:t>
            </w:r>
          </w:p>
        </w:tc>
        <w:tc>
          <w:tcPr>
            <w:tcW w:w="260" w:type="dxa"/>
            <w:vAlign w:val="bottom"/>
          </w:tcPr>
          <w:p>
            <w:pPr>
              <w:spacing w:after="0"/>
              <w:rPr>
                <w:sz w:val="17"/>
                <w:szCs w:val="17"/>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(883,342)</w:t>
            </w:r>
          </w:p>
        </w:tc>
        <w:tc>
          <w:tcPr>
            <w:tcW w:w="0" w:type="dxa"/>
            <w:vAlign w:val="bottom"/>
          </w:tcPr>
          <w:p>
            <w:pPr>
              <w:spacing w:after="0"/>
              <w:rPr>
                <w:sz w:val="1"/>
                <w:szCs w:val="1"/>
                <w:color w:val="auto"/>
              </w:rPr>
            </w:pPr>
          </w:p>
        </w:tc>
      </w:tr>
      <w:tr>
        <w:trPr>
          <w:trHeight w:val="217"/>
        </w:trPr>
        <w:tc>
          <w:tcPr>
            <w:tcW w:w="6060" w:type="dxa"/>
            <w:vAlign w:val="bottom"/>
          </w:tcPr>
          <w:p>
            <w:pPr>
              <w:ind w:left="22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comprehensive income (loss), net of tax</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578,825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8,718,524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(2,753,059)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3,323,053</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1,902,186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13,326,714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(1,740,795)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2,487,040</w:t>
            </w:r>
          </w:p>
        </w:tc>
        <w:tc>
          <w:tcPr>
            <w:tcW w:w="0" w:type="dxa"/>
            <w:vAlign w:val="bottom"/>
          </w:tcPr>
          <w:p>
            <w:pPr>
              <w:spacing w:after="0"/>
              <w:rPr>
                <w:sz w:val="1"/>
                <w:szCs w:val="1"/>
                <w:color w:val="auto"/>
              </w:rPr>
            </w:pPr>
          </w:p>
        </w:tc>
      </w:tr>
      <w:tr>
        <w:trPr>
          <w:trHeight w:val="226"/>
        </w:trPr>
        <w:tc>
          <w:tcPr>
            <w:tcW w:w="606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7"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(0.08)</w:t>
            </w:r>
          </w:p>
        </w:tc>
      </w:tr>
      <w:tr>
        <w:trPr>
          <w:trHeight w:val="196"/>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10,670,831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10,733,354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10,673,550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10,770,598</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9"/>
              </w:rPr>
              <w:t>10,846,724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10,734,784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10,809,924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10,770,598</w:t>
            </w:r>
          </w:p>
        </w:tc>
      </w:tr>
      <w:tr>
        <w:trPr>
          <w:trHeight w:val="197"/>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0.1025</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87"/>
              </w:rPr>
              <w:t>Preferred Stock</w:t>
            </w:r>
          </w:p>
        </w:tc>
        <w:tc>
          <w:tcPr>
            <w:tcW w:w="220" w:type="dxa"/>
            <w:vAlign w:val="bottom"/>
          </w:tcPr>
          <w:p>
            <w:pPr>
              <w:spacing w:after="0"/>
              <w:rPr>
                <w:sz w:val="19"/>
                <w:szCs w:val="19"/>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136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Comprehensive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Retained</w:t>
            </w:r>
          </w:p>
        </w:tc>
        <w:tc>
          <w:tcPr>
            <w:tcW w:w="200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Amount</w:t>
            </w:r>
          </w:p>
        </w:tc>
        <w:tc>
          <w:tcPr>
            <w:tcW w:w="22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 Par</w:t>
            </w:r>
          </w:p>
        </w:tc>
        <w:tc>
          <w:tcPr>
            <w:tcW w:w="6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Earnings</w:t>
            </w:r>
          </w:p>
        </w:tc>
        <w:tc>
          <w:tcPr>
            <w:tcW w:w="9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April</w:t>
            </w: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1, 2020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11,851,266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$ 118,512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$ 69,533,150</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(626,601)</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1"/>
              </w:rPr>
              <w:t>$ 10,792,934</w:t>
            </w: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1,069,873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 (2,955,276)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76,862,719</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454,937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454,937</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22,030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deducted from</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restricted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awards for</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payment of</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w w:val="99"/>
              </w:rPr>
              <w:t>withholding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20"/>
              <w:spacing w:after="0"/>
              <w:rPr>
                <w:sz w:val="20"/>
                <w:szCs w:val="20"/>
                <w:color w:val="auto"/>
              </w:rPr>
            </w:pPr>
            <w:r>
              <w:rPr>
                <w:rFonts w:ascii="Arial" w:cs="Arial" w:eastAsia="Arial" w:hAnsi="Arial"/>
                <w:sz w:val="18"/>
                <w:szCs w:val="18"/>
                <w:color w:val="auto"/>
              </w:rPr>
              <w:t>taxes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(7,042)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(36,318)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(36,388)</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treasury stock</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126,236</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(559,064)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(559,064)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Dividends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(427,440)</w:t>
            </w:r>
          </w:p>
        </w:tc>
        <w:tc>
          <w:tcPr>
            <w:tcW w:w="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(427,440)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4,608,190</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4,608,190</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unrealized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gains 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available-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8,718,524</w:t>
            </w:r>
          </w:p>
        </w:tc>
        <w:tc>
          <w:tcPr>
            <w:tcW w:w="114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8,718,524</w:t>
            </w:r>
          </w:p>
        </w:tc>
        <w:tc>
          <w:tcPr>
            <w:tcW w:w="0" w:type="dxa"/>
            <w:vAlign w:val="bottom"/>
          </w:tcPr>
          <w:p>
            <w:pPr>
              <w:spacing w:after="0"/>
              <w:rPr>
                <w:sz w:val="1"/>
                <w:szCs w:val="1"/>
                <w:color w:val="auto"/>
              </w:rPr>
            </w:pPr>
          </w:p>
        </w:tc>
      </w:tr>
      <w:tr>
        <w:trPr>
          <w:trHeight w:val="217"/>
        </w:trPr>
        <w:tc>
          <w:tcPr>
            <w:tcW w:w="114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5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1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June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6"/>
                <w:szCs w:val="16"/>
                <w:color w:val="auto"/>
              </w:rPr>
            </w:pPr>
          </w:p>
        </w:tc>
        <w:tc>
          <w:tcPr>
            <w:tcW w:w="6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11,866,254</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118,662</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69,951,549</w:t>
            </w: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8,091,923</w:t>
            </w:r>
          </w:p>
        </w:tc>
        <w:tc>
          <w:tcPr>
            <w:tcW w:w="11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14,973,684</w:t>
            </w:r>
          </w:p>
        </w:tc>
        <w:tc>
          <w:tcPr>
            <w:tcW w:w="2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1,196,109</w:t>
            </w:r>
          </w:p>
        </w:tc>
        <w:tc>
          <w:tcPr>
            <w:tcW w:w="11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(3,514,340)</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89,621,478</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30, 2020</w:t>
            </w:r>
          </w:p>
        </w:tc>
        <w:tc>
          <w:tcPr>
            <w:tcW w:w="56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tcBorders>
              <w:left w:val="single" w:sz="8" w:color="CCEEFF"/>
            </w:tcBorders>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140" w:type="dxa"/>
            <w:vAlign w:val="bottom"/>
            <w:gridSpan w:val="4"/>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1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87"/>
              </w:rPr>
              <w:t>Preferred Stock</w:t>
            </w:r>
          </w:p>
        </w:tc>
        <w:tc>
          <w:tcPr>
            <w:tcW w:w="220" w:type="dxa"/>
            <w:vAlign w:val="bottom"/>
          </w:tcPr>
          <w:p>
            <w:pPr>
              <w:spacing w:after="0"/>
              <w:rPr>
                <w:sz w:val="19"/>
                <w:szCs w:val="19"/>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136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Comprehensive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Retained</w:t>
            </w:r>
          </w:p>
        </w:tc>
        <w:tc>
          <w:tcPr>
            <w:tcW w:w="200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Amount</w:t>
            </w:r>
          </w:p>
        </w:tc>
        <w:tc>
          <w:tcPr>
            <w:tcW w:w="22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 Par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April</w:t>
            </w: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1, 2021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11,935,321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$ 119,353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$ 71,116,917</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6,548,178</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$ 15,190,031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1,262,527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 (3,961,798)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$ 89,012,681</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486,069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486,069</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13,201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deducted from</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restricted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awards for</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payment of</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w w:val="99"/>
              </w:rPr>
              <w:t>withholding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20"/>
              <w:spacing w:after="0"/>
              <w:rPr>
                <w:sz w:val="20"/>
                <w:szCs w:val="20"/>
                <w:color w:val="auto"/>
              </w:rPr>
            </w:pPr>
            <w:r>
              <w:rPr>
                <w:rFonts w:ascii="Arial" w:cs="Arial" w:eastAsia="Arial" w:hAnsi="Arial"/>
                <w:sz w:val="18"/>
                <w:szCs w:val="18"/>
                <w:color w:val="auto"/>
              </w:rPr>
              <w:t>taxes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(4,302)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(35,057)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63"/>
        </w:trPr>
        <w:tc>
          <w:tcPr>
            <w:tcW w:w="1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92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120,550</w:t>
            </w: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(974,135)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(974,135)</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treasury stock</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Dividends</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(427,055)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(427,055)</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1,323,361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1,323,361</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unrealized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gains 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available-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560" w:type="dxa"/>
            <w:vAlign w:val="bottom"/>
            <w:vMerge w:val="restart"/>
          </w:tcPr>
          <w:p>
            <w:pPr>
              <w:ind w:left="500"/>
              <w:spacing w:after="0"/>
              <w:rPr>
                <w:sz w:val="20"/>
                <w:szCs w:val="20"/>
                <w:color w:val="auto"/>
              </w:rPr>
            </w:pPr>
            <w:r>
              <w:rPr>
                <w:rFonts w:ascii="Arial" w:cs="Arial" w:eastAsia="Arial" w:hAnsi="Arial"/>
                <w:sz w:val="16"/>
                <w:szCs w:val="16"/>
                <w:color w:val="auto"/>
                <w:w w:val="74"/>
              </w:rPr>
              <w:t>-</w:t>
            </w:r>
          </w:p>
        </w:tc>
        <w:tc>
          <w:tcPr>
            <w:tcW w:w="16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578,825</w:t>
            </w: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578,825</w:t>
            </w:r>
          </w:p>
        </w:tc>
        <w:tc>
          <w:tcPr>
            <w:tcW w:w="0" w:type="dxa"/>
            <w:vAlign w:val="bottom"/>
          </w:tcPr>
          <w:p>
            <w:pPr>
              <w:spacing w:after="0"/>
              <w:rPr>
                <w:sz w:val="1"/>
                <w:szCs w:val="1"/>
                <w:color w:val="auto"/>
              </w:rPr>
            </w:pPr>
          </w:p>
        </w:tc>
      </w:tr>
      <w:tr>
        <w:trPr>
          <w:trHeight w:val="217"/>
        </w:trPr>
        <w:tc>
          <w:tcPr>
            <w:tcW w:w="114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5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June</w:t>
            </w:r>
          </w:p>
        </w:tc>
        <w:tc>
          <w:tcPr>
            <w:tcW w:w="1060" w:type="dxa"/>
            <w:vAlign w:val="bottom"/>
            <w:gridSpan w:val="3"/>
            <w:vMerge w:val="restart"/>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11,944,220</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119,442</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71,567,797</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7,127,003</w:t>
            </w:r>
          </w:p>
        </w:tc>
        <w:tc>
          <w:tcPr>
            <w:tcW w:w="11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16,086,337</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1,383,077</w:t>
            </w:r>
          </w:p>
        </w:tc>
        <w:tc>
          <w:tcPr>
            <w:tcW w:w="116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(4,935,933)</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89,964,646</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30, 2021</w:t>
            </w:r>
          </w:p>
        </w:tc>
        <w:tc>
          <w:tcPr>
            <w:tcW w:w="1060" w:type="dxa"/>
            <w:vAlign w:val="bottom"/>
            <w:gridSpan w:val="3"/>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160" w:type="dxa"/>
            <w:vAlign w:val="bottom"/>
            <w:tcBorders>
              <w:right w:val="single" w:sz="8" w:color="CCEEFF"/>
            </w:tcBorders>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87"/>
              </w:rPr>
              <w:t>Preferred Stock</w:t>
            </w:r>
          </w:p>
        </w:tc>
        <w:tc>
          <w:tcPr>
            <w:tcW w:w="220" w:type="dxa"/>
            <w:vAlign w:val="bottom"/>
          </w:tcPr>
          <w:p>
            <w:pPr>
              <w:spacing w:after="0"/>
              <w:rPr>
                <w:sz w:val="19"/>
                <w:szCs w:val="19"/>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132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Comprehensive</w:t>
            </w:r>
          </w:p>
        </w:tc>
        <w:tc>
          <w:tcPr>
            <w:tcW w:w="100" w:type="dxa"/>
            <w:vAlign w:val="bottom"/>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Retained</w:t>
            </w:r>
          </w:p>
        </w:tc>
        <w:tc>
          <w:tcPr>
            <w:tcW w:w="200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Amount</w:t>
            </w:r>
          </w:p>
        </w:tc>
        <w:tc>
          <w:tcPr>
            <w:tcW w:w="22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 Par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Earnings</w:t>
            </w:r>
          </w:p>
        </w:tc>
        <w:tc>
          <w:tcPr>
            <w:tcW w:w="9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11,824,889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$ 118,248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$ 69,133,918</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4,768,870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$ 16,913,097</w:t>
            </w:r>
          </w:p>
        </w:tc>
        <w:tc>
          <w:tcPr>
            <w:tcW w:w="18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1,027,439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 (2,712,552)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88,221,581</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942,387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942,387</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60,896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deducted from</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restricted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awards for</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payment of</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w w:val="99"/>
              </w:rPr>
              <w:t>withholding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20"/>
              <w:spacing w:after="0"/>
              <w:rPr>
                <w:sz w:val="20"/>
                <w:szCs w:val="20"/>
                <w:color w:val="auto"/>
              </w:rPr>
            </w:pPr>
            <w:r>
              <w:rPr>
                <w:rFonts w:ascii="Arial" w:cs="Arial" w:eastAsia="Arial" w:hAnsi="Arial"/>
                <w:sz w:val="18"/>
                <w:szCs w:val="18"/>
                <w:color w:val="auto"/>
              </w:rPr>
              <w:t>taxes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(19,531)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(124,149)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(124,342)</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treasury stock</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168,670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(801,788)</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(801,788)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Dividends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40"/>
              <w:spacing w:after="0"/>
              <w:rPr>
                <w:sz w:val="20"/>
                <w:szCs w:val="20"/>
                <w:color w:val="auto"/>
              </w:rPr>
            </w:pPr>
            <w:r>
              <w:rPr>
                <w:rFonts w:ascii="Arial" w:cs="Arial" w:eastAsia="Arial" w:hAnsi="Arial"/>
                <w:sz w:val="18"/>
                <w:szCs w:val="18"/>
                <w:color w:val="auto"/>
              </w:rPr>
              <w:t>(1,103,400)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(1,103,400)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(836,013)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(836,013)</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unrealized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gains 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available-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3,323,053</w:t>
            </w: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3,323,053</w:t>
            </w:r>
          </w:p>
        </w:tc>
        <w:tc>
          <w:tcPr>
            <w:tcW w:w="0" w:type="dxa"/>
            <w:vAlign w:val="bottom"/>
          </w:tcPr>
          <w:p>
            <w:pPr>
              <w:spacing w:after="0"/>
              <w:rPr>
                <w:sz w:val="1"/>
                <w:szCs w:val="1"/>
                <w:color w:val="auto"/>
              </w:rPr>
            </w:pPr>
          </w:p>
        </w:tc>
      </w:tr>
      <w:tr>
        <w:trPr>
          <w:trHeight w:val="217"/>
        </w:trPr>
        <w:tc>
          <w:tcPr>
            <w:tcW w:w="114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5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June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6"/>
                <w:szCs w:val="16"/>
                <w:color w:val="auto"/>
              </w:rPr>
            </w:pPr>
          </w:p>
        </w:tc>
        <w:tc>
          <w:tcPr>
            <w:tcW w:w="6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11,866,254</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118,662</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69,951,549</w:t>
            </w: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8,091,923</w:t>
            </w:r>
          </w:p>
        </w:tc>
        <w:tc>
          <w:tcPr>
            <w:tcW w:w="10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14,973,684</w:t>
            </w:r>
          </w:p>
        </w:tc>
        <w:tc>
          <w:tcPr>
            <w:tcW w:w="180" w:type="dxa"/>
            <w:vAlign w:val="bottom"/>
            <w:tcBorders>
              <w:right w:val="single" w:sz="8" w:color="CCEEFF"/>
            </w:tcBorders>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1,196,109</w:t>
            </w:r>
          </w:p>
        </w:tc>
        <w:tc>
          <w:tcPr>
            <w:tcW w:w="11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(3,514,340)</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89,621,478</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30, 2020</w:t>
            </w:r>
          </w:p>
        </w:tc>
        <w:tc>
          <w:tcPr>
            <w:tcW w:w="56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tcBorders>
              <w:left w:val="single" w:sz="8" w:color="CCEEFF"/>
            </w:tcBorders>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1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87"/>
              </w:rPr>
              <w:t>Preferred Stock</w:t>
            </w:r>
          </w:p>
        </w:tc>
        <w:tc>
          <w:tcPr>
            <w:tcW w:w="220" w:type="dxa"/>
            <w:vAlign w:val="bottom"/>
          </w:tcPr>
          <w:p>
            <w:pPr>
              <w:spacing w:after="0"/>
              <w:rPr>
                <w:sz w:val="19"/>
                <w:szCs w:val="19"/>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132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Comprehensive</w:t>
            </w:r>
          </w:p>
        </w:tc>
        <w:tc>
          <w:tcPr>
            <w:tcW w:w="100" w:type="dxa"/>
            <w:vAlign w:val="bottom"/>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Retained</w:t>
            </w:r>
          </w:p>
        </w:tc>
        <w:tc>
          <w:tcPr>
            <w:tcW w:w="200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Amount</w:t>
            </w:r>
          </w:p>
        </w:tc>
        <w:tc>
          <w:tcPr>
            <w:tcW w:w="22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 Par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Earnings</w:t>
            </w:r>
          </w:p>
        </w:tc>
        <w:tc>
          <w:tcPr>
            <w:tcW w:w="9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11,871,307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$ 118,713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$ 70,769,165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9,880,062</w:t>
            </w:r>
          </w:p>
        </w:tc>
        <w:tc>
          <w:tcPr>
            <w:tcW w:w="12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5"/>
              </w:rPr>
              <w:t>$ 15,928,345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1,254,492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 (3,895,883)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$ 92,800,402</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981,067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981,067</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99,123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7"/>
              </w:rPr>
              <w:t>deducted from</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4" w:right="3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restricted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awards for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payment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w w:val="99"/>
              </w:rPr>
              <w:t>withholding</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20"/>
              <w:spacing w:after="0"/>
              <w:rPr>
                <w:sz w:val="20"/>
                <w:szCs w:val="20"/>
                <w:color w:val="auto"/>
              </w:rPr>
            </w:pPr>
            <w:r>
              <w:rPr>
                <w:rFonts w:ascii="Arial" w:cs="Arial" w:eastAsia="Arial" w:hAnsi="Arial"/>
                <w:sz w:val="18"/>
                <w:szCs w:val="18"/>
                <w:color w:val="auto"/>
              </w:rPr>
              <w:t>taxes</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(26,210)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(181,444)</w:t>
            </w:r>
          </w:p>
        </w:tc>
        <w:tc>
          <w:tcPr>
            <w:tcW w:w="2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(181,706)</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treasury stock</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128,585</w:t>
            </w: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(1,040,050)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(1,040,050)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Dividends</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(854,272)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(854,272)</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1,012,264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1,012,264</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unrealized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losses 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available-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560" w:type="dxa"/>
            <w:vAlign w:val="bottom"/>
            <w:vMerge w:val="restart"/>
          </w:tcPr>
          <w:p>
            <w:pPr>
              <w:ind w:left="500"/>
              <w:spacing w:after="0"/>
              <w:rPr>
                <w:sz w:val="20"/>
                <w:szCs w:val="20"/>
                <w:color w:val="auto"/>
              </w:rPr>
            </w:pPr>
            <w:r>
              <w:rPr>
                <w:rFonts w:ascii="Arial" w:cs="Arial" w:eastAsia="Arial" w:hAnsi="Arial"/>
                <w:sz w:val="16"/>
                <w:szCs w:val="16"/>
                <w:color w:val="auto"/>
                <w:w w:val="74"/>
              </w:rPr>
              <w:t>-</w:t>
            </w:r>
          </w:p>
        </w:tc>
        <w:tc>
          <w:tcPr>
            <w:tcW w:w="16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(2,753,059)</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(2,753,059)</w:t>
            </w:r>
          </w:p>
        </w:tc>
        <w:tc>
          <w:tcPr>
            <w:tcW w:w="0" w:type="dxa"/>
            <w:vAlign w:val="bottom"/>
          </w:tcPr>
          <w:p>
            <w:pPr>
              <w:spacing w:after="0"/>
              <w:rPr>
                <w:sz w:val="1"/>
                <w:szCs w:val="1"/>
                <w:color w:val="auto"/>
              </w:rPr>
            </w:pPr>
          </w:p>
        </w:tc>
      </w:tr>
      <w:tr>
        <w:trPr>
          <w:trHeight w:val="217"/>
        </w:trPr>
        <w:tc>
          <w:tcPr>
            <w:tcW w:w="114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5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June</w:t>
            </w:r>
          </w:p>
        </w:tc>
        <w:tc>
          <w:tcPr>
            <w:tcW w:w="1060" w:type="dxa"/>
            <w:vAlign w:val="bottom"/>
            <w:gridSpan w:val="3"/>
            <w:vMerge w:val="restart"/>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11,944,220</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119,442</w:t>
            </w:r>
          </w:p>
        </w:tc>
        <w:tc>
          <w:tcPr>
            <w:tcW w:w="11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71,567,797</w:t>
            </w:r>
          </w:p>
        </w:tc>
        <w:tc>
          <w:tcPr>
            <w:tcW w:w="24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7,127,003</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16,086,337</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1,383,077</w:t>
            </w:r>
          </w:p>
        </w:tc>
        <w:tc>
          <w:tcPr>
            <w:tcW w:w="116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(4,935,933)</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89,964,646</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30, 2021</w:t>
            </w:r>
          </w:p>
        </w:tc>
        <w:tc>
          <w:tcPr>
            <w:tcW w:w="1060" w:type="dxa"/>
            <w:vAlign w:val="bottom"/>
            <w:gridSpan w:val="3"/>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100" w:type="dxa"/>
            <w:vAlign w:val="bottom"/>
            <w:tcBorders>
              <w:right w:val="single" w:sz="8" w:color="CCEEFF"/>
            </w:tcBorders>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160" w:type="dxa"/>
            <w:vAlign w:val="bottom"/>
            <w:tcBorders>
              <w:right w:val="single" w:sz="8" w:color="CCEEFF"/>
            </w:tcBorders>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Six months ended June 30,</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r>
      <w:tr>
        <w:trPr>
          <w:trHeight w:val="425"/>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1,012,264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(836,013)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flows provided by (used in) operating activities: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on sale of investments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(1,844,257)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(275,158)</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unrealized (gains) losses on equity investments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(1,924,072)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3,979,115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(gains) losses of other investments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(1,507,339)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1,659,994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1,360,254</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46,440</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Amortization of bond premium, net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107,068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302,279</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discount and issuance costs on long-term debt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88,090</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981,067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942,387</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588,442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1,017,179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971,389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(679,568)</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17,267,805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(491,783)</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191,560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1,112,036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(1,365,167)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(1,609,499)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2,223,810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(3,890,252)</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(1,936,706)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(5,376,958)</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Advance premiums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2,582,330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1,408,269</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balances payable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(4,953,735)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(6,247,621)</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(8,931)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(756,824)</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(116,404)</w:t>
            </w:r>
          </w:p>
        </w:tc>
      </w:tr>
      <w:tr>
        <w:trPr>
          <w:trHeight w:val="20"/>
        </w:trPr>
        <w:tc>
          <w:tcPr>
            <w:tcW w:w="87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Net cash flows provided by (used in) operating activities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14,364,315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(9,981,438)</w:t>
            </w:r>
          </w:p>
        </w:tc>
      </w:tr>
      <w:tr>
        <w:trPr>
          <w:trHeight w:val="209"/>
        </w:trPr>
        <w:tc>
          <w:tcPr>
            <w:tcW w:w="8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(3,111,381)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(4,041,750)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Purchase - fixed-maturity securities available-for-sale</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(5,424,374)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(12,447,259)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(8,431,047)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(8,290,221)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Purchase - other investments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Sale or maturity - fixed-maturity securities held-to-maturity</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Sale or maturity - fixed-maturity securities available-for-sale</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22,276,142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19,174,048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Sale - equity securities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9,569,363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6,479,813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(2,195,985)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(1,101,416)</w:t>
            </w:r>
          </w:p>
        </w:tc>
      </w:tr>
      <w:tr>
        <w:trPr>
          <w:trHeight w:val="20"/>
        </w:trPr>
        <w:tc>
          <w:tcPr>
            <w:tcW w:w="8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(used in) investing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11,307,718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(226,785)</w:t>
            </w:r>
          </w:p>
        </w:tc>
      </w:tr>
      <w:tr>
        <w:trPr>
          <w:trHeight w:val="209"/>
        </w:trPr>
        <w:tc>
          <w:tcPr>
            <w:tcW w:w="87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(181,706)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(124,342)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(1,040,050)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(801,788)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(854,272)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(1,103,400)</w:t>
            </w:r>
          </w:p>
        </w:tc>
      </w:tr>
      <w:tr>
        <w:trPr>
          <w:trHeight w:val="20"/>
        </w:trPr>
        <w:tc>
          <w:tcPr>
            <w:tcW w:w="8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(2,076,028)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(2,029,530)</w:t>
            </w:r>
          </w:p>
        </w:tc>
      </w:tr>
      <w:tr>
        <w:trPr>
          <w:trHeight w:val="209"/>
        </w:trPr>
        <w:tc>
          <w:tcPr>
            <w:tcW w:w="87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23,596,005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(12,237,753)</w:t>
            </w:r>
          </w:p>
        </w:tc>
      </w:tr>
    </w:tbl>
    <w:p>
      <w:pPr>
        <w:sectPr>
          <w:pgSz w:w="11900" w:h="16900" w:orient="portrait"/>
          <w:cols w:equalWidth="0" w:num="1">
            <w:col w:w="11240"/>
          </w:cols>
          <w:pgMar w:left="320" w:top="125" w:right="339" w:bottom="0" w:gutter="0" w:footer="0" w:header="0"/>
        </w:sectPr>
      </w:pPr>
    </w:p>
    <w:bookmarkStart w:id="6" w:name="page7"/>
    <w:bookmarkEnd w:id="6"/>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19,463,742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32,391,485</w:t>
            </w:r>
          </w:p>
        </w:tc>
      </w:tr>
      <w:tr>
        <w:trPr>
          <w:trHeight w:val="20"/>
        </w:trPr>
        <w:tc>
          <w:tcPr>
            <w:tcW w:w="8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43,059,747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20,153,732</w:t>
            </w:r>
          </w:p>
        </w:tc>
      </w:tr>
      <w:tr>
        <w:trPr>
          <w:trHeight w:val="197"/>
        </w:trPr>
        <w:tc>
          <w:tcPr>
            <w:tcW w:w="87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KINGSTONE COMPANIES,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Kingstone Companies, Inc. (referred to herein as “Kingstone” or the “Company”), through the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79.8% and 76.3% of KICO’s direct written premiums for the three months and six months ended June 30, 2021,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2020 and notes thereto included in the Company’s Annual Report on Form 10-K filed with the Securities and Exchange Commission (the “SEC”) on March 31, 2021.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six months ended June 30, 2021 may not be indicative of the results that may be expected for the year ending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balances were reclassified to conform with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condensed consolidated financial statements consist of Kingstone and its following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December 2019, the Financial Accounting Standards Board (the “FASB”) issued Accounting Standards Update (“ASU”) 2019-12, Income Taxes - Simplifying the Accounting for Income Taxes (“ASU 2019-12”). Among other items, the amendments in ASU 2019-12 simplify the accounting treatment of tax law changes and year-to-date losses in interim periods. An entity generally recognizes the effects of a change in tax law in the period of enactment; however, there is an exception for tax laws with delayed effective dates. Under current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current guidance provides an exception that when a loss in an interim period exceeds the anticipated loss for the year, the income tax benefit is limited to the amount that would be recognized if the year-to-date loss were the anticipated loss for</w:t>
      </w:r>
    </w:p>
    <w:p>
      <w:pPr>
        <w:sectPr>
          <w:pgSz w:w="11900" w:h="16859" w:orient="portrait"/>
          <w:cols w:equalWidth="0" w:num="1">
            <w:col w:w="11240"/>
          </w:cols>
          <w:pgMar w:left="320" w:top="125" w:right="339" w:bottom="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the full year. ASU 2019-12 removes this exception and provides that, in this situation, an entity would compute its income tax benefit at each interim period based on its estimated annual effective tax rate. ASU 2019-12 is effective for fiscal years beginning after December 15, 2020, including interim periods within those annual periods. The Company adopted this ASU as of January 1, 2021, and it did not have a material impact on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estimated fair value, and unrealized gains and losses on investments in fixed-maturity securities classified as available-for-sale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December 31, 2020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8"/>
                <w:szCs w:val="18"/>
                <w:b w:val="1"/>
                <w:bCs w:val="1"/>
                <w:color w:val="auto"/>
              </w:rPr>
              <w:t>June 30,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4"/>
                <w:szCs w:val="24"/>
                <w:color w:val="auto"/>
              </w:rPr>
            </w:pPr>
          </w:p>
        </w:tc>
        <w:tc>
          <w:tcPr>
            <w:tcW w:w="212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2"/>
              </w:rPr>
              <w:t>Less</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7"/>
              </w:rPr>
              <w:t>More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than 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than 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U.S. Treasury securities and obligations of U.S. government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2,008,936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2,020,780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Political subdivisions of States, Territories and Possessions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8,587,648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8,831,131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97,021,903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8,314,462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105,319,527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8,297,624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Residential mortgage and other asset backed securities (1)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21,279,363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21,745,214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465,851</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128,897,850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9,148,115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(51,606)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(77,707)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137,916,652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9,018,802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KICO has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June 30, 2021, the estimated fair value of the eligible investments was approximately $10,837,000. KICO will retain all rights regarding all securities if pledged as collateral. As of June 30, 2021, there was no outstanding balance on the FHLBNY credit line.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7"/>
              </w:rPr>
              <w:t>December 31, 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212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2"/>
              </w:rPr>
              <w:t>Less</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7"/>
              </w:rPr>
              <w:t>More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than 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than 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3,020,710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3,049,900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Political subdivisions of States, Territories and Possessions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5,287,561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5,643,102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355,541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Corporate and other bonds Industrial and miscellaneous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108,573,422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11,634,123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120,194,329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11,620,907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Residential mortgage and other asset backed securities (1)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28,163,891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28,661,941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498,050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145,045,584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12,636,222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(20,587)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(111,947)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157,549,272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12,503,688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8" w:name="page9"/>
    <w:bookmarkEnd w:id="8"/>
    <w:p>
      <w:pPr>
        <w:jc w:val="both"/>
        <w:ind w:left="340" w:hanging="332"/>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KICO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June 30, 2021 and December 31, 2020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7,198,128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7,263,139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8,559,005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8,668,064</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43,761,291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47,227,835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44,137,567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47,745,430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44,705,071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49,293,510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55,508,712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63,159,775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11,953,997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12,386,954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8,676,409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9,314,062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21,279,363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21,745,214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28,163,891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28,661,941</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128,897,850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137,916,652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145,045,584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157,549,272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June 30, 2021 and December 31, 2020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18,344,078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1,626,038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19,882,868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14,335,646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2,120,909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(21,492)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16,435,063</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32,679,724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3,746,947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36,317,931</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18,097,942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853,277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(426,942)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18,524,277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14,473,224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1,820,512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(404,700)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15,889,036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32,571,166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2,673,789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(831,642)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estimated fair value of, and gross gains on, the Company’s other investments as of June 30, 2021 and December 31, 2020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June 30, 2021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5"/>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Other Investments: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Hedge fund</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$ 3,999,381</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$ 2,876,584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$ 6,875,965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$ 3,368,626</w:t>
            </w:r>
          </w:p>
        </w:tc>
      </w:tr>
      <w:tr>
        <w:trPr>
          <w:trHeight w:val="216"/>
        </w:trPr>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107,092</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107,092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1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20" w:type="dxa"/>
            <w:vAlign w:val="bottom"/>
            <w:gridSpan w:val="4"/>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86"/>
              </w:rPr>
              <w:t>$ 4,106,473</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$ 2,876,584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$ 6,983,057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$ 2,149,381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$ 3,518,626</w:t>
            </w:r>
          </w:p>
        </w:tc>
      </w:tr>
      <w:tr>
        <w:trPr>
          <w:trHeight w:val="20"/>
        </w:trPr>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74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5020" w:type="dxa"/>
            <w:vAlign w:val="bottom"/>
            <w:gridSpan w:val="4"/>
          </w:tcPr>
          <w:p>
            <w:pPr>
              <w:spacing w:after="0"/>
              <w:rPr>
                <w:sz w:val="20"/>
                <w:szCs w:val="20"/>
                <w:color w:val="auto"/>
              </w:rPr>
            </w:pPr>
            <w:r>
              <w:rPr>
                <w:rFonts w:ascii="Arial" w:cs="Arial" w:eastAsia="Arial" w:hAnsi="Arial"/>
                <w:sz w:val="18"/>
                <w:szCs w:val="18"/>
                <w:color w:val="auto"/>
              </w:rPr>
              <w:t>Held-to-Maturity Securities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June 30, 2021 and December 31, 2020 are summarized as follows:</w:t>
      </w:r>
    </w:p>
    <w:p>
      <w:pPr>
        <w:sectPr>
          <w:pgSz w:w="11900" w:h="16838" w:orient="portrait"/>
          <w:cols w:equalWidth="0" w:num="1">
            <w:col w:w="11240"/>
          </w:cols>
          <w:pgMar w:left="320" w:top="341" w:right="3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vMerge w:val="restart"/>
          </w:tcPr>
          <w:p>
            <w:pPr>
              <w:jc w:val="center"/>
              <w:ind w:right="300"/>
              <w:spacing w:after="0"/>
              <w:rPr>
                <w:sz w:val="20"/>
                <w:szCs w:val="20"/>
                <w:color w:val="auto"/>
              </w:rPr>
            </w:pPr>
            <w:r>
              <w:rPr>
                <w:rFonts w:ascii="Arial" w:cs="Arial" w:eastAsia="Arial" w:hAnsi="Arial"/>
                <w:sz w:val="18"/>
                <w:szCs w:val="18"/>
                <w:b w:val="1"/>
                <w:bCs w:val="1"/>
                <w:color w:val="auto"/>
                <w:w w:val="88"/>
              </w:rPr>
              <w:t>Cost 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w w:val="84"/>
              </w:rPr>
              <w:t>Gross</w:t>
            </w:r>
          </w:p>
        </w:tc>
        <w:tc>
          <w:tcPr>
            <w:tcW w:w="19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85"/>
              </w:rPr>
              <w:t>Gross Unrealized Losses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7"/>
              </w:rPr>
              <w:t>Less</w:t>
            </w:r>
          </w:p>
        </w:tc>
        <w:tc>
          <w:tcPr>
            <w:tcW w:w="8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More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than 12</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than 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729,618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211,439</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00" w:type="dxa"/>
            <w:vAlign w:val="bottom"/>
            <w:tcBorders>
              <w:left w:val="single" w:sz="8" w:color="CCEEFF"/>
              <w:right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74"/>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941,057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211,439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998,336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36,789</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74"/>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1,035,125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949,142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35,289</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74"/>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982,747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7,145,703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358,265</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74"/>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7,499,388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353,685</w:t>
            </w: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$ 9,822,799</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641,782</w:t>
            </w:r>
          </w:p>
        </w:tc>
        <w:tc>
          <w:tcPr>
            <w:tcW w:w="14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(6,264)</w:t>
            </w:r>
          </w:p>
        </w:tc>
        <w:tc>
          <w:tcPr>
            <w:tcW w:w="8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00" w:type="dxa"/>
            <w:vAlign w:val="bottom"/>
            <w:tcBorders>
              <w:left w:val="single" w:sz="8" w:color="CCEEFF"/>
              <w:right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74"/>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10,458,317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635,518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7"/>
              </w:rPr>
              <w:t>December 31, 2020</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Cost 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24"/>
                <w:szCs w:val="24"/>
                <w:color w:val="auto"/>
              </w:rPr>
            </w:pPr>
          </w:p>
        </w:tc>
        <w:tc>
          <w:tcPr>
            <w:tcW w:w="2060" w:type="dxa"/>
            <w:vAlign w:val="bottom"/>
            <w:gridSpan w:val="6"/>
          </w:tcPr>
          <w:p>
            <w:pPr>
              <w:ind w:left="60"/>
              <w:spacing w:after="0"/>
              <w:rPr>
                <w:sz w:val="20"/>
                <w:szCs w:val="20"/>
                <w:color w:val="auto"/>
              </w:rPr>
            </w:pPr>
            <w:r>
              <w:rPr>
                <w:rFonts w:ascii="Arial" w:cs="Arial" w:eastAsia="Arial" w:hAnsi="Arial"/>
                <w:sz w:val="18"/>
                <w:szCs w:val="18"/>
                <w:b w:val="1"/>
                <w:bCs w:val="1"/>
                <w:color w:val="auto"/>
                <w:w w:val="91"/>
              </w:rPr>
              <w:t>Gross Unrealized Losses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rPr>
              <w:t>Less than</w:t>
            </w: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8"/>
                <w:szCs w:val="18"/>
                <w:color w:val="auto"/>
              </w:rPr>
            </w:pPr>
          </w:p>
        </w:tc>
        <w:tc>
          <w:tcPr>
            <w:tcW w:w="8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20"/>
                <w:szCs w:val="20"/>
                <w:color w:val="auto"/>
              </w:rPr>
            </w:pPr>
          </w:p>
        </w:tc>
        <w:tc>
          <w:tcPr>
            <w:tcW w:w="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Months</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729,595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319,714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$ 1,049,309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319,714</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998,428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50,917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1,049,345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50,917</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5,640,792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455,378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6,096,170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455,378</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3"/>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6"/>
              </w:rPr>
              <w:t>$ 7,368,815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826,009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$ 8,194,824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826,009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left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held-to-maturity securities by contractual maturity as of June 30, 2021 and December 31, 2020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899,352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916,678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1,699,763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1,822,853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2,598,193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2,777,936</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1,508,198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1,701,590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1,502,603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1,727,316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5,715,486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6,017,196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3,268,019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3,689,572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9,822,799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10,458,317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426"/>
        </w:trPr>
        <w:tc>
          <w:tcPr>
            <w:tcW w:w="60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1,459,342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1,394,284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2,950,469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2,841,771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351,100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243,344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708,411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496,868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88,159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(42,908)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(42,908)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1,681,564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3,617,530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3,426,798</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Investment expenses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148,948</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1,678,075</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1,612,006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3,461,271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3,277,850</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1"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Proceeds from the redemption of fixed-maturity securities held-to-maturity were $625,000 for the six month ended June 30, 2021 and $-0- for the six months ended June 30,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$22,276,142 and $19,174,048 for the six months ended June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of equity securities were $9,569,363 and $6,479,813 for the six months ended June 30, 2021 and 2020,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47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60" w:type="dxa"/>
            <w:vAlign w:val="bottom"/>
            <w:gridSpan w:val="3"/>
          </w:tcPr>
          <w:p>
            <w:pPr>
              <w:spacing w:after="0"/>
              <w:rPr>
                <w:sz w:val="20"/>
                <w:szCs w:val="20"/>
                <w:color w:val="auto"/>
              </w:rPr>
            </w:pPr>
            <w:r>
              <w:rPr>
                <w:rFonts w:ascii="Arial" w:cs="Arial" w:eastAsia="Arial" w:hAnsi="Arial"/>
                <w:sz w:val="18"/>
                <w:szCs w:val="18"/>
                <w:color w:val="auto"/>
                <w:w w:val="97"/>
              </w:rPr>
              <w:t>The Company’s net gains (losses) on investments are summarized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Realized Gains (Losses)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367,756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777,296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252,577</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(26,255)</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(164,582)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(41,499)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(196,925)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341,501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(148,495)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735,797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55,652</w:t>
            </w:r>
          </w:p>
        </w:tc>
        <w:tc>
          <w:tcPr>
            <w:tcW w:w="0" w:type="dxa"/>
            <w:vAlign w:val="bottom"/>
          </w:tcPr>
          <w:p>
            <w:pPr>
              <w:spacing w:after="0"/>
              <w:rPr>
                <w:sz w:val="1"/>
                <w:szCs w:val="1"/>
                <w:color w:val="auto"/>
              </w:rPr>
            </w:pPr>
          </w:p>
        </w:tc>
      </w:tr>
      <w:tr>
        <w:trPr>
          <w:trHeight w:val="426"/>
        </w:trPr>
        <w:tc>
          <w:tcPr>
            <w:tcW w:w="60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442,798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1,375,948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444,671</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(67,276)</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(11,350)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(267,488)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(225,165)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375,522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1,108,460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219,506</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realized gains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717,023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1,844,257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275,158</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Unrealized Gains (Losses)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920,863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2,177,605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1,924,072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losses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(3,979,115)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920,863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2,177,605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1,924,072</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(3,979,115)</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Other investments: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677,375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1,507,339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losses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(42,593)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677,375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1,507,339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(42,593)</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unrealized gains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1,598,238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2,732,403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3,431,411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(4,021,708)</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gains (losses) on investments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2,315,261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2,697,868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5,275,668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(3,746,550)</w:t>
            </w:r>
          </w:p>
        </w:tc>
        <w:tc>
          <w:tcPr>
            <w:tcW w:w="0" w:type="dxa"/>
            <w:vAlign w:val="bottom"/>
          </w:tcPr>
          <w:p>
            <w:pPr>
              <w:spacing w:after="0"/>
              <w:rPr>
                <w:sz w:val="1"/>
                <w:szCs w:val="1"/>
                <w:color w:val="auto"/>
              </w:rPr>
            </w:pPr>
          </w:p>
        </w:tc>
      </w:tr>
      <w:tr>
        <w:trPr>
          <w:trHeight w:val="372"/>
        </w:trPr>
        <w:tc>
          <w:tcPr>
            <w:tcW w:w="606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Impairment Review</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(loss).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income (loss) for the noncredit portion of a previous OTTI is amortized prospectively over the remaining life of the security based on timing of future estimated cash flows of the security.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OTTI losses are recorded in the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June 30, 2021 and December 31, 2020, there were 15 and 16 fixed-maturity securities, respectively, that accounted for the gross unrealized losses. The Company determined that none of the unrealized losses were deemed to be OTTI for its portfolio of investments for the six months ended June 30, 2021 and 2020. Significant factors influencing the Company’s determination that unrealized losses were temporary included the magnitude of the unrealized losses in relation to each security’s cost, the nature of the investment and management’s intent and ability to hold the investment for a period of time sufficient to allow for an anticipated recovery of estimated fair value to the Company’s cost basis.</w:t>
      </w:r>
    </w:p>
    <w:p>
      <w:pPr>
        <w:sectPr>
          <w:pgSz w:w="11900" w:h="16838" w:orient="portrait"/>
          <w:cols w:equalWidth="0" w:num="1">
            <w:col w:w="11240"/>
          </w:cols>
          <w:pgMar w:left="320" w:top="125" w:right="339" w:bottom="0" w:gutter="0" w:footer="0" w:header="0"/>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June 30, 2021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rPr>
              <w:t>June 30, 2021</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ind w:left="6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ind w:left="640"/>
              <w:spacing w:after="0"/>
              <w:rPr>
                <w:sz w:val="20"/>
                <w:szCs w:val="20"/>
                <w:color w:val="auto"/>
              </w:rPr>
            </w:pPr>
            <w:r>
              <w:rPr>
                <w:rFonts w:ascii="Arial" w:cs="Arial" w:eastAsia="Arial" w:hAnsi="Arial"/>
                <w:sz w:val="18"/>
                <w:szCs w:val="18"/>
                <w:b w:val="1"/>
                <w:bCs w:val="1"/>
                <w:color w:val="auto"/>
                <w:w w:val="97"/>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26"/>
        </w:trPr>
        <w:tc>
          <w:tcPr>
            <w:tcW w:w="3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U.S. Treasury securities and obligations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of  U.S.  government  corporations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1,073,200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(32,208)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1,073,200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(32,208)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Corporate and other bonds industrial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1,084,560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1,084,560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(16,838)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Residential mortgage and other asset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3,083,104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(2,560)</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3,237,151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(77,707)</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6,320,255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(80,267)</w:t>
            </w:r>
          </w:p>
        </w:tc>
        <w:tc>
          <w:tcPr>
            <w:tcW w:w="0" w:type="dxa"/>
            <w:vAlign w:val="bottom"/>
          </w:tcPr>
          <w:p>
            <w:pPr>
              <w:spacing w:after="0"/>
              <w:rPr>
                <w:sz w:val="1"/>
                <w:szCs w:val="1"/>
                <w:color w:val="auto"/>
              </w:rPr>
            </w:pPr>
          </w:p>
        </w:tc>
      </w:tr>
      <w:tr>
        <w:trPr>
          <w:trHeight w:val="217"/>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5,240,864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3,237,151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(77,707)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8,478,015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(129,313)</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2020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7"/>
              </w:rPr>
              <w:t>December 31, 2020</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ind w:left="6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25"/>
        </w:trPr>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U.S. Treasury securities and obligations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8"/>
              </w:rPr>
              <w:t>of U.S. government corporations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Corporate and other bonds industrial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1,006,901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1,006,901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Residential mortgage and other asset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6,137,522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3,735,732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(111,947)</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9,873,254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5"/>
              </w:rPr>
              <w:t>(119,318)</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7,144,423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3,735,732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10,880,155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(132,534)</w:t>
            </w:r>
          </w:p>
        </w:tc>
        <w:tc>
          <w:tcPr>
            <w:tcW w:w="0" w:type="dxa"/>
            <w:vAlign w:val="bottom"/>
          </w:tcPr>
          <w:p>
            <w:pPr>
              <w:spacing w:after="0"/>
              <w:rPr>
                <w:sz w:val="1"/>
                <w:szCs w:val="1"/>
                <w:color w:val="auto"/>
              </w:rPr>
            </w:pPr>
          </w:p>
        </w:tc>
      </w:tr>
      <w:tr>
        <w:trPr>
          <w:trHeight w:val="629"/>
        </w:trPr>
        <w:tc>
          <w:tcPr>
            <w:tcW w:w="2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the Company’s investments that are measured at fair value on a recurring basis at June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indicating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2,020,780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2,020,780</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8,831,131</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8,831,131</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103,280,669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2,038,858</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105,319,527</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6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125"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21,745,214</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21,745,214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105,301,449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32,615,203</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137,916,652</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36,317,931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36,317,931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141,619,380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32,615,203</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174,234,583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3,049,900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3,049,900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5,643,102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5,643,102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118,123,890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2,070,439</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120,194,329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28,661,941</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28,661,941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121,173,790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36,375,482</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157,549,272</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34,413,313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155,587,103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36,375,482</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191,962,585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55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4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47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investment in a hedge fund and real estate limited partnership both measured at Net Asset Value (“NAV”) per share as of June 30, 2021 and December 31, 2020. The Company measures these investments at fair value on a recurring basis. Fair value using NAV per share is as follows as of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31, 2020</w:t>
            </w:r>
          </w:p>
        </w:tc>
        <w:tc>
          <w:tcPr>
            <w:tcW w:w="100" w:type="dxa"/>
            <w:vAlign w:val="bottom"/>
          </w:tcPr>
          <w:p>
            <w:pPr>
              <w:spacing w:after="0"/>
              <w:rPr>
                <w:sz w:val="20"/>
                <w:szCs w:val="20"/>
                <w:color w:val="auto"/>
              </w:rPr>
            </w:pPr>
          </w:p>
        </w:tc>
      </w:tr>
      <w:tr>
        <w:trPr>
          <w:trHeight w:val="425"/>
        </w:trPr>
        <w:tc>
          <w:tcPr>
            <w:tcW w:w="7920" w:type="dxa"/>
            <w:vAlign w:val="bottom"/>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6,875,965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3,368,626</w:t>
            </w:r>
          </w:p>
        </w:tc>
      </w:t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6,983,057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3,518,626</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(losses) on investments.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June 30, 2021 and December 31, 2020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28"/>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27,294,128</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27,294,128</w:t>
            </w:r>
          </w:p>
        </w:tc>
      </w:tr>
      <w:tr>
        <w:trPr>
          <w:trHeight w:val="43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28"/>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0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27,272,727</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27,272,727</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and real estate as of June 30, 2021 and December 31,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6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6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9,822,799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10,458,317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43,059,747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43,059,747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19,463,742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19,463,742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10,719,732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10,719,732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11,819,639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11,819,639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Reinsurance receivables,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28,192,924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28,192,924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45,460,729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45,460,729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Real estate, net of accumulated depreciation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2,181,335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2,219,999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2,705,000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Reinsurance balances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2,026,000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2,026,000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6,979,735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6,979,735</w:t>
            </w:r>
          </w:p>
        </w:tc>
      </w:tr>
    </w:tbl>
    <w:p>
      <w:pPr>
        <w:sectPr>
          <w:pgSz w:w="11900" w:h="16838" w:orient="portrait"/>
          <w:cols w:equalWidth="0" w:num="1">
            <w:col w:w="11240"/>
          </w:cols>
          <w:pgMar w:left="320" w:top="140" w:right="339" w:bottom="41"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47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Premiums Earned</w:t>
            </w: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06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Direct</w:t>
            </w:r>
          </w:p>
        </w:tc>
        <w:tc>
          <w:tcPr>
            <w:tcW w:w="980" w:type="dxa"/>
            <w:vAlign w:val="bottom"/>
          </w:tcPr>
          <w:p>
            <w:pPr>
              <w:jc w:val="right"/>
              <w:ind w:right="5"/>
              <w:spacing w:after="0"/>
              <w:rPr>
                <w:sz w:val="20"/>
                <w:szCs w:val="20"/>
                <w:color w:val="auto"/>
              </w:rPr>
            </w:pPr>
            <w:r>
              <w:rPr>
                <w:rFonts w:ascii="Arial" w:cs="Arial" w:eastAsia="Arial" w:hAnsi="Arial"/>
                <w:sz w:val="18"/>
                <w:szCs w:val="18"/>
                <w:b w:val="1"/>
                <w:bCs w:val="1"/>
                <w:color w:val="auto"/>
              </w:rPr>
              <w:t>Assumed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Ceded</w:t>
            </w:r>
          </w:p>
        </w:tc>
        <w:tc>
          <w:tcPr>
            <w:tcW w:w="200" w:type="dxa"/>
            <w:vAlign w:val="bottom"/>
          </w:tcPr>
          <w:p>
            <w:pPr>
              <w:spacing w:after="0"/>
              <w:rPr>
                <w:sz w:val="24"/>
                <w:szCs w:val="2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r>
      <w:tr>
        <w:trPr>
          <w:trHeight w:val="42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Six months ended June 30, 2021</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82,744,761</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(14,630,872)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68,113,889</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Change in unearned premiums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1,936,706</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(24,951)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1,911,755</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84,681,467</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(14,655,823)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70,025,644</w:t>
            </w:r>
          </w:p>
        </w:tc>
      </w:tr>
      <w:tr>
        <w:trPr>
          <w:trHeight w:val="413"/>
        </w:trPr>
        <w:tc>
          <w:tcPr>
            <w:tcW w:w="60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Six months ended June 30, 2020</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79,347,406</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(28,066,253)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51,281,153</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Change in unearned premiums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5,376,958</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(3,079,805)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2,297,153</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84,724,364</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(31,146,058)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53,578,306</w:t>
            </w:r>
          </w:p>
        </w:tc>
      </w:tr>
      <w:tr>
        <w:trPr>
          <w:trHeight w:val="413"/>
        </w:trPr>
        <w:tc>
          <w:tcPr>
            <w:tcW w:w="60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Three months ended June 30, 2021</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44,615,644</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(7,301,365)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37,314,279</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Change in unearned premiums</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(1,852,772)</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(25,081)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(1,877,853)</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42,762,872</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(7,326,446)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35,436,426</w:t>
            </w:r>
          </w:p>
        </w:tc>
      </w:tr>
      <w:tr>
        <w:trPr>
          <w:trHeight w:val="413"/>
        </w:trPr>
        <w:tc>
          <w:tcPr>
            <w:tcW w:w="60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42,650,477</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(14,559,998)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28,090,479</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Change in unearned premiums</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(527,742)</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(925,881)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(1,453,623)</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42,122,735</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(15,485,879)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26,636,856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June 30, 2021 and December 31, 2020 was $5,242,684 and $2,660,354,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82,801,228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80,498,611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(20,154,251)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(15,728,224)</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62,646,977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64,770,387</w:t>
            </w: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43,328,342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29,373,472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(174,020)</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 incurred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43,319,882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29,199,452</w:t>
            </w: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19,716,893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14,223,404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14,799,794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20,204,732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34,516,687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34,428,136</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71,450,172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59,541,702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13,574,866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17,066,657</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85,025,038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76,608,359</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$881,729 and $10,219,432 for the six months ended June 30, 2021 and 2020,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six months ended June 30, 2021 and 2020 was $8,460 favorable and $174,020 favorable, respectively. Management periodically performs a review of open liability claims to assess carried case and incurred but not reported (“IBNR”) reserve levels, giving consideration to both Company and industry trends.</w:t>
      </w:r>
    </w:p>
    <w:p>
      <w:pPr>
        <w:sectPr>
          <w:pgSz w:w="11900" w:h="16838" w:orient="portrait"/>
          <w:cols w:equalWidth="0" w:num="1">
            <w:col w:w="11240"/>
          </w:cols>
          <w:pgMar w:left="320" w:top="125" w:right="339" w:bottom="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jc w:val="both"/>
        <w:ind w:left="620"/>
        <w:spacing w:after="0" w:line="277"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70" w:lineRule="exact"/>
        <w:rPr>
          <w:sz w:val="20"/>
          <w:szCs w:val="20"/>
          <w:color w:val="auto"/>
        </w:rPr>
      </w:pPr>
    </w:p>
    <w:p>
      <w:pPr>
        <w:jc w:val="both"/>
        <w:ind w:left="62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70" w:lineRule="exact"/>
        <w:rPr>
          <w:sz w:val="20"/>
          <w:szCs w:val="20"/>
          <w:color w:val="auto"/>
        </w:rPr>
      </w:pPr>
    </w:p>
    <w:p>
      <w:pPr>
        <w:jc w:val="both"/>
        <w:ind w:left="620"/>
        <w:spacing w:after="0" w:line="301"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57" w:lineRule="exact"/>
        <w:rPr>
          <w:sz w:val="20"/>
          <w:szCs w:val="20"/>
          <w:color w:val="auto"/>
        </w:rPr>
      </w:pPr>
    </w:p>
    <w:p>
      <w:pPr>
        <w:jc w:val="both"/>
        <w:ind w:left="620"/>
        <w:spacing w:after="0" w:line="257" w:lineRule="auto"/>
        <w:rPr>
          <w:sz w:val="20"/>
          <w:szCs w:val="20"/>
          <w:color w:val="auto"/>
        </w:rPr>
      </w:pPr>
      <w:r>
        <w:rPr>
          <w:rFonts w:ascii="Arial" w:cs="Arial" w:eastAsia="Arial" w:hAnsi="Arial"/>
          <w:sz w:val="18"/>
          <w:szCs w:val="18"/>
          <w:i w:val="1"/>
          <w:iCs w:val="1"/>
          <w:color w:val="auto"/>
        </w:rPr>
        <w:t xml:space="preserve">Incurred Bornhuetter-Ferguson (“BF”) </w:t>
      </w:r>
      <w:r>
        <w:rPr>
          <w:rFonts w:ascii="Arial" w:cs="Arial" w:eastAsia="Arial" w:hAnsi="Arial"/>
          <w:sz w:val="18"/>
          <w:szCs w:val="18"/>
          <w:color w:val="auto"/>
        </w:rPr>
        <w:t>- an estimated loss ratio for a particular accident year is determined, and is weighted against the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8" w:lineRule="exact"/>
        <w:rPr>
          <w:sz w:val="20"/>
          <w:szCs w:val="20"/>
          <w:color w:val="auto"/>
        </w:rPr>
      </w:pPr>
    </w:p>
    <w:p>
      <w:pPr>
        <w:jc w:val="both"/>
        <w:ind w:left="620"/>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ind w:left="620"/>
        <w:spacing w:after="0" w:line="255" w:lineRule="auto"/>
        <w:rPr>
          <w:sz w:val="20"/>
          <w:szCs w:val="20"/>
          <w:color w:val="auto"/>
        </w:rPr>
      </w:pPr>
      <w:r>
        <w:rPr>
          <w:rFonts w:ascii="Arial" w:cs="Arial" w:eastAsia="Arial" w:hAnsi="Arial"/>
          <w:sz w:val="18"/>
          <w:szCs w:val="18"/>
          <w:i w:val="1"/>
          <w:iCs w:val="1"/>
          <w:color w:val="auto"/>
        </w:rPr>
        <w:t xml:space="preserve">Frequency / Severity Based Methods </w:t>
      </w:r>
      <w:r>
        <w:rPr>
          <w:rFonts w:ascii="Arial" w:cs="Arial" w:eastAsia="Arial" w:hAnsi="Arial"/>
          <w:sz w:val="18"/>
          <w:szCs w:val="18"/>
          <w:color w:val="auto"/>
        </w:rPr>
        <w:t>- historical measurements of claim frequency and average paid claim size (severity) are reviewed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COVID-19 has introduced additional uncertainty to recent claim trends. The Company reviews the carried reserves levels at a regular basis as additional information becomes available and makes adjustments in the periods in which such adjustments are determined to be necessary. The Company is not aware</w:t>
      </w:r>
    </w:p>
    <w:p>
      <w:pPr>
        <w:sectPr>
          <w:pgSz w:w="11900" w:h="16838" w:orient="portrait"/>
          <w:cols w:equalWidth="0" w:num="1">
            <w:col w:w="11240"/>
          </w:cols>
          <w:pgMar w:left="320" w:top="125" w:right="339" w:bottom="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of any other claim trends that have emerged or that would cause future adverse development that have not already been contemplated in setting current carried reserves levels.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2018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June 30, 2021, net of reinsurance, as well as the cumulative reported claims by accident year and total IBNR reserves as of June 30, 2021 included in the net incurred loss and allocated expense amounts. The historical information regarding incurred and paid claims development for the years ended December 31, 2012 to December 31, 2020 is presented as supplementary unaudited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0" w:type="dxa"/>
            <w:vAlign w:val="bottom"/>
            <w:gridSpan w:val="5"/>
          </w:tcPr>
          <w:p>
            <w:pPr>
              <w:spacing w:after="0"/>
              <w:rPr>
                <w:sz w:val="20"/>
                <w:szCs w:val="20"/>
                <w:color w:val="auto"/>
              </w:rPr>
            </w:pPr>
            <w:r>
              <w:rPr>
                <w:rFonts w:ascii="Arial" w:cs="Arial" w:eastAsia="Arial" w:hAnsi="Arial"/>
                <w:sz w:val="18"/>
                <w:szCs w:val="18"/>
                <w:b w:val="1"/>
                <w:bCs w:val="1"/>
                <w:color w:val="auto"/>
                <w:w w:val="86"/>
              </w:rPr>
              <w:t>All Lines of Business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12"/>
          </w:tcPr>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3"/>
            <w:vMerge w:val="restart"/>
          </w:tcPr>
          <w:p>
            <w:pPr>
              <w:jc w:val="center"/>
              <w:ind w:right="8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80" w:type="dxa"/>
            <w:vAlign w:val="bottom"/>
            <w:gridSpan w:val="20"/>
          </w:tcPr>
          <w:p>
            <w:pPr>
              <w:ind w:left="380"/>
              <w:spacing w:after="0"/>
              <w:rPr>
                <w:sz w:val="20"/>
                <w:szCs w:val="20"/>
                <w:color w:val="auto"/>
              </w:rPr>
            </w:pPr>
            <w:r>
              <w:rPr>
                <w:rFonts w:ascii="Arial" w:cs="Arial" w:eastAsia="Arial" w:hAnsi="Arial"/>
                <w:sz w:val="18"/>
                <w:szCs w:val="18"/>
                <w:b w:val="1"/>
                <w:bCs w:val="1"/>
                <w:color w:val="auto"/>
                <w:w w:val="91"/>
              </w:rPr>
              <w:t>Incurred Loss and Allocated Loss Adjustment Expenses, Net of Reinsurance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June 30, 2021</w:t>
            </w: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Cumulative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gridSpan w:val="11"/>
            <w:vMerge w:val="restart"/>
          </w:tcPr>
          <w:p>
            <w:pPr>
              <w:jc w:val="right"/>
              <w:ind w:right="720"/>
              <w:spacing w:after="0"/>
              <w:rPr>
                <w:sz w:val="20"/>
                <w:szCs w:val="20"/>
                <w:color w:val="auto"/>
              </w:rPr>
            </w:pPr>
            <w:r>
              <w:rPr>
                <w:rFonts w:ascii="Arial" w:cs="Arial" w:eastAsia="Arial" w:hAnsi="Arial"/>
                <w:sz w:val="18"/>
                <w:szCs w:val="18"/>
                <w:b w:val="1"/>
                <w:bCs w:val="1"/>
                <w:color w:val="auto"/>
                <w:w w:val="90"/>
              </w:rPr>
              <w:t>For the Years Ended December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Six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 Reported</w:t>
            </w:r>
          </w:p>
        </w:tc>
        <w:tc>
          <w:tcPr>
            <w:tcW w:w="0" w:type="dxa"/>
            <w:vAlign w:val="bottom"/>
          </w:tcPr>
          <w:p>
            <w:pPr>
              <w:spacing w:after="0"/>
              <w:rPr>
                <w:sz w:val="1"/>
                <w:szCs w:val="1"/>
                <w:color w:val="auto"/>
              </w:rPr>
            </w:pPr>
          </w:p>
        </w:tc>
      </w:tr>
      <w:tr>
        <w:trPr>
          <w:trHeight w:val="221"/>
        </w:trPr>
        <w:tc>
          <w:tcPr>
            <w:tcW w:w="7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Accident</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11"/>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by Accident</w:t>
            </w:r>
          </w:p>
        </w:tc>
        <w:tc>
          <w:tcPr>
            <w:tcW w:w="0" w:type="dxa"/>
            <w:vAlign w:val="bottom"/>
          </w:tcPr>
          <w:p>
            <w:pPr>
              <w:spacing w:after="0"/>
              <w:rPr>
                <w:sz w:val="1"/>
                <w:szCs w:val="1"/>
                <w:color w:val="auto"/>
              </w:rPr>
            </w:pPr>
          </w:p>
        </w:tc>
      </w:tr>
      <w:tr>
        <w:trPr>
          <w:trHeight w:val="234"/>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IBNR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rPr>
              <w:t>(Unaudited 2012 - 2020)</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$ 9,539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$ 10,278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$ 10,382</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$ 10,582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$ 10,790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$ 10,791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$ 11,015</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$ 10,885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3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89"/>
              </w:rPr>
              <w:t>4,704(1)</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10,728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9,745</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9,424</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9,621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10,061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10,607</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10,495</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14,260</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14,218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15,023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16,381</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16,428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13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22,340</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21,994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22,148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22,491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23,386</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23,459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26,062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24,941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24,789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27,887</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27,966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13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31,605</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32,169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35,304</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36,160</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36,213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54,455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56,351</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58,441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w:t>
            </w:r>
          </w:p>
        </w:tc>
        <w:tc>
          <w:tcPr>
            <w:tcW w:w="13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75,092</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72,368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7,872</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63,083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7,510</w:t>
            </w:r>
          </w:p>
        </w:tc>
        <w:tc>
          <w:tcPr>
            <w:tcW w:w="13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12,085</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Reported claims for accident year 2012 includes 3,406 claims from Superstorm Sandy.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gridSpan w:val="22"/>
          </w:tcPr>
          <w:p>
            <w:pPr>
              <w:jc w:val="right"/>
              <w:ind w:right="760"/>
              <w:spacing w:after="0"/>
              <w:rPr>
                <w:sz w:val="20"/>
                <w:szCs w:val="20"/>
                <w:color w:val="auto"/>
              </w:rPr>
            </w:pPr>
            <w:r>
              <w:rPr>
                <w:rFonts w:ascii="Arial" w:cs="Arial" w:eastAsia="Arial" w:hAnsi="Arial"/>
                <w:sz w:val="18"/>
                <w:szCs w:val="18"/>
                <w:b w:val="1"/>
                <w:bCs w:val="1"/>
                <w:color w:val="auto"/>
                <w:w w:val="89"/>
              </w:rPr>
              <w:t>Cumulative Paid Loss and Allocated Loss Adjustment Expenses, Net of Reinsurance</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10"/>
          </w:tcPr>
          <w:p>
            <w:pPr>
              <w:ind w:left="100"/>
              <w:spacing w:after="0"/>
              <w:rPr>
                <w:sz w:val="20"/>
                <w:szCs w:val="20"/>
                <w:color w:val="auto"/>
              </w:rPr>
            </w:pPr>
            <w:r>
              <w:rPr>
                <w:rFonts w:ascii="Arial" w:cs="Arial" w:eastAsia="Arial" w:hAnsi="Arial"/>
                <w:sz w:val="18"/>
                <w:szCs w:val="18"/>
                <w:b w:val="1"/>
                <w:bCs w:val="1"/>
                <w:color w:val="auto"/>
                <w:w w:val="98"/>
              </w:rPr>
              <w:t>For the Years Ended December 31,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6"/>
              </w:rPr>
              <w:t>Six months</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Accident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(Unaudited 2012 - 2020)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10,323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10,428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10,451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10,540</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6,633</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7,591</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8,407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9,056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9,717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9,429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13,819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14,901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15,509</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12,295</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16,181</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18,266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19,984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21,067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22,104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22,229</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21,106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23,974</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25,599</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16,704</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24,820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28,693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31,393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32,036</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32,383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44,516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50,553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51,311</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40,933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54,897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57,396</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39,045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48,313</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22"/>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60" w:type="dxa"/>
            <w:vAlign w:val="bottom"/>
            <w:gridSpan w:val="22"/>
            <w:shd w:val="clear" w:color="auto" w:fill="CCEEFF"/>
          </w:tcPr>
          <w:p>
            <w:pPr>
              <w:jc w:val="right"/>
              <w:ind w:right="100"/>
              <w:spacing w:after="0"/>
              <w:rPr>
                <w:sz w:val="20"/>
                <w:szCs w:val="20"/>
                <w:color w:val="auto"/>
              </w:rPr>
            </w:pPr>
            <w:r>
              <w:rPr>
                <w:rFonts w:ascii="Arial" w:cs="Arial" w:eastAsia="Arial" w:hAnsi="Arial"/>
                <w:sz w:val="18"/>
                <w:szCs w:val="18"/>
                <w:color w:val="auto"/>
                <w:w w:val="89"/>
              </w:rPr>
              <w:t>Net liability for unpaid loss and allocated loss adjustment expenses for the accident years presented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68,576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13"/>
          </w:tcPr>
          <w:p>
            <w:pPr>
              <w:jc w:val="right"/>
              <w:ind w:right="100"/>
              <w:spacing w:after="0"/>
              <w:rPr>
                <w:sz w:val="20"/>
                <w:szCs w:val="20"/>
                <w:color w:val="auto"/>
              </w:rPr>
            </w:pPr>
            <w:r>
              <w:rPr>
                <w:rFonts w:ascii="Arial" w:cs="Arial" w:eastAsia="Arial" w:hAnsi="Arial"/>
                <w:sz w:val="18"/>
                <w:szCs w:val="18"/>
                <w:color w:val="auto"/>
              </w:rPr>
              <w:t>All outstanding liabilities before 2011, net of reinsurance</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16"/>
            <w:shd w:val="clear" w:color="auto" w:fill="CCEEFF"/>
          </w:tcPr>
          <w:p>
            <w:pPr>
              <w:jc w:val="right"/>
              <w:ind w:right="100"/>
              <w:spacing w:after="0"/>
              <w:rPr>
                <w:sz w:val="20"/>
                <w:szCs w:val="20"/>
                <w:color w:val="auto"/>
              </w:rPr>
            </w:pPr>
            <w:r>
              <w:rPr>
                <w:rFonts w:ascii="Arial" w:cs="Arial" w:eastAsia="Arial" w:hAnsi="Arial"/>
                <w:sz w:val="18"/>
                <w:szCs w:val="18"/>
                <w:color w:val="auto"/>
                <w:w w:val="92"/>
              </w:rPr>
              <w:t>Liabilities for loss and allocated loss adjustment expenses, net of reinsurance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16" w:name="page17"/>
    <w:bookmarkEnd w:id="16"/>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As of</w:t>
            </w:r>
          </w:p>
        </w:tc>
      </w:t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June 30, 2021</w:t>
            </w: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loss and loss adjustment expenses, net of reinsurance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68,686</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13,575</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85,025</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December 15, 2019, the Company entered into a quota share reinsurance treaty for its personal lines business, which primarily consisted of homeowners’ policies, covering the period from December 15, 2019 through December 30, 2020 (“2019/2020 Treaty”). Effective December 31, 2020, the 2019/2020 Treaty expired on a cut off basis; this treaty was not renewed. The Company entered into new excess of loss and catastrophe reinsurance treaties effective July 1, 2021. Material terms for reinsurance treaties in effect for the treaty years shown below are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Treaty Year</w:t>
            </w:r>
          </w:p>
        </w:tc>
      </w:tr>
      <w:tr>
        <w:trPr>
          <w:trHeight w:val="191"/>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December 15,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December 30,</w:t>
            </w:r>
          </w:p>
        </w:tc>
      </w:tr>
      <w:tr>
        <w:trPr>
          <w:trHeight w:val="234"/>
        </w:trPr>
        <w:tc>
          <w:tcPr>
            <w:tcW w:w="4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4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Personal Lines: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Homeowners, dwelling fire and and canine legal liability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Percent ceded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r>
      <w:tr>
        <w:trPr>
          <w:trHeight w:val="418"/>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ind w:left="940"/>
              <w:spacing w:after="0"/>
              <w:rPr>
                <w:sz w:val="20"/>
                <w:szCs w:val="20"/>
                <w:color w:val="auto"/>
              </w:rPr>
            </w:pPr>
            <w:r>
              <w:rPr>
                <w:rFonts w:ascii="Arial" w:cs="Arial" w:eastAsia="Arial" w:hAnsi="Arial"/>
                <w:sz w:val="18"/>
                <w:szCs w:val="18"/>
                <w:b w:val="1"/>
                <w:bCs w:val="1"/>
                <w:color w:val="auto"/>
              </w:rPr>
              <w:t>Treaty Year</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December 15,</w:t>
            </w:r>
          </w:p>
        </w:tc>
        <w:tc>
          <w:tcPr>
            <w:tcW w:w="1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July 1, 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July 1, 2020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Arial" w:cs="Arial" w:eastAsia="Arial" w:hAnsi="Arial"/>
                <w:sz w:val="18"/>
                <w:szCs w:val="18"/>
                <w:b w:val="1"/>
                <w:bCs w:val="1"/>
                <w:color w:val="auto"/>
              </w:rPr>
              <w:t>to</w:t>
            </w:r>
          </w:p>
        </w:tc>
        <w:tc>
          <w:tcPr>
            <w:tcW w:w="18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2"/>
              </w:rPr>
              <w:t>to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June 30, 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2021</w:t>
            </w:r>
          </w:p>
        </w:tc>
        <w:tc>
          <w:tcPr>
            <w:tcW w:w="1620" w:type="dxa"/>
            <w:vAlign w:val="bottom"/>
            <w:gridSpan w:val="4"/>
          </w:tcPr>
          <w:p>
            <w:pPr>
              <w:spacing w:after="0"/>
              <w:rPr>
                <w:sz w:val="20"/>
                <w:szCs w:val="20"/>
                <w:color w:val="auto"/>
              </w:rPr>
            </w:pPr>
            <w:r>
              <w:rPr>
                <w:rFonts w:ascii="Arial" w:cs="Arial" w:eastAsia="Arial" w:hAnsi="Arial"/>
                <w:sz w:val="18"/>
                <w:szCs w:val="18"/>
                <w:b w:val="1"/>
                <w:bCs w:val="1"/>
                <w:color w:val="auto"/>
                <w:w w:val="98"/>
              </w:rPr>
              <w:t>December 30, 2020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June 30, 2020</w:t>
            </w:r>
          </w:p>
        </w:tc>
      </w:tr>
      <w:tr>
        <w:trPr>
          <w:trHeight w:val="385"/>
        </w:trPr>
        <w:tc>
          <w:tcPr>
            <w:tcW w:w="4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canine legal liability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Risk retained on intial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$1,000,000 of losses (7)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02"/>
        </w:trPr>
        <w:tc>
          <w:tcPr>
            <w:tcW w:w="460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gridSpan w:val="3"/>
          </w:tcPr>
          <w:p>
            <w:pPr>
              <w:ind w:left="620"/>
              <w:spacing w:after="0"/>
              <w:rPr>
                <w:sz w:val="20"/>
                <w:szCs w:val="20"/>
                <w:color w:val="auto"/>
              </w:rPr>
            </w:pPr>
            <w:r>
              <w:rPr>
                <w:rFonts w:ascii="Arial" w:cs="Arial" w:eastAsia="Arial" w:hAnsi="Arial"/>
                <w:sz w:val="18"/>
                <w:szCs w:val="18"/>
                <w:color w:val="auto"/>
              </w:rPr>
              <w:t>to quota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0" w:type="dxa"/>
            <w:vAlign w:val="bottom"/>
            <w:gridSpan w:val="3"/>
          </w:tcPr>
          <w:p>
            <w:pPr>
              <w:ind w:left="620"/>
              <w:spacing w:after="0"/>
              <w:rPr>
                <w:sz w:val="20"/>
                <w:szCs w:val="20"/>
                <w:color w:val="auto"/>
              </w:rPr>
            </w:pPr>
            <w:r>
              <w:rPr>
                <w:rFonts w:ascii="Arial" w:cs="Arial" w:eastAsia="Arial" w:hAnsi="Arial"/>
                <w:sz w:val="18"/>
                <w:szCs w:val="18"/>
                <w:color w:val="auto"/>
              </w:rPr>
              <w:t>reinsurance coverage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None (7)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None (7)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46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NA (7)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6"/>
              </w:rPr>
              <w:t>NA (7)</w:t>
            </w:r>
          </w:p>
        </w:tc>
        <w:tc>
          <w:tcPr>
            <w:tcW w:w="162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30, 2020</w:t>
            </w:r>
          </w:p>
        </w:tc>
        <w:tc>
          <w:tcPr>
            <w:tcW w:w="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9"/>
              </w:rPr>
              <w:t>December 30, 2020</w:t>
            </w:r>
          </w:p>
        </w:tc>
      </w:tr>
      <w:tr>
        <w:trPr>
          <w:trHeight w:val="202"/>
        </w:trPr>
        <w:tc>
          <w:tcPr>
            <w:tcW w:w="460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Excess of loss coverage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00" w:type="dxa"/>
            <w:vAlign w:val="bottom"/>
            <w:gridSpan w:val="3"/>
          </w:tcPr>
          <w:p>
            <w:pPr>
              <w:ind w:left="620"/>
              <w:spacing w:after="0"/>
              <w:rPr>
                <w:sz w:val="20"/>
                <w:szCs w:val="20"/>
                <w:color w:val="auto"/>
              </w:rPr>
            </w:pPr>
            <w:r>
              <w:rPr>
                <w:rFonts w:ascii="Arial" w:cs="Arial" w:eastAsia="Arial" w:hAnsi="Arial"/>
                <w:sz w:val="18"/>
                <w:szCs w:val="18"/>
                <w:color w:val="auto"/>
              </w:rPr>
              <w:t>facultative facility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coverage (1)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 excess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 excess of</w:t>
            </w:r>
          </w:p>
        </w:tc>
        <w:tc>
          <w:tcPr>
            <w:tcW w:w="18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in excess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in excess of</w:t>
            </w: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02"/>
        </w:trPr>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rPr>
              <w:t>Total reinsurance coverage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gridSpan w:val="3"/>
          </w:tcPr>
          <w:p>
            <w:pPr>
              <w:ind w:left="220"/>
              <w:spacing w:after="0"/>
              <w:rPr>
                <w:sz w:val="20"/>
                <w:szCs w:val="20"/>
                <w:color w:val="auto"/>
              </w:rPr>
            </w:pPr>
            <w:r>
              <w:rPr>
                <w:rFonts w:ascii="Arial" w:cs="Arial" w:eastAsia="Arial" w:hAnsi="Arial"/>
                <w:sz w:val="18"/>
                <w:szCs w:val="18"/>
                <w:color w:val="auto"/>
              </w:rPr>
              <w:t>per occurrence (7)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8,250,000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9,250,000</w:t>
            </w: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 reinsurance coverage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r>
      <w:tr>
        <w:trPr>
          <w:trHeight w:val="230"/>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Expiration date (7)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w w:val="96"/>
              </w:rPr>
              <w:t>June 30, 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color w:val="auto"/>
              </w:rPr>
              <w:t>June 30, 2021</w:t>
            </w:r>
          </w:p>
        </w:tc>
        <w:tc>
          <w:tcPr>
            <w:tcW w:w="180" w:type="dxa"/>
            <w:vAlign w:val="bottom"/>
          </w:tcPr>
          <w:p>
            <w:pPr>
              <w:spacing w:after="0"/>
              <w:rPr>
                <w:sz w:val="20"/>
                <w:szCs w:val="20"/>
                <w:color w:val="auto"/>
              </w:rPr>
            </w:pPr>
          </w:p>
        </w:tc>
        <w:tc>
          <w:tcPr>
            <w:tcW w:w="1440" w:type="dxa"/>
            <w:vAlign w:val="bottom"/>
            <w:gridSpan w:val="3"/>
          </w:tcPr>
          <w:p>
            <w:pPr>
              <w:ind w:left="260"/>
              <w:spacing w:after="0"/>
              <w:rPr>
                <w:sz w:val="20"/>
                <w:szCs w:val="20"/>
                <w:color w:val="auto"/>
              </w:rPr>
            </w:pPr>
            <w:r>
              <w:rPr>
                <w:rFonts w:ascii="Arial" w:cs="Arial" w:eastAsia="Arial" w:hAnsi="Arial"/>
                <w:sz w:val="18"/>
                <w:szCs w:val="18"/>
                <w:color w:val="auto"/>
              </w:rPr>
              <w:t>June 30, 2021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June 30, 2020</w:t>
            </w:r>
          </w:p>
        </w:tc>
      </w:tr>
      <w:tr>
        <w:trPr>
          <w:trHeight w:val="418"/>
        </w:trPr>
        <w:tc>
          <w:tcPr>
            <w:tcW w:w="4600" w:type="dxa"/>
            <w:vAlign w:val="bottom"/>
            <w:gridSpan w:val="3"/>
          </w:tcPr>
          <w:p>
            <w:pPr>
              <w:spacing w:after="0"/>
              <w:rPr>
                <w:sz w:val="20"/>
                <w:szCs w:val="20"/>
                <w:color w:val="auto"/>
              </w:rPr>
            </w:pPr>
            <w:r>
              <w:rPr>
                <w:rFonts w:ascii="Arial" w:cs="Arial" w:eastAsia="Arial" w:hAnsi="Arial"/>
                <w:sz w:val="18"/>
                <w:szCs w:val="18"/>
                <w:color w:val="auto"/>
              </w:rPr>
              <w:t>Catastrophe Reinsurance: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Initial loss subject to personal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lines quota share treaty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None (7)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4"/>
              </w:rPr>
              <w:t>None (7)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r>
      <w:tr>
        <w:trPr>
          <w:trHeight w:val="202"/>
        </w:trPr>
        <w:tc>
          <w:tcPr>
            <w:tcW w:w="46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Risk retained per catastrophe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occurrence (2) (7)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8,125,000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5,625,000</w:t>
            </w: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Catastrophe loss coverage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quota share coverage (3) (7)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475,000,000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602,500,000</w:t>
            </w:r>
          </w:p>
        </w:tc>
      </w:tr>
      <w:tr>
        <w:trPr>
          <w:trHeight w:val="202"/>
        </w:trPr>
        <w:tc>
          <w:tcPr>
            <w:tcW w:w="46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Reinstatement premium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protection (4) (5) (6)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Yes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Yes</w:t>
            </w:r>
          </w:p>
        </w:tc>
        <w:tc>
          <w:tcPr>
            <w:tcW w:w="180" w:type="dxa"/>
            <w:vAlign w:val="bottom"/>
          </w:tcPr>
          <w:p>
            <w:pPr>
              <w:spacing w:after="0"/>
              <w:rPr>
                <w:sz w:val="20"/>
                <w:szCs w:val="2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color w:val="auto"/>
                <w:w w:val="83"/>
              </w:rPr>
              <w:t>Yes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color w:val="auto"/>
                <w:w w:val="83"/>
              </w:rPr>
              <w:t>Yes</w:t>
            </w:r>
          </w:p>
        </w:tc>
      </w:tr>
    </w:tbl>
    <w:p>
      <w:pPr>
        <w:spacing w:after="0" w:line="202" w:lineRule="exact"/>
        <w:rPr>
          <w:sz w:val="20"/>
          <w:szCs w:val="20"/>
          <w:color w:val="auto"/>
        </w:rPr>
      </w:pPr>
    </w:p>
    <w:p>
      <w:pPr>
        <w:jc w:val="both"/>
        <w:ind w:left="340" w:right="2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personal lines, includes the addition of an automatic facultative facility allowing KICO to obtain homeowners single risk coverage up to $10,000,000 in total insured value, which covers direct losses from $3,500,000 to $10,000,000 through June 30, 2020. For the period July 1, 2020</w:t>
      </w:r>
    </w:p>
    <w:p>
      <w:pPr>
        <w:sectPr>
          <w:pgSz w:w="11900" w:h="16956" w:orient="portrait"/>
          <w:cols w:equalWidth="0" w:num="1">
            <w:col w:w="11240"/>
          </w:cols>
          <w:pgMar w:left="320" w:top="125" w:right="339" w:bottom="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through June 30, 2022, direct losses are covered up to $9,000,000.</w:t>
      </w:r>
    </w:p>
    <w:p>
      <w:pPr>
        <w:spacing w:after="0" w:line="23" w:lineRule="exact"/>
        <w:rPr>
          <w:sz w:val="20"/>
          <w:szCs w:val="20"/>
          <w:color w:val="auto"/>
        </w:rPr>
      </w:pPr>
    </w:p>
    <w:p>
      <w:pPr>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losses in excess of catastrophe coverage. For the period July 1, 2020 through December 30, 2020, there was no reinsurance coverage for the $2,500,000 gap between quota share limit of $7,500,000 and first $10,000,000 layer of catastrophe coverage (see note (7) below).</w:t>
      </w: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period July 1, 2019 through June 30, 2020, reinstatement premium protection for $292,500,000 of catastrophe coverage in excess of $7,500,000.</w:t>
      </w: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ind w:left="340" w:right="2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period July 1, 2021 through June 30, 2022, reinstatement premium protection for $70,000,000 of catastrophe coverage in excess of $10,000,000.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June 30, 2022 is only for excess of loss and catastrophe reinsurance.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Treaty Year</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July 1, 2021</w:t>
            </w: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July 1, 2020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July 1, 2019</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to</w:t>
            </w: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to</w:t>
            </w:r>
          </w:p>
        </w:tc>
      </w:tr>
      <w:tr>
        <w:trPr>
          <w:trHeight w:val="234"/>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June 30, 2022</w:t>
            </w:r>
          </w:p>
        </w:tc>
        <w:tc>
          <w:tcPr>
            <w:tcW w:w="14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June 30, 2020</w:t>
            </w:r>
          </w:p>
        </w:tc>
      </w:tr>
      <w:tr>
        <w:trPr>
          <w:trHeight w:val="385"/>
        </w:trPr>
        <w:tc>
          <w:tcPr>
            <w:tcW w:w="6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8"/>
        </w:trPr>
        <w:tc>
          <w:tcPr>
            <w:tcW w:w="6100" w:type="dxa"/>
            <w:vAlign w:val="bottom"/>
            <w:gridSpan w:val="3"/>
          </w:tcPr>
          <w:p>
            <w:pPr>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6100" w:type="dxa"/>
            <w:vAlign w:val="bottom"/>
            <w:gridSpan w:val="3"/>
          </w:tcPr>
          <w:p>
            <w:pPr>
              <w:ind w:left="420"/>
              <w:spacing w:after="0"/>
              <w:rPr>
                <w:sz w:val="20"/>
                <w:szCs w:val="20"/>
                <w:color w:val="auto"/>
              </w:rPr>
            </w:pPr>
            <w:r>
              <w:rPr>
                <w:rFonts w:ascii="Arial" w:cs="Arial" w:eastAsia="Arial" w:hAnsi="Arial"/>
                <w:sz w:val="18"/>
                <w:szCs w:val="18"/>
                <w:color w:val="auto"/>
              </w:rPr>
              <w:t>Percent ceded - excess of $1,000,000 of coverage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r>
      <w:tr>
        <w:trPr>
          <w:trHeight w:val="216"/>
        </w:trPr>
        <w:tc>
          <w:tcPr>
            <w:tcW w:w="6100" w:type="dxa"/>
            <w:vAlign w:val="bottom"/>
            <w:gridSpan w:val="3"/>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4,700,000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4,900,000</w:t>
            </w:r>
          </w:p>
        </w:tc>
      </w:tr>
      <w:tr>
        <w:trPr>
          <w:trHeight w:val="216"/>
        </w:trPr>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30"/>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June 30, 2022</w:t>
            </w:r>
          </w:p>
        </w:tc>
        <w:tc>
          <w:tcPr>
            <w:tcW w:w="1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2020</w:t>
            </w:r>
          </w:p>
        </w:tc>
      </w:tr>
      <w:tr>
        <w:trPr>
          <w:trHeight w:val="377"/>
        </w:trPr>
        <w:tc>
          <w:tcPr>
            <w:tcW w:w="6100" w:type="dxa"/>
            <w:vAlign w:val="bottom"/>
            <w:gridSpan w:val="3"/>
          </w:tcPr>
          <w:p>
            <w:pPr>
              <w:spacing w:after="0"/>
              <w:rPr>
                <w:sz w:val="20"/>
                <w:szCs w:val="20"/>
                <w:color w:val="auto"/>
              </w:rPr>
            </w:pPr>
            <w:r>
              <w:rPr>
                <w:rFonts w:ascii="Arial" w:cs="Arial" w:eastAsia="Arial" w:hAnsi="Arial"/>
                <w:sz w:val="18"/>
                <w:szCs w:val="18"/>
                <w:color w:val="auto"/>
              </w:rPr>
              <w:t>Commercial Lines (1):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64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100" w:type="dxa"/>
            <w:vAlign w:val="bottom"/>
            <w:gridSpan w:val="3"/>
          </w:tcPr>
          <w:p>
            <w:pPr>
              <w:spacing w:after="0"/>
              <w:rPr>
                <w:sz w:val="20"/>
                <w:szCs w:val="20"/>
                <w:color w:val="auto"/>
              </w:rPr>
            </w:pPr>
            <w:r>
              <w:rPr>
                <w:rFonts w:ascii="Arial" w:cs="Arial" w:eastAsia="Arial" w:hAnsi="Arial"/>
                <w:sz w:val="18"/>
                <w:szCs w:val="18"/>
                <w:color w:val="auto"/>
              </w:rPr>
              <w:t>General liability commercial policies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Risk retained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750,000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6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Excess of loss coverage above risk retained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in excess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16"/>
        </w:trPr>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3,750,000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6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4,500,000</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estimated ultimate treaty year loss ratios (the “Loss Ratio(s)”) for treaties in effect during the three months and six months ended June 30, 2020 are attributable to contracts under the 2019/2020 Treaty. There was no treaty in effect during the three months and six months ended June 30, 2021. In addition to the treaty that was in effect during the three months and six months ended June 30, 2020, the Loss Ratios from prior years’ treaties are subject to change as incurred losses from those periods increase or decrease, resulting in an increase or decrease in the commission rate and contingent ceding commissions earned.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Ceding commission revenue consists of the following:</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49,589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3,440,676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7,161,036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(3,848)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39,538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(50,412)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150,277</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45,741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3,480,214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44,676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7,311,313</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periodically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June 30, 2021 and December 31, 2020, net contingent ceding commissions payable to reinsurers under all treaties was approximately $2,026,000 and $2,604,000, respectively, which is recorded in reinsurance balances payable on the accompanying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June 30, 2021 and December 31, 2020,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ninety days of borrowing. The maximum allowable advance as of June 30, 2021 was approximately $12,480,000. Advances are limited to 85% of the amount of available collateral, which was approximately $9,211,000 as of June 30, 2021. There were no borrowings under this facility during the six months ended June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long-term debt as of June 30, 2021 and December 31, 2020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30,000,000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Discount</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(48,662)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(64,883)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(215,637)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(287,506)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4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29,735,701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29,647,611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0" w:type="dxa"/>
            <w:vAlign w:val="bottom"/>
            <w:vMerge w:val="restart"/>
          </w:tcPr>
          <w:p>
            <w:pPr>
              <w:jc w:val="right"/>
              <w:ind w:right="2890"/>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6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used an aggregate $28,256,335 of the net proceeds from the offering to contribute capital to KICO in order to support additional growth. The remainder of the net proceeds was used for general corporate purposes. A registration statement relating to the debt issued in the offering was filed with the SEC, which became effective on November 28,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on Common Stock were $854,272 and $1,103,400 for the six months ended June 30, 2021 and 2020, respectively. The Company’s Board of Directors approved a quarterly dividend on July 29, 2021 of $.04 per share payable in cash on September 15, 2021 to stockholders of record as of August 31, 2021 (see Note 13 -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ectPr>
          <w:pgSz w:w="11900" w:h="16838" w:orient="portrait"/>
          <w:cols w:equalWidth="0" w:num="1">
            <w:col w:w="11240"/>
          </w:cols>
          <w:pgMar w:left="320" w:top="125" w:right="339" w:bottom="25"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results of operations for the three months ended June 30, 2021 and 2020 include stock-based compensation expense for stock options totaling approximately $14,000 and $21,000, respectively. The results of operations for the six months ended June 30, 2021 and 2020 include stock-based compensation expense for stock options totaling approximately $29,000 and $38,000, respectively. Stock-based compensation expense related to stock options is net of estimated forfeitures of approximately 16% for the three months and six months ended June 30, 2021 and 2020. Such amounts have been included in the condensed consolidated statements of operations and comprehensive income (loss) within other operating expenses.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options were granted during the six months ended June 30, 2021. The weighted average estimated fair value of stock options granted during the six months ended June 30, 2020 was $2.40 per share. The fair value of stock options at the grant date was estimated using the Black-Scholes option-pricing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grants during the following periods:</w:t>
      </w:r>
    </w:p>
    <w:p>
      <w:pPr>
        <w:spacing w:after="0" w:line="221"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8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37.69%</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six months ended June 30,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80" w:type="dxa"/>
            <w:vAlign w:val="bottom"/>
          </w:tcPr>
          <w:p>
            <w:pPr>
              <w:spacing w:after="0"/>
              <w:rPr>
                <w:sz w:val="20"/>
                <w:szCs w:val="20"/>
                <w:color w:val="auto"/>
              </w:rPr>
            </w:pPr>
          </w:p>
        </w:tc>
        <w:tc>
          <w:tcPr>
            <w:tcW w:w="3240" w:type="dxa"/>
            <w:vAlign w:val="bottom"/>
          </w:tcPr>
          <w:p>
            <w:pPr>
              <w:ind w:left="1160"/>
              <w:spacing w:after="0"/>
              <w:rPr>
                <w:sz w:val="20"/>
                <w:szCs w:val="20"/>
                <w:color w:val="auto"/>
              </w:rPr>
            </w:pPr>
            <w:r>
              <w:rPr>
                <w:rFonts w:ascii="Arial" w:cs="Arial" w:eastAsia="Arial" w:hAnsi="Arial"/>
                <w:sz w:val="18"/>
                <w:szCs w:val="18"/>
                <w:b w:val="1"/>
                <w:bCs w:val="1"/>
                <w:color w:val="auto"/>
              </w:rPr>
              <w:t>Stock Options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12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2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119,966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2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28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2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2021</w:t>
            </w:r>
          </w:p>
        </w:tc>
        <w:tc>
          <w:tcPr>
            <w:tcW w:w="2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107,966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128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Exercisable at June 30, 2021</w:t>
            </w:r>
          </w:p>
        </w:tc>
        <w:tc>
          <w:tcPr>
            <w:tcW w:w="2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3240" w:type="dxa"/>
            <w:vAlign w:val="bottom"/>
            <w:tcBorders>
              <w:top w:val="single" w:sz="8" w:color="CCEEFF"/>
              <w:bottom w:val="single" w:sz="8" w:color="auto"/>
            </w:tcBorders>
          </w:tcPr>
          <w:p>
            <w:pPr>
              <w:spacing w:after="0"/>
              <w:rPr>
                <w:sz w:val="24"/>
                <w:szCs w:val="24"/>
                <w:color w:val="auto"/>
              </w:rPr>
            </w:pPr>
          </w:p>
        </w:tc>
        <w:tc>
          <w:tcPr>
            <w:tcW w:w="142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intrinsic value of options outstanding and options exercisable at June 30, 2021 is calculated as the difference between the exercise price of the underlying options and the market price of the Company’s Common Stock for the options that had exercise prices that were lower than the $7.80 closing price of the Company’s Common Stock on June 30, 2021. No options were exercised during the six months ended June 30, 2021. The total intrinsic value of options expired during the six months ended June 30, 2021 was $-0-, determined as of the date of expiration.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the estimated fair value of unamortized compensation cost related to unvested stock option awards was approximately $36,000.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Unamortized compensation cost as of June 30, 2021 is expected to be recognized over a remaining weighted-average vesting period of 0.82 years.</w:t>
      </w:r>
    </w:p>
    <w:p>
      <w:pPr>
        <w:sectPr>
          <w:pgSz w:w="11900" w:h="16838" w:orient="portrait"/>
          <w:cols w:equalWidth="0" w:num="1">
            <w:col w:w="11240"/>
          </w:cols>
          <w:pgMar w:left="320" w:top="125" w:right="339" w:bottom="0" w:gutter="0" w:footer="0" w:header="0"/>
        </w:sectPr>
      </w:pPr>
    </w:p>
    <w:bookmarkStart w:id="20" w:name="page21"/>
    <w:bookmarkEnd w:id="20"/>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504,376 shares reserved for grants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Company’s 2014 Plan for the six months ended June 30,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 per</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Aggregate</w:t>
            </w:r>
          </w:p>
        </w:tc>
      </w:tr>
      <w:tr>
        <w:trPr>
          <w:trHeight w:val="234"/>
        </w:trPr>
        <w:tc>
          <w:tcPr>
            <w:tcW w:w="7280" w:type="dxa"/>
            <w:vAlign w:val="bottom"/>
          </w:tcPr>
          <w:p>
            <w:pPr>
              <w:ind w:left="2700"/>
              <w:spacing w:after="0"/>
              <w:rPr>
                <w:sz w:val="20"/>
                <w:szCs w:val="20"/>
                <w:color w:val="auto"/>
              </w:rPr>
            </w:pPr>
            <w:r>
              <w:rPr>
                <w:rFonts w:ascii="Arial" w:cs="Arial" w:eastAsia="Arial" w:hAnsi="Arial"/>
                <w:sz w:val="18"/>
                <w:szCs w:val="18"/>
                <w:b w:val="1"/>
                <w:bCs w:val="1"/>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r>
      <w:tr>
        <w:trPr>
          <w:trHeight w:val="209"/>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370,964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3,990,999</w:t>
            </w: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321,335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2,233,366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(99,123)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(916,198)</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5,308,167</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was calculated using the closing price of the Company’s Common Stock on the grant date. For the three months ended June 30, 2021 and 2020, stock-based compensation for these grants was approximately $472,000 and $434,000, respectively, which is included in other operating expenses on the accompanying condensed consolidated statements of operations and comprehensive income (loss). For the six months ended June 30, 2021 and 2020, stock-based compensation for these grants was approximately $952,000 and $905,000,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6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360" w:type="dxa"/>
            <w:vAlign w:val="bottom"/>
          </w:tcPr>
          <w:p>
            <w:pPr>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Claims reserve discount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955,790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838,030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3,908,439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3,880,275</w:t>
            </w: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17,763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19,639</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651,819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5,533,811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5,386,635</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KICO (2)</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759,543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759,543</w:t>
            </w: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Deferred acquisition costs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4,189,701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4,229,928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796,799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954,446</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gains of securities - available-for-sale</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3,696,296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3,494,631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9,547,339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9,543,548</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(4,013,528)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(4,156,913)</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w w:val="92"/>
              </w:rPr>
              <w:t>(1)  The deferred tax assets from net operating loss carryovers (“NOL”) are as follows:</w:t>
            </w: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680"/>
              <w:spacing w:after="0"/>
              <w:rPr>
                <w:sz w:val="20"/>
                <w:szCs w:val="20"/>
                <w:color w:val="auto"/>
              </w:rPr>
            </w:pPr>
            <w:r>
              <w:rPr>
                <w:rFonts w:ascii="Arial" w:cs="Arial" w:eastAsia="Arial" w:hAnsi="Arial"/>
                <w:sz w:val="18"/>
                <w:szCs w:val="18"/>
                <w:b w:val="1"/>
                <w:bCs w:val="1"/>
                <w:color w:val="auto"/>
              </w:rPr>
              <w:t>Type of NOL</w:t>
            </w:r>
          </w:p>
        </w:tc>
        <w:tc>
          <w:tcPr>
            <w:tcW w:w="120" w:type="dxa"/>
            <w:vAlign w:val="bottom"/>
          </w:tcPr>
          <w:p>
            <w:pPr>
              <w:spacing w:after="0"/>
              <w:rPr>
                <w:sz w:val="20"/>
                <w:szCs w:val="20"/>
                <w:color w:val="auto"/>
              </w:rPr>
            </w:pPr>
          </w:p>
        </w:tc>
        <w:tc>
          <w:tcPr>
            <w:tcW w:w="1440" w:type="dxa"/>
            <w:vAlign w:val="bottom"/>
          </w:tcPr>
          <w:p>
            <w:pPr>
              <w:ind w:left="200"/>
              <w:spacing w:after="0"/>
              <w:rPr>
                <w:sz w:val="20"/>
                <w:szCs w:val="20"/>
                <w:color w:val="auto"/>
              </w:rPr>
            </w:pPr>
            <w:r>
              <w:rPr>
                <w:rFonts w:ascii="Arial" w:cs="Arial" w:eastAsia="Arial" w:hAnsi="Arial"/>
                <w:sz w:val="18"/>
                <w:szCs w:val="18"/>
                <w:b w:val="1"/>
                <w:bCs w:val="1"/>
                <w:color w:val="auto"/>
              </w:rPr>
              <w:t>June 30, 2021</w:t>
            </w:r>
          </w:p>
        </w:tc>
        <w:tc>
          <w:tcPr>
            <w:tcW w:w="16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09"/>
        </w:trPr>
        <w:tc>
          <w:tcPr>
            <w:tcW w:w="6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21" w:name="page22"/>
    <w:bookmarkEnd w:id="21"/>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current year (A)</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1,200,056</w:t>
            </w:r>
          </w:p>
        </w:tc>
        <w:tc>
          <w:tcPr>
            <w:tcW w:w="1440" w:type="dxa"/>
            <w:vAlign w:val="bottom"/>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NOL carried back</w:t>
            </w: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(1,200,056)</w:t>
            </w:r>
          </w:p>
        </w:tc>
        <w:tc>
          <w:tcPr>
            <w:tcW w:w="144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9"/>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current year</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None</w:t>
            </w:r>
          </w:p>
        </w:tc>
      </w:tr>
      <w:tr>
        <w:trPr>
          <w:trHeight w:val="210"/>
        </w:trPr>
        <w:tc>
          <w:tcPr>
            <w:tcW w:w="128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202"/>
        </w:trPr>
        <w:tc>
          <w:tcPr>
            <w:tcW w:w="4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State only (B)</w:t>
            </w:r>
          </w:p>
        </w:tc>
        <w:tc>
          <w:tcPr>
            <w:tcW w:w="1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88"/>
              </w:rPr>
              <w:t>December 31,</w:t>
            </w:r>
          </w:p>
        </w:tc>
      </w:tr>
      <w:tr>
        <w:trPr>
          <w:trHeight w:val="230"/>
        </w:trPr>
        <w:tc>
          <w:tcPr>
            <w:tcW w:w="128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1,993,964</w:t>
            </w: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1,815,546</w:t>
            </w:r>
          </w:p>
        </w:tc>
        <w:tc>
          <w:tcPr>
            <w:tcW w:w="14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2040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(1,993,964)</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(1,815,546)</w:t>
            </w:r>
          </w:p>
        </w:tc>
        <w:tc>
          <w:tcPr>
            <w:tcW w:w="1440" w:type="dxa"/>
            <w:vAlign w:val="bottom"/>
          </w:tcPr>
          <w:p>
            <w:pPr>
              <w:spacing w:after="0"/>
              <w:rPr>
                <w:sz w:val="18"/>
                <w:szCs w:val="18"/>
                <w:color w:val="auto"/>
              </w:rPr>
            </w:pPr>
          </w:p>
        </w:tc>
      </w:tr>
      <w:tr>
        <w:trPr>
          <w:trHeight w:val="210"/>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16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22"/>
                <w:szCs w:val="22"/>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358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jc w:val="right"/>
              <w:ind w:right="670"/>
              <w:spacing w:after="0"/>
              <w:rPr>
                <w:sz w:val="20"/>
                <w:szCs w:val="20"/>
                <w:color w:val="auto"/>
              </w:rPr>
            </w:pPr>
            <w:r>
              <w:rPr>
                <w:rFonts w:ascii="Arial" w:cs="Arial" w:eastAsia="Arial" w:hAnsi="Arial"/>
                <w:sz w:val="18"/>
                <w:szCs w:val="18"/>
                <w:color w:val="auto"/>
              </w:rPr>
              <w:t>33</w:t>
            </w:r>
          </w:p>
        </w:tc>
        <w:tc>
          <w:tcPr>
            <w:tcW w:w="3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4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29" w:lineRule="exact"/>
        <w:rPr>
          <w:sz w:val="20"/>
          <w:szCs w:val="20"/>
          <w:color w:val="auto"/>
        </w:rPr>
      </w:pPr>
    </w:p>
    <w:p>
      <w:pPr>
        <w:jc w:val="both"/>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27, 2020, the Coronavirus Aid, Relief, and Economic Security (CARES) Act was signed into law, allowing for a five year carryback of 2020 and 2019 NOLs. The Company elected on its 2019 federal income tax return to carry back the 2019 NOL to tax years 2014 and 2015. The Company will elect on its 2020 federal income tax return to carry back the 2020 NOL to tax year 2015. The corporate tax rate in 2014 and 2015 was 34%, compared to the corporate tax rate of 21% in 2020 and 2019.</w:t>
      </w:r>
    </w:p>
    <w:p>
      <w:pPr>
        <w:spacing w:after="0" w:line="186" w:lineRule="exact"/>
        <w:rPr>
          <w:rFonts w:ascii="Arial" w:cs="Arial" w:eastAsia="Arial" w:hAnsi="Arial"/>
          <w:sz w:val="18"/>
          <w:szCs w:val="18"/>
          <w:color w:val="auto"/>
        </w:rPr>
      </w:pPr>
    </w:p>
    <w:p>
      <w:pPr>
        <w:jc w:val="both"/>
        <w:ind w:left="460" w:hanging="452"/>
        <w:spacing w:after="0" w:line="29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June 30, 2021 and December 31, 2020 was approximately $30,676,000 and $27,931,000, respectively. KICO, the Company’s insurance underwriting subsidiary, is not subject to state income taxes. KICO’s state tax obligations are paid through a gross premiums tax, which is included in the consolidated statements of operations and comprehensive loss within other underwriting expenses. Kingstone has recorded a valuation allowance due to the uncertainty of generating enough state taxable income to utilize 100% of the available state NOLs over their remaining lives, which expire between 2027 and 2041.</w:t>
      </w:r>
    </w:p>
    <w:p>
      <w:pPr>
        <w:spacing w:after="0" w:line="16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25" w:lineRule="exact"/>
        <w:rPr>
          <w:rFonts w:ascii="Arial" w:cs="Arial" w:eastAsia="Arial" w:hAnsi="Arial"/>
          <w:sz w:val="18"/>
          <w:szCs w:val="18"/>
          <w:color w:val="auto"/>
        </w:rPr>
      </w:pPr>
    </w:p>
    <w:p>
      <w:pPr>
        <w:jc w:val="both"/>
        <w:ind w:left="460"/>
        <w:spacing w:after="0" w:line="269" w:lineRule="auto"/>
        <w:rPr>
          <w:rFonts w:ascii="Arial" w:cs="Arial" w:eastAsia="Arial" w:hAnsi="Arial"/>
          <w:sz w:val="18"/>
          <w:szCs w:val="18"/>
          <w:color w:val="auto"/>
        </w:rPr>
      </w:pPr>
      <w:r>
        <w:rPr>
          <w:rFonts w:ascii="Arial" w:cs="Arial" w:eastAsia="Arial" w:hAnsi="Arial"/>
          <w:sz w:val="17"/>
          <w:szCs w:val="17"/>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2021 and 2020. If any had been recognized these would have been reported in income tax expense.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2017 through December 31, 2019 remain subject to examination.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earnings/(loss) per common share is computed by dividing income/(loss) available to common shareholders by the weighted-average number of shares of Common Stock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Stock during the periods presented.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computation of diluted earnings/(loss) per common share excludes outstanding options in periods where the exercise of such options would be anti-dilutive. For the six months ended June 30, 2021, no options were included in the computation of diluted earnings per common share as they would have been anti-dilutive for the relevant periods and, as a result, the weighted average number of shares of Common Stock used in the calculation of diluted earnings per common share has not been adjusted for the effect of such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weighted average number of shares of Common Stock used in the calculation of basic and diluted earnings/(loss) per common share follows:</w:t>
      </w:r>
    </w:p>
    <w:p>
      <w:pPr>
        <w:spacing w:after="0" w:line="166" w:lineRule="exact"/>
        <w:rPr>
          <w:sz w:val="20"/>
          <w:szCs w:val="20"/>
          <w:color w:val="auto"/>
        </w:rPr>
      </w:pPr>
    </w:p>
    <w:tbl>
      <w:tblPr>
        <w:tblLayout w:type="fixed"/>
        <w:tblInd w:w="6060" w:type="dxa"/>
        <w:tblCellMar>
          <w:top w:w="0" w:type="dxa"/>
          <w:left w:w="0" w:type="dxa"/>
          <w:bottom w:w="0" w:type="dxa"/>
          <w:right w:w="0" w:type="dxa"/>
        </w:tblCellMar>
      </w:tblPr>
      <w:tr>
        <w:trPr>
          <w:trHeight w:val="21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w:t>
            </w:r>
          </w:p>
        </w:tc>
      </w:tr>
    </w:tbl>
    <w:p>
      <w:pPr>
        <w:sectPr>
          <w:pgSz w:w="11900" w:h="16864" w:orient="portrait"/>
          <w:cols w:equalWidth="0" w:num="1">
            <w:col w:w="11240"/>
          </w:cols>
          <w:pgMar w:left="320" w:top="140" w:right="3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10,670,831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10,733,354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10,673,550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10,770,598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awards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175,893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136,374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number of shares outstanding, used for computing diluted</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10,846,724</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10,734,784</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10,809,924</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10,770,598</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earnings per share</w:t>
            </w:r>
          </w:p>
        </w:tc>
        <w:tc>
          <w:tcPr>
            <w:tcW w:w="13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has a term of seven years and two months expiring December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Six months ended</w:t>
            </w:r>
          </w:p>
        </w:tc>
      </w:tr>
      <w:tr>
        <w:trPr>
          <w:trHeight w:val="234"/>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Lease cost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2021</w:t>
            </w:r>
          </w:p>
        </w:tc>
        <w:tc>
          <w:tcPr>
            <w:tcW w:w="160" w:type="dxa"/>
            <w:vAlign w:val="bottom"/>
          </w:tcPr>
          <w:p>
            <w:pPr>
              <w:spacing w:after="0"/>
              <w:rPr>
                <w:sz w:val="20"/>
                <w:szCs w:val="20"/>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117,977</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Short-term leases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cost (1)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117,977</w:t>
            </w:r>
          </w:p>
        </w:tc>
      </w:tr>
      <w:tr>
        <w:trPr>
          <w:trHeight w:val="197"/>
        </w:trPr>
        <w:tc>
          <w:tcPr>
            <w:tcW w:w="7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Cash payments included in the measurement of lease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 reported in operating cash flows</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131,510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Remaining lease term in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 years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 years</w:t>
            </w:r>
          </w:p>
        </w:tc>
      </w:tr>
    </w:tbl>
    <w:p>
      <w:pPr>
        <w:spacing w:after="0" w:line="202" w:lineRule="exact"/>
        <w:rPr>
          <w:sz w:val="20"/>
          <w:szCs w:val="20"/>
          <w:color w:val="auto"/>
        </w:rPr>
      </w:pPr>
    </w:p>
    <w:p>
      <w:pPr>
        <w:ind w:left="340" w:right="1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the condensed consolidated statements of operations and comprehensive income (loss) within other underwriting expenses for KICO and within other operating expenses for Cosi.</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June 30, 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9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rPr>
              <w:t>For the Year Ending December 31,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133,061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273,831</w:t>
            </w: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283,415</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140,739</w:t>
            </w: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94,799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tcPr>
          <w:p>
            <w:pPr>
              <w:spacing w:after="0"/>
              <w:rPr>
                <w:sz w:val="18"/>
                <w:szCs w:val="18"/>
                <w:color w:val="auto"/>
              </w:rPr>
            </w:pPr>
          </w:p>
        </w:tc>
      </w:tr>
      <w:tr>
        <w:trPr>
          <w:trHeight w:val="209"/>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1,023,962</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152,191</w:t>
            </w:r>
          </w:p>
        </w:tc>
        <w:tc>
          <w:tcPr>
            <w:tcW w:w="100" w:type="dxa"/>
            <w:vAlign w:val="bottom"/>
          </w:tcPr>
          <w:p>
            <w:pPr>
              <w:spacing w:after="0"/>
              <w:rPr>
                <w:sz w:val="18"/>
                <w:szCs w:val="18"/>
                <w:color w:val="auto"/>
              </w:rPr>
            </w:pPr>
          </w:p>
        </w:tc>
      </w:tr>
      <w:tr>
        <w:trPr>
          <w:trHeight w:val="249"/>
        </w:trPr>
        <w:tc>
          <w:tcPr>
            <w:tcW w:w="9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871,771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Rent expense for the three months ended June 30, 2021 and 2020 amounted to $58,988 and $61,297, respectively. Rent expense for the six months ended June 30, 2021 and 2020 amounted to $117,977 and $122,594, respectively. Rent expense is included in the accompanying condensed consolidated statements of operations and comprehensive income (loss) within other underwriting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ectPr>
          <w:pgSz w:w="11900" w:h="16838" w:orient="portrait"/>
          <w:cols w:equalWidth="0" w:num="1">
            <w:col w:w="11240"/>
          </w:cols>
          <w:pgMar w:left="320" w:top="121" w:right="339" w:bottom="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Amended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the first anniversary of the grant date and will vest with respect to one-third of the award on each of the second anniversary of the grant date and December 31, 2022 based on the continued provision of services through the applicable vesting date. Also pursuant to the Amended Employment Agreement, Mr. Goldstein received a grant, under the terms of the 2014 Plan, during January 2021, of 230,769 shares of restricted stock determined by dividing $1,500,000 by the fair market value of the Company’s Common Stock on the date of grant. This 2021 grant will vest with respect to one-half of the award on each of the first anniversary of the grant date and on December 31, 2022 based on the continued provision of services through the applicable vesting date. Further, pursuant to the Amended Employment Agreement, Mr. Goldstein received in 2020 and 2021, and will be entitled to receive during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the first anniversary of the grant date and will vest with respect to one-third of the award on each of the second anniversary of the grant date and on December 31, 2022 based on the continued provision of services through the applicable vesting date. In January 2021, Mr. Goldstein was granted 21,000 shares of restricted stock pursuant to the provision. This grant will vest with respect to one-half of the award on each of the first anniversary of the grant date and on December 31, 2022 based on the continued provision of services through the applicable vesting date. The 2022 grant will vest on December 31, 2022 based on the continued provision of services through such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his separation from employment, each of the Company and KICO entered into an Agreement and General Release (the “Separation Agreement”) with Mr. Thatcher. Pursuant to the Separation Agreement, the Company and KICO provided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 (ii) $5,000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(the “Shares”) (Mr. Thatcher shall not be entitled to any further grants of stock awards after the Separation Date).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27, 2021, the Company entered into an agreement (the “Relinquishment Agreement”) with Mr. Thatcher. Pursuant to the Relinquishment Agreement, Mr. Thatcher relinquished his right to receive 14,077 unissued Shares which vested on January 1, 2021, the right to receive 11,905 Shares which were scheduled to vest on March 14, 2021 and the right to receive 14,076 Shares which were scheduled to vest on January 1, 2022 in full consideration of the payment by the Company of an aggregate of $280,406.In addition, the Company and KICO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September 16, 2019, the Company and Meryl Golden entered into an employment agreement (the “Golden Employment Agreement”) pursuant to which Ms. Golden serves as the Company’s Chief Operating Officer. Ms. Golden also serves as KICO’s Chief Operating Officer. The Golden Employment</w:t>
      </w:r>
    </w:p>
    <w:p>
      <w:pPr>
        <w:sectPr>
          <w:pgSz w:w="11900" w:h="16838" w:orient="portrait"/>
          <w:cols w:equalWidth="0" w:num="1">
            <w:col w:w="11240"/>
          </w:cols>
          <w:pgMar w:left="320" w:top="125" w:right="339" w:bottom="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Agreement became effective as of September 25, 2019 (amended on December 24, 2020) and now expires on December 31, 2022.</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Golden Employment Agreement, Ms. Golden is entitled to receive an annual salary of $500,000. The Golden Employment also provides for the grant on the effective date of a five year option for the purchase of 50,000 shares of the Company’s Common Stock pursuant to the 2014 Plan. The options granted vest in four equal installments, with the first installment vesting on the grant date, and the remaining installments vesting on the first, second, and third anniversaries of the grant date, subject to the terms of the stock option agreement between the Company and Ms. Golden. In January 2021, pursuant to the Golden Employment Agreement as amended, Ms. Golden was granted 30,000 shares of restricted Common Stock pursuant to the 2014 Plan and will be entitled to receive in January 2022 an additional grant of 30,000 shares of restricted Common Stock pursuant to the 2014 Plan. Each such grant will vest in three equal installments on each of the first, second and third anniversaries of the grant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outbreak of the coronavirus, also known as “COVID-19”, has spread across the globe and is impacting worldwide economic activity. Conditions surrounding the coronavirus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prevent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Deferred Compensation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June 30, 2021 and December 31, 2020 amounted to $826,626 and $763,789, respectively, and is recorded in accounts payable, accrued expenses and other liabilities in the accompanying condensed consolidated balance sheets. The Company did not make any voluntary contributions for the six months ended June 20,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events that occurred subsequent to June 30, 2021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July 1, 2021, the Company entered into new excess of loss and catastrophe reinsurance treaties (see Note 6 - Property and Casualty Insurance Activity - “Reinsurance”).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M. Best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6, 2021, KICO’s A.M. Best financial strength rating was downgraded from B++ (Good) to B+ (Good) and its long-term issuer credit rating (“Long-Term ICR”) was downgraded from “bbb” to “bbb-”. Concurrently, A.M. Best also downgraded the Company’s Long-Term ICR from “bb” to “bb-”. Also downgraded was the long-term issue credit rating on the Company’s $30.0 million 5.50% senior unsecured notes due 2022 from “bb” to “bb-”.</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19, 2021, the Company’s Board of Directors adopted the Employee Stock Purchase Plan (the “Purchase Plan”), subject to stockholder approval. Such approval was obtained on August 10, 2021. The purpose of the Purchase Plan is to provide eligible employees of the Company with an opportunity to use payroll deductions to purchase shares of Common Stock of the Company. The maximum number of shares of Common Stock that may be purchased under the Purchase Plan is 750,000, subject to adjustment as provided for in the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29, 2021, the Company’s Board of Directors approved a quarterly dividend of $0.04 per share payable in cash on September 15, 2021 to stockholders of record as of the close of business on August 31, 2021 (see Note 8 - Stockholders’ Equity).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9"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w:t>
      </w:r>
    </w:p>
    <w:p>
      <w:pPr>
        <w:sectPr>
          <w:pgSz w:w="11900" w:h="16838" w:orient="portrait"/>
          <w:cols w:equalWidth="0" w:num="1">
            <w:col w:w="11240"/>
          </w:cols>
          <w:pgMar w:left="320" w:top="125" w:right="339" w:bottom="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writing business in New Jersey, Rhode Island, Connecticut and Massachusetts. We are licensed in the States of New York, New Jersey, Rhode Island, Connecticut, Massachusetts, Pennsylvania, Maine, and New Hampshire. For the three months and six months ended June 30, 2021, respectively, 79.8% and 76.3% of KICO’s direct written premiums came from the New York policies.</w:t>
      </w:r>
    </w:p>
    <w:p>
      <w:pPr>
        <w:spacing w:after="0" w:line="184" w:lineRule="exact"/>
        <w:rPr>
          <w:sz w:val="20"/>
          <w:szCs w:val="20"/>
          <w:color w:val="auto"/>
        </w:rPr>
      </w:pPr>
    </w:p>
    <w:p>
      <w:pPr>
        <w:jc w:val="both"/>
        <w:ind w:firstLine="607"/>
        <w:spacing w:after="0" w:line="296"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Cosi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61"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77"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8" w:lineRule="exact"/>
        <w:rPr>
          <w:sz w:val="20"/>
          <w:szCs w:val="20"/>
          <w:color w:val="auto"/>
        </w:rPr>
      </w:pPr>
    </w:p>
    <w:p>
      <w:pPr>
        <w:jc w:val="both"/>
        <w:ind w:right="20" w:firstLine="607"/>
        <w:spacing w:after="0" w:line="263"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170"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1"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June 30, 2021 there are no commercial liability policies in-force. As of June 30, 2021, these expired policies represent approximately 26.5% of loss and LAE reserves net of reinsurance recoverables. See discussion below under “Additional Financial Information”.</w:t>
      </w:r>
    </w:p>
    <w:p>
      <w:pPr>
        <w:spacing w:after="0" w:line="176"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the ratio of net losses and LAE incurred to net premiums earned.</w:t>
      </w:r>
    </w:p>
    <w:p>
      <w:pPr>
        <w:spacing w:after="0" w:line="170"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underwriting expense ratios. If the net combined ratio is at or above 100 percent, an insurance company cannot be profitable without investment income, and may not be profitable if investment income is insufficient.</w:t>
      </w:r>
    </w:p>
    <w:p>
      <w:pPr>
        <w:sectPr>
          <w:pgSz w:w="11900" w:h="16838" w:orient="portrait"/>
          <w:cols w:equalWidth="0" w:num="1">
            <w:col w:w="11240"/>
          </w:cols>
          <w:pgMar w:left="320" w:top="125" w:right="339" w:bottom="0" w:gutter="0" w:footer="0" w:header="0"/>
        </w:sectPr>
      </w:pPr>
    </w:p>
    <w:bookmarkStart w:id="26" w:name="page27"/>
    <w:bookmarkEnd w:id="26"/>
    <w:p>
      <w:pPr>
        <w:jc w:val="both"/>
        <w:ind w:firstLine="607"/>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8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88"/>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(13,435)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68,114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51,281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16,833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quota share treaties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(3,080)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3,055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84,681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84,724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16,448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7,311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gains (losses) on investments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(3,746)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9,022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18,161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44,096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37,081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7,015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4,783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Losses from catastrophes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loss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5940" w:type="dxa"/>
            <w:vAlign w:val="bottom"/>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43,214</w:t>
            </w: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27,489</w:t>
            </w:r>
          </w:p>
        </w:tc>
        <w:tc>
          <w:tcPr>
            <w:tcW w:w="34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15,725</w:t>
            </w:r>
          </w:p>
        </w:tc>
        <w:tc>
          <w:tcPr>
            <w:tcW w:w="104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from catastrophes (1)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420"/>
              <w:spacing w:after="0"/>
              <w:rPr>
                <w:sz w:val="20"/>
                <w:szCs w:val="20"/>
                <w:color w:val="auto"/>
              </w:rPr>
            </w:pPr>
            <w:r>
              <w:rPr>
                <w:rFonts w:ascii="Arial" w:cs="Arial" w:eastAsia="Arial" w:hAnsi="Arial"/>
                <w:sz w:val="18"/>
                <w:szCs w:val="18"/>
                <w:color w:val="auto"/>
              </w:rPr>
              <w:t>Net loss and loss adjustment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29,199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14,121</w:t>
            </w:r>
          </w:p>
        </w:tc>
        <w:tc>
          <w:tcPr>
            <w:tcW w:w="104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09"/>
        </w:trPr>
        <w:tc>
          <w:tcPr>
            <w:tcW w:w="59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16,509</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15,616</w:t>
            </w: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893</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2,286</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2,326</w:t>
            </w: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15,347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0"/>
        </w:trPr>
        <w:tc>
          <w:tcPr>
            <w:tcW w:w="59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taxes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2,816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968</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31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six months ended June 30, 2021 and 2020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10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Point Change</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425"/>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r>
      <w:tr>
        <w:trPr>
          <w:trHeight w:val="216"/>
        </w:trPr>
        <w:tc>
          <w:tcPr>
            <w:tcW w:w="590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0"/>
        </w:trPr>
        <w:tc>
          <w:tcPr>
            <w:tcW w:w="1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Direct written premiums during the six months ended June 30, 2021 (“Six Months 2021”) were $82,745,000 compared to $79,347,000 during the six months ended June 30, 2020 (“Six Months 2020”). The increase of $3,398,000, or 4.3%, was primarily due an increase in premiums from our personal lines business. Direct written premiums from our personal lines business for Six Months 2021 were $78,608,000, an increase of $2,650,000, or 3.5%, from $75,958,000 in Six Months 2020. Direct written premiums from our livery physical damage business for Six Months 2021 were $4,023,000, an increase of $602,000, or 17.6%, from $3,421,000 in Six Months 2020. The increase in livery physical damage direct written premiums is due to the declining effect of the Covid-19 pandemic in our geographic area.</w:t>
      </w:r>
    </w:p>
    <w:p>
      <w:pPr>
        <w:spacing w:after="0" w:line="192"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$19,571,000 in Six Months 2021 compared to $15,096,000 in Six Months 2020. Direct written premiums from our Core business were $63,173,000 in Six Months 2021 compared to $64,251,000 in Six Months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7"/>
          <w:szCs w:val="17"/>
          <w:color w:val="auto"/>
        </w:rPr>
        <w:t>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Six Months 2020 also included the run-off of the personal lines quota share treaty (“2018/2019 Treaty”) that expired on June 30, 2019. The run-off covered the period from July 1, 2019 through June 30, 2020 (“2019/2020 Run-Off”). The following table describes the quota share reinsurance ceding rates in effect during Six Months 2021 and Six Months 2020. This table should be referred to in conjunction with the discussions for net written premiums, net premiums earned, ceding commission revenue and net loss and loss adjustment expenses that follow.</w:t>
      </w:r>
    </w:p>
    <w:p>
      <w:pPr>
        <w:spacing w:after="0" w:line="173" w:lineRule="exact"/>
        <w:rPr>
          <w:sz w:val="20"/>
          <w:szCs w:val="20"/>
          <w:color w:val="auto"/>
        </w:rPr>
      </w:pPr>
    </w:p>
    <w:p>
      <w:pPr>
        <w:ind w:left="8940"/>
        <w:spacing w:after="0"/>
        <w:rPr>
          <w:sz w:val="20"/>
          <w:szCs w:val="20"/>
          <w:color w:val="auto"/>
        </w:rPr>
      </w:pPr>
      <w:r>
        <w:rPr>
          <w:rFonts w:ascii="Arial" w:cs="Arial" w:eastAsia="Arial" w:hAnsi="Arial"/>
          <w:sz w:val="17"/>
          <w:szCs w:val="17"/>
          <w:b w:val="1"/>
          <w:bCs w:val="1"/>
          <w:color w:val="auto"/>
        </w:rPr>
        <w:t>Six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425"/>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Quota share reinsurance rates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ind w:left="220"/>
              <w:spacing w:after="0"/>
              <w:rPr>
                <w:sz w:val="20"/>
                <w:szCs w:val="20"/>
                <w:color w:val="auto"/>
              </w:rPr>
            </w:pPr>
            <w:r>
              <w:rPr>
                <w:rFonts w:ascii="Arial" w:cs="Arial" w:eastAsia="Arial" w:hAnsi="Arial"/>
                <w:sz w:val="18"/>
                <w:szCs w:val="18"/>
                <w:color w:val="auto"/>
              </w:rPr>
              <w:t>2019/2020 Treaty</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25% (1)</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2018/2019 Treaty</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2019/2020 Treaty was effective from December 15, 2019 through December 30, 2020 with a quota share reinsurance rate of 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2018/2019 Treaty expired on a run-off basis from July 1, 2019 through June 30,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173" w:gutter="0" w:footer="0" w:header="0"/>
        </w:sectPr>
      </w:pPr>
    </w:p>
    <w:bookmarkStart w:id="28" w:name="page29"/>
    <w:bookmarkEnd w:id="28"/>
    <w:p>
      <w:pPr>
        <w:jc w:val="both"/>
        <w:ind w:firstLine="607"/>
        <w:spacing w:after="0" w:line="290" w:lineRule="auto"/>
        <w:rPr>
          <w:sz w:val="20"/>
          <w:szCs w:val="20"/>
          <w:color w:val="auto"/>
        </w:rPr>
      </w:pPr>
      <w:r>
        <w:rPr>
          <w:rFonts w:ascii="Arial" w:cs="Arial" w:eastAsia="Arial" w:hAnsi="Arial"/>
          <w:sz w:val="16"/>
          <w:szCs w:val="16"/>
          <w:color w:val="auto"/>
        </w:rPr>
        <w:t>Net written premiums increased $16,833,000, or 32.8%, to $68,114,000 in Six Months 2021 from $51,281,000 in Six Months 2020. Net written premiums include direct and assumed premiums, less the amount of written premiums ceded under our reinsurance treaties (quota share, excess of loss, and catastrophe). The increase in net written premiums in Six Months 2021 was attributable to the expiration of the 2019/2020 Treaty on December 30, 2020 on a cut-off basis (see table above). In Six Months 2021, our premiums ceded under quota share treaties decreased by $15,364,000 in comparison to ceded premiums in Six Months 2020. Our personal lines business was subject to the 2019/2020 Treaty from December 15, 2019 through December 30, 2020. Our personal lines business was subject to the 2018/2019 Treaty through June 30, 2019. Following June 30, 2019, any earned premium and associated claims for policies still in force continued to be ceded under the 10% quota share rate until such policies expired (run-off) over the next year. The 2019/2020 run-off period was from July 1, 2019 through June 30, 2020 and there was no return of unearned premiums under this arrangement.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Six Months 2021, our ceded excess of loss reinsurance premiums increased by $112,000 over the comparable ceded premiums for Six Months 2020. The increase was due to an increase in premiums subject to excess of loss reinsurance.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Six Months 2021, our premiums ceded under catastrophe treaties increased by $1,817,000 over the comparable ceded premiums in Six Months 2020. The change was due to an increase in reinsurance rates effective July 1, 2020, partially offset by a decrease in our limit effective July 1, 2020. Through June 30, 2020, our ceded catastrophe premiums were paid based on the total direct written premiums subject to the catastrophe reinsurance treaty. Effective July 1, 2020, and continuing through June 30, 2021, our ceded catastrophe premiums were paid based on the total insured value of our risks calculated as of August 31, 2020.</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right="20" w:firstLine="607"/>
        <w:spacing w:after="0" w:line="342" w:lineRule="auto"/>
        <w:rPr>
          <w:sz w:val="20"/>
          <w:szCs w:val="20"/>
          <w:color w:val="auto"/>
        </w:rPr>
      </w:pPr>
      <w:r>
        <w:rPr>
          <w:rFonts w:ascii="Arial" w:cs="Arial" w:eastAsia="Arial" w:hAnsi="Arial"/>
          <w:sz w:val="16"/>
          <w:szCs w:val="16"/>
          <w:color w:val="auto"/>
        </w:rPr>
        <w:t>Net premiums earned increased $16,448,000, or 30.7%, to $70,026,000 in Six Months 2021 from $53,578,000 in Six Months 2020. The increase was due to the expiration of both the 2019/2020 Treaty on December 30, 2020 on a cut-off basis and the 2019/2020 Run-Off as of June 30, 2020.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90"/>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7,311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Ceding commission revenue was $45,000 in Six Months 2021 compared to $7,311,000 in Six Months 2020. The decrease of $7,266,000 was due to a decrease in both provisional ceding commissions earned and contingent ceding commissions earned. See below for a discussion of provisional ceding commissions earned and contingent ceding commissions earned.</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Through December 30, 2020, we received a provisional ceding commission based on ceded written premiums. The $7,066,000 decrease in provisional ceding commissions earned was due to the expiration of both the 2019/2020 Treaty on December 30, 2020 on a cut-off basis and the 2019/2020 Run-Off as of June 30, 2020.</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The structure of the 2019/2020 Treaty and 2019/2020 Run-Off called for a higher upfront provisional ceding commission and there was not an opportunity to earn additional contingent ceding commissions under those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Net investment income was $3,461,000 in Six Months 2021 compared to $3,278,000 in Six Months 2020, an increase of $183,000, or 5.6%. The average yield on invested assets was 3.45% as of June 30, 2021 compared to 3.53% as of June 30, 2020.</w:t>
      </w:r>
    </w:p>
    <w:p>
      <w:pPr>
        <w:spacing w:after="0" w:line="170"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Cash and invested assets were $234,100,000 as of June 30, 2021 compared to $218,739,000 as of June 30, 2020. The $15,361,000 increase in cash and invested assets was primarily attributable to the return of premiums ceded, net of ceding commissions, at the expiration of the 2019/2020 Treaty and by an increase in unrealized gains during the periods after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ectPr>
          <w:pgSz w:w="11900" w:h="16838" w:orient="portrait"/>
          <w:cols w:equalWidth="0" w:num="1">
            <w:col w:w="11240"/>
          </w:cols>
          <w:pgMar w:left="320" w:top="125" w:right="339" w:bottom="0" w:gutter="0" w:footer="0" w:header="0"/>
        </w:sectPr>
      </w:pPr>
    </w:p>
    <w:bookmarkStart w:id="29" w:name="page30"/>
    <w:bookmarkEnd w:id="29"/>
    <w:p>
      <w:pPr>
        <w:jc w:val="both"/>
        <w:ind w:firstLine="607"/>
        <w:spacing w:after="0" w:line="286" w:lineRule="auto"/>
        <w:rPr>
          <w:sz w:val="20"/>
          <w:szCs w:val="20"/>
          <w:color w:val="auto"/>
        </w:rPr>
      </w:pPr>
      <w:r>
        <w:rPr>
          <w:rFonts w:ascii="Arial" w:cs="Arial" w:eastAsia="Arial" w:hAnsi="Arial"/>
          <w:sz w:val="17"/>
          <w:szCs w:val="17"/>
          <w:color w:val="auto"/>
        </w:rPr>
        <w:t>Net gains on investments were $5,276,000 in Six Months 2021 compared to net losses of $3,746,000 in Six Months 2020. Unrealized gains on our equity securities and other investments in Six Months 2021 were $3,431,000, compared to unrealized losses of $4,022,000 in Six Months 2020. Realized gains on sales of investments were $1,844,000 in Six Months 2021 compared to a gain of $275,000 in Six Months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Other income was $296,000 in Six Months 2021 compared to $522,000 in Six Months 2020. The decrease of $226,000, or 43.3%, was primarily due to the elimination of fees in our commercial lines business that was in run-off in Six Months 2020, a result of our decision in July 2019 to no longer underwrite this line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color w:val="auto"/>
        </w:rPr>
        <w:t>Net loss and LAE was $43,320,000 for Six Months 2021 compared to $29,199,000 for Six Months 2020. The net loss ratio was 61.9% in Six Months 2021 compared to 54.5% in Six Months 2020, an increase of 7.4 percentage points.</w:t>
      </w:r>
    </w:p>
    <w:p>
      <w:pPr>
        <w:spacing w:after="0" w:line="170"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43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color w:val="auto"/>
        </w:rPr>
        <w:t>During Six Months 2021, the loss ratio was higher than Six Months 2020 mainly due to an elevated frequency of personal lines liability claims as well as water damage property claims. There were more liability claims reported during Six Month 2021 from both Homeowners and Dwelling Fire lines. Water losses were higher during Six Months 2021 compared to prior year period, but the observed activity was in the historical range.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311" w:lineRule="auto"/>
        <w:rPr>
          <w:sz w:val="20"/>
          <w:szCs w:val="20"/>
          <w:color w:val="auto"/>
        </w:rPr>
      </w:pPr>
      <w:r>
        <w:rPr>
          <w:rFonts w:ascii="Arial" w:cs="Arial" w:eastAsia="Arial" w:hAnsi="Arial"/>
          <w:sz w:val="16"/>
          <w:szCs w:val="16"/>
          <w:color w:val="auto"/>
        </w:rPr>
        <w:t>The impact of catastrophe losses was low for Six Months 2021 due to a mild winter season. There were only four minor winter events classified as catastrophe during 2021 through June. The estimated net catastrophe losses were $106,000, which contributed 0.2 point to the loss ratio. This compares to a 3.2 points impact from catastrophe events from the corresponding period from prior year which also had a relatively mild winter.</w:t>
      </w:r>
    </w:p>
    <w:p>
      <w:pPr>
        <w:spacing w:after="0" w:line="149"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Prior year development continued to be stable for Six Months 2021. There was an overall favorable development of $8,000, which had marginal impact on the loss ratio.</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ectPr>
          <w:pgSz w:w="11900" w:h="16838" w:orient="portrait"/>
          <w:cols w:equalWidth="0" w:num="1">
            <w:col w:w="11240"/>
          </w:cols>
          <w:pgMar w:left="320" w:top="341" w:right="339" w:bottom="11" w:gutter="0" w:footer="0" w:header="0"/>
        </w:sectPr>
      </w:pPr>
    </w:p>
    <w:bookmarkStart w:id="30" w:name="page31"/>
    <w:bookmarkEnd w:id="30"/>
    <w:p>
      <w:pPr>
        <w:spacing w:after="0" w:line="43"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Commission expense was $16,509,000 in Six Months 2021 or 19.5% of direct earned premiums. Commission expense was $15,616,000 in Six Months 2020 or 18.4% of direct earned premiums. The increase of $893,000 is primarily due to an increase in the estimate for annual contingent commissions for Six Months 2021 as compared to Six Months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color w:val="auto"/>
        </w:rPr>
        <w:t>Other underwriting expenses were $13,160,000 in Six Months 2021 compared to $13,087,000 in Six Months 2020. The modest increase of $73,000, or 0.6%, was primarily due to an initiative to reduce expenses with the use of technology.</w:t>
      </w:r>
    </w:p>
    <w:p>
      <w:pPr>
        <w:spacing w:after="0" w:line="170"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$5,079,000 in Six Months 2021 compared to $5,342,000 in Six Months 2020. The decrease of $263,000, or 4.9%, compares favorably with the 3.5% increase in personal lines direct written premiums. The decrease in employment costs was attributable to staff reductions.</w:t>
      </w:r>
    </w:p>
    <w:p>
      <w:pPr>
        <w:spacing w:after="0" w:line="184"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Our net underwriting expense ratio in Six Months 2021 was 41.9% compared to 39.0% in Six Months 2020.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1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7"/>
              </w:rPr>
              <w:t>Six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Point Change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040" w:type="dxa"/>
            <w:vAlign w:val="bottom"/>
            <w:gridSpan w:val="3"/>
          </w:tcPr>
          <w:p>
            <w:pPr>
              <w:spacing w:after="0"/>
              <w:rPr>
                <w:sz w:val="20"/>
                <w:szCs w:val="20"/>
                <w:color w:val="auto"/>
              </w:rPr>
            </w:pPr>
            <w:r>
              <w:rPr>
                <w:rFonts w:ascii="Arial" w:cs="Arial" w:eastAsia="Arial" w:hAnsi="Arial"/>
                <w:sz w:val="18"/>
                <w:szCs w:val="18"/>
                <w:color w:val="auto"/>
              </w:rPr>
              <w:t>Other underwriting expenses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Employment costs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040" w:type="dxa"/>
            <w:vAlign w:val="bottom"/>
            <w:gridSpan w:val="3"/>
          </w:tcPr>
          <w:p>
            <w:pPr>
              <w:ind w:left="420"/>
              <w:spacing w:after="0"/>
              <w:rPr>
                <w:sz w:val="20"/>
                <w:szCs w:val="20"/>
                <w:color w:val="auto"/>
              </w:rPr>
            </w:pPr>
            <w:r>
              <w:rPr>
                <w:rFonts w:ascii="Arial" w:cs="Arial" w:eastAsia="Arial" w:hAnsi="Arial"/>
                <w:sz w:val="18"/>
                <w:szCs w:val="18"/>
                <w:color w:val="auto"/>
              </w:rPr>
              <w:t>Underwriting fees (inspections/data services)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IT expenses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280" w:type="dxa"/>
            <w:vAlign w:val="bottom"/>
            <w:gridSpan w:val="2"/>
          </w:tcPr>
          <w:p>
            <w:pPr>
              <w:ind w:left="420"/>
              <w:spacing w:after="0"/>
              <w:rPr>
                <w:sz w:val="20"/>
                <w:szCs w:val="20"/>
                <w:color w:val="auto"/>
              </w:rPr>
            </w:pPr>
            <w:r>
              <w:rPr>
                <w:rFonts w:ascii="Arial" w:cs="Arial" w:eastAsia="Arial" w:hAnsi="Arial"/>
                <w:sz w:val="18"/>
                <w:szCs w:val="18"/>
                <w:color w:val="auto"/>
              </w:rPr>
              <w:t>Other expenses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other underwriting expenses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Commission expense</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23.6</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Ceding commission revenue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ind w:left="420"/>
              <w:spacing w:after="0"/>
              <w:rPr>
                <w:sz w:val="20"/>
                <w:szCs w:val="20"/>
                <w:color w:val="auto"/>
              </w:rPr>
            </w:pPr>
            <w:r>
              <w:rPr>
                <w:rFonts w:ascii="Arial" w:cs="Arial" w:eastAsia="Arial" w:hAnsi="Arial"/>
                <w:sz w:val="18"/>
                <w:szCs w:val="18"/>
                <w:color w:val="auto"/>
              </w:rPr>
              <w:t>Provisional</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Contingent</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tcPr>
          <w:p>
            <w:pPr>
              <w:ind w:left="220"/>
              <w:spacing w:after="0"/>
              <w:rPr>
                <w:sz w:val="20"/>
                <w:szCs w:val="20"/>
                <w:color w:val="auto"/>
              </w:rPr>
            </w:pPr>
            <w:r>
              <w:rPr>
                <w:rFonts w:ascii="Arial" w:cs="Arial" w:eastAsia="Arial" w:hAnsi="Arial"/>
                <w:sz w:val="18"/>
                <w:szCs w:val="18"/>
                <w:color w:val="auto"/>
              </w:rPr>
              <w:t>Total ceding commission revenue</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Net underwriting expense ratio</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41.9%</w:t>
            </w:r>
          </w:p>
        </w:tc>
        <w:tc>
          <w:tcPr>
            <w:tcW w:w="7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ind w:left="5540"/>
              <w:spacing w:after="0"/>
              <w:rPr>
                <w:sz w:val="20"/>
                <w:szCs w:val="20"/>
                <w:color w:val="auto"/>
              </w:rPr>
            </w:pPr>
            <w:r>
              <w:rPr>
                <w:rFonts w:ascii="Arial" w:cs="Arial" w:eastAsia="Arial" w:hAnsi="Arial"/>
                <w:sz w:val="18"/>
                <w:szCs w:val="18"/>
                <w:color w:val="auto"/>
              </w:rPr>
              <w:t>48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280" w:type="dxa"/>
            <w:vAlign w:val="bottom"/>
            <w:tcBorders>
              <w:bottom w:val="single" w:sz="8" w:color="auto"/>
            </w:tcBorders>
            <w:gridSpan w:val="2"/>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67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The overall 13.7 percentage point decrease in the benefit from ceding commissions in Six Months 2020 was driven by the reduction in provisional ceding commission revenue due to the expiration of the 2019/2020 Treaty on December 30, 2020. The components of our net underwriting expense ratio related to other underwriting expenses and commissions decreased in all categories due to more retention after the expiration of the 2019/2020 Treaty on December 30, 2020, resulting in an 11.3 percentage point decrease in these components of the net underwriting expense ratio.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Other operating expenses, related to the expenses of our holding company and Cosi, were $2,286,000 for Six Months 2021 compared to $2,326,000 for Six Months 2020. The decrease in Six Months 2021 of $40,000, or 1.7%, as compared to Six Months 2020 was primarily due to a decrease in professional fees, partially offset by an increase in employment costs due to fluctuations in deferred compensation liability related to changes in the underlying invested portfolio and compensation paid pursuant to a relinquishment agreement with Dale A. Thatcher, our former Chef Executive Officer (see Note 11 to the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Depreciation and amortization was $1,660,000 in Six Months 2021 compared to $1,360,000 in Six Months 2020. The increase of $300,000, or 22.1%, in depreciation and amortization was primarily due to depreciation of new system platforms for policy and claims management and newly purchased assets used to upgrade our other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Interest expense was $913,000 for both Six Months 2021 and Six Months 2020.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Income tax expense in Six Months 2021 was $244,000, which resulted in an effective tax expense rate of 19.4%. Income tax benefit in Six Months 2020 was $724,000, which resulted in an effective tax expense rate of 46.4%. Income before taxes was $1,256,000 in Six Months 2021 compared to loss before taxes of $1,560,000 in Six Months 2020. On March 27, 2020, the Coronavirus Aid, Relief, and Economic Security (CARES) Act was signed into law, allowing for a five year carryback of 2020 NOLs. We will elect on our 2020 federal income tax return to carry back the entire annual 2020 NOL of $5,715,000 to tax year 2015. The corporate tax rate in 2015 was 34%, compared to the corporate tax rate of 21% in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(Loss)</w:t>
      </w:r>
    </w:p>
    <w:p>
      <w:pPr>
        <w:sectPr>
          <w:pgSz w:w="11900" w:h="16881" w:orient="portrait"/>
          <w:cols w:equalWidth="0" w:num="1">
            <w:col w:w="11240"/>
          </w:cols>
          <w:pgMar w:left="320" w:top="125" w:right="339" w:bottom="0" w:gutter="0" w:footer="0" w:header="0"/>
        </w:sectPr>
      </w:pPr>
    </w:p>
    <w:bookmarkStart w:id="31" w:name="page32"/>
    <w:bookmarkEnd w:id="31"/>
    <w:p>
      <w:pPr>
        <w:spacing w:after="0" w:line="7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Net income was $1,012,000 in Six Months 2021 compared to net loss of $836,000 in Six Months 2020. The increase in net income of $1,848,000 was due to the circumstances described above, which caused the increases in our net premiums earned, net investment income and net gains on investments, partially offset by the increases in net loss ratio, commission expense, other underwriting expenses, other operating expenses, depreciation and amortization, income tax expense and decreased in ceding commission revenue and other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44,616</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37,314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28,090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9,224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quota share treaties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42,762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42,123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8,799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3,480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gains on investments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2,698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4,911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20,940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5,831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3,651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Losses from catastrophes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20,882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11,301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9,581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7,946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8,286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7,761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before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31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three months ended June 30, 2021 and 2020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ectPr>
          <w:pgSz w:w="11900" w:h="16917" w:orient="portrait"/>
          <w:cols w:equalWidth="0" w:num="1">
            <w:col w:w="11240"/>
          </w:cols>
          <w:pgMar w:left="320" w:top="341" w:right="339" w:bottom="0" w:gutter="0" w:footer="0" w:header="0"/>
        </w:sectPr>
      </w:pPr>
    </w:p>
    <w:bookmarkStart w:id="32" w:name="page33"/>
    <w:bookmarkEnd w:id="32"/>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10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Point Change</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425"/>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r>
      <w:tr>
        <w:trPr>
          <w:trHeight w:val="216"/>
        </w:trPr>
        <w:tc>
          <w:tcPr>
            <w:tcW w:w="590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0"/>
        </w:trPr>
        <w:tc>
          <w:tcPr>
            <w:tcW w:w="1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7"/>
          <w:szCs w:val="17"/>
          <w:color w:val="auto"/>
        </w:rPr>
        <w:t>Direct written premiums during the three months ended June 30, 2021 (“Three Months 2021”) were $44,616,000 compared to $42,650,000 during the three months ended June 30, 2020 (“Three Months 2020”). The increase of $1,966,000, or 4.6%, was primarily due an increase in premiums from our personal lines business. Direct written premiums from our personal lines business for Three Months 2021 were $42,450,000, an increase of $927,000, or 2.2%, from $41,523,000 in Three Months 2020. Direct written premiums from our livery physical damage business for Three Months 2021 were $2,119,000, an increase of $1,013,000, or 91.6%, from $1,106,000 in Three Months 2020. The increase in livery physical damage direct written premiums is due to the declining effect of the Covid-19 pandemic in our geographic area.</w:t>
      </w:r>
    </w:p>
    <w:p>
      <w:pPr>
        <w:spacing w:after="0" w:line="178"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$9,002,000 in Three Months 2021 compared to $8,761,000 in Three Months 2020. Direct written premiums from our Core business were $35,614,000 in Three Months 2021 compared to $33,889,000 in Three Months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7"/>
          <w:szCs w:val="17"/>
          <w:color w:val="auto"/>
        </w:rPr>
        <w:t>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Three Months 2020 also included the run-off of the personal lines quota share treaty (“2018/2019 Treaty”) that expired on June 30, 2019. The run-off covered the period from July 1, 2019 through June 30, 2020 (“2019/2020 Run-Off”). The following table describes the quota share reinsurance ceding rates in effect during Three Months 2021 and Three Months 2020. This table should be referred to in conjunction with the discussions for net written premiums, net premiums earned, ceding commission revenue and net loss and loss adjustment expenses that follow.</w:t>
      </w:r>
    </w:p>
    <w:p>
      <w:pPr>
        <w:spacing w:after="0" w:line="173"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Three months ended June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425"/>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Quota share reinsurance rates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ind w:left="220"/>
              <w:spacing w:after="0"/>
              <w:rPr>
                <w:sz w:val="20"/>
                <w:szCs w:val="20"/>
                <w:color w:val="auto"/>
              </w:rPr>
            </w:pPr>
            <w:r>
              <w:rPr>
                <w:rFonts w:ascii="Arial" w:cs="Arial" w:eastAsia="Arial" w:hAnsi="Arial"/>
                <w:sz w:val="18"/>
                <w:szCs w:val="18"/>
                <w:color w:val="auto"/>
              </w:rPr>
              <w:t>2019/2020 Treaty</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25% (1)</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2018/2019 Treaty</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2019/2020 Treaty was effective from December 15, 2019 through December 30, 2020 with a quota share reinsurance rate of 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2018/2019 Treaty expired on a run-off basis from July 1, 2019 through June 30,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290" w:lineRule="auto"/>
        <w:rPr>
          <w:sz w:val="20"/>
          <w:szCs w:val="20"/>
          <w:color w:val="auto"/>
        </w:rPr>
      </w:pPr>
      <w:r>
        <w:rPr>
          <w:rFonts w:ascii="Arial" w:cs="Arial" w:eastAsia="Arial" w:hAnsi="Arial"/>
          <w:sz w:val="16"/>
          <w:szCs w:val="16"/>
          <w:color w:val="auto"/>
        </w:rPr>
        <w:t>Net written premiums increased $9,224,000, or 32.8%, to $37,314,000 in Three Months 2021 from $28,090,000 in Three Months 2020. Net written premiums include direct and assumed premiums, less the amount of written premiums ceded under our reinsurance treaties (quota share, excess of loss, and catastrophe). The increase in net written premiums in Three Months 2021 was attributable to the expiration of the 2019/2020 Treaty on December 30, 2020 on a cut-off basis (see table above). In Three Months 2021, our premiums ceded under quota share treaties decreased by $8,404,000 in comparison to ceded premiums in Three Months 2020. Our personal lines business was subject to the 2019/2020 Treaty from December 15, 2019 through December 30, 2020. Our personal lines business was subject to the 2018/2019 Treaty through June 30, 2019. Following June 30, 2019, any earned premium and associated claims for policies still in force continued to be ceded under the 10% quota share rate until such policies expired (run-off) over the next year. The 2019/2020 run-off period was from July 1, 2019 through June 30, 2020 and there was no return of unearned premiums under this arrangement.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2021, our ceded excess of loss reinsurance premiums increased by $83,000 over the comparable ceded premiums for Three Months 2020. The increase was due to an increase in premiums subject to excess of loss reinsurance.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07"/>
        <w:spacing w:after="0" w:line="311" w:lineRule="auto"/>
        <w:rPr>
          <w:sz w:val="20"/>
          <w:szCs w:val="20"/>
          <w:color w:val="auto"/>
        </w:rPr>
      </w:pPr>
      <w:r>
        <w:rPr>
          <w:rFonts w:ascii="Arial" w:cs="Arial" w:eastAsia="Arial" w:hAnsi="Arial"/>
          <w:sz w:val="16"/>
          <w:szCs w:val="16"/>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w:t>
      </w:r>
    </w:p>
    <w:p>
      <w:pPr>
        <w:sectPr>
          <w:pgSz w:w="11900" w:h="16903" w:orient="portrait"/>
          <w:cols w:equalWidth="0" w:num="1">
            <w:col w:w="11240"/>
          </w:cols>
          <w:pgMar w:left="320" w:top="557" w:right="339" w:bottom="0" w:gutter="0" w:footer="0" w:header="0"/>
        </w:sectPr>
      </w:pPr>
    </w:p>
    <w:bookmarkStart w:id="33" w:name="page34"/>
    <w:bookmarkEnd w:id="33"/>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Three Months 2021, our premiums ceded under catastrophe treaties increased by $1,063,000 over the comparable ceded premiums in Three Months 2020. The change was due to an increase in reinsurance rates effective July 1, 2020, partially offset by a decrease in our limit effective July 1, 2020. Through June 30, 2020, our ceded catastrophe premiums were paid based on the total direct written premiums subject to the catastrophe reinsurance treaty. Effective July 1, 2020, and continuing through June 30, 2021, our ceded catastrophe premiums were paid based on the total insured value of our risks calculated as of August 31, 2020.</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right="20" w:firstLine="607"/>
        <w:spacing w:after="0" w:line="342" w:lineRule="auto"/>
        <w:rPr>
          <w:sz w:val="20"/>
          <w:szCs w:val="20"/>
          <w:color w:val="auto"/>
        </w:rPr>
      </w:pPr>
      <w:r>
        <w:rPr>
          <w:rFonts w:ascii="Arial" w:cs="Arial" w:eastAsia="Arial" w:hAnsi="Arial"/>
          <w:sz w:val="16"/>
          <w:szCs w:val="16"/>
          <w:color w:val="auto"/>
        </w:rPr>
        <w:t>Net premiums earned increased $8,799,000, or 33.0%, to $35,436,000 in Three Months 2021 from $26,637,000 in Three Months 2020. The increase was due to the expiration of both the 2019/2020 Treaty on December 30, 2020 on a cut-off basis and the 2019/2020 Run-Off as of June 30, 2020.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3,480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Ceding commission revenue was $46,000 in Three Months 2021 compared to $3,480,000 in Three Months 2020. The decrease of $3,434,000 was due to a decrease in both provisional ceding commissions earned and contingent ceding commissions earned. See below for a discussion of provisional ceding commissions earned and contingent ceding commissions earned.</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Through December 30, 2020, we received a provisional ceding commission based on ceded written premiums. The $3,391,000 decrease in provisional ceding commissions earned was due to the expiration of both the 2019/2020 Treaty on December 30, 2020 on a cut-off basis and the 2019/2020 Run-Off as of June 30, 2020.</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The structure of the 2019/2020 Treaty and 2019/2020 Run-Off called for a higher upfront provisional ceding commission and there was not an opportunity to earn additional contingent ceding commissions under those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Net investment income was $1,678,000 in Three Months 2021 compared to $1,612,000 in Three Months 2020, an increase of $66,000, or 4.1%.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average yield on invested assets was 3.45% as of June 30, 2021 compared to 3.53% as of June 30, 2020.</w:t>
      </w:r>
    </w:p>
    <w:p>
      <w:pPr>
        <w:spacing w:after="0" w:line="211"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Cash and invested assets were $234,100,000 as of June 30, 2021 compared to $218,739,000 as of June 30, 2020. The $15,361,000 increase in cash and invested assets was primarily attributable to the return of premiums ceded, net of ceding commissions, at the expiration of the 2019/2020 Treaty and by an increase in unrealized gains during the periods after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Net gains on investments were $2,315,000 in Three Months 2021 compared to $2,698,000 in Three Months 2020. Unrealized gains on our equity securities and other investments in Three Months 2021 were $1,598,000, compared to $2,732,000 in Three Months 2020. Realized gains on sales of investments were $717,000 in Three Months 2021 compared to $35,000 in Three Months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Other income was $125,000 in Three Months 2021 compared to $262,000 in Three Months 2020. The decrease of $137,000, or 52.3%, was primarily due to the elimination of fees in our commercial lines business that was in run-off in Three Months 2020, a result of our decision in July 2019 to no longer underwrite this line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Net loss and LAE was $20,759,000 for Three Months 2021 compared to $12,813,000 for Three Months 2020. The net loss ratio was 58.6% in Three Months 2021 compared to 48.1% in Three Months 2020, an increase of 10.5 percentage points.</w:t>
      </w:r>
    </w:p>
    <w:p>
      <w:pPr>
        <w:sectPr>
          <w:pgSz w:w="11900" w:h="16868" w:orient="portrait"/>
          <w:cols w:equalWidth="0" w:num="1">
            <w:col w:w="11240"/>
          </w:cols>
          <w:pgMar w:left="320" w:top="125" w:right="339" w:bottom="0" w:gutter="0" w:footer="0" w:header="0"/>
        </w:sectPr>
      </w:pPr>
    </w:p>
    <w:bookmarkStart w:id="34" w:name="page35"/>
    <w:bookmarkEnd w:id="34"/>
    <w:p>
      <w:pPr>
        <w:spacing w:after="0" w:line="56"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117475</wp:posOffset>
            </wp:positionV>
            <wp:extent cx="5237480" cy="37890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3748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Three Months 2021, the loss ratio was higher than Three Months 2020 mainly due to an elevated frequency of liability claims from personal property lines. Additionally, the frequency of the livery physical damage claims were higher as they returned to the pre-pandemic level.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The impact of catastrophe losses was low for Three Months 2021. There was only one minor wind event classified as catastrophe during Three Months 2021. There was also some favorable development on catastrophe losses occurred during Three Months 2021. The estimated total net catastrophe losses were $(123,000), which contributed (0.3) point to the loss ratio. This compares to a 5.7 points impact from catastrophe events from the corresponding period for the prior year which had several small catastrophe events and one larger wind event.</w:t>
      </w:r>
    </w:p>
    <w:p>
      <w:pPr>
        <w:spacing w:after="0" w:line="171"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Prior year development continued to be stable for Three Months 2021. The loss estimates from all prior years were adjusted up by $3,000, which had a marginal impact on the loss ratio.</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Commission expense was $8,286,000 in Three Months 2021 or 19.4% of direct earned premiums. Commission expense was $7,761,000 in Three Months 2020 or 18.4% of direct earned premiums. The increase of $525,000 is primarily due to an increase in the estimate for annual contingent commissions for Three Months 2021 as compared to Three Months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Other underwriting expenses were $6,693,000 in Three Months 2021 compared to $6,325,000 in Three Months 2020. The increase of $368,000, or 5.8%, was primarily due an increase in consulting fees and IT expense as part of an initiative to reduce overall expenses with the use of technology. This initiative resulted in a decrease or modest increase in the remaining other underwriting expenses.</w:t>
      </w:r>
    </w:p>
    <w:p>
      <w:pPr>
        <w:spacing w:after="0" w:line="18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$2,540,000 in Three Months 2021 compared to $2,601,000 in Three Months 2020. The decrease of $61,000, or 2.3%, compares favorably with the 4.6% increase in direct written premiums. The decrease in employment costs was attributable to staff reductions.</w:t>
      </w:r>
    </w:p>
    <w:p>
      <w:pPr>
        <w:spacing w:after="0" w:line="184"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color w:val="auto"/>
        </w:rPr>
        <w:t>Our net underwriting expense ratio in Three Months 2021 was 41.8% compared to 38.8% in Three Months 2020. The following table shows the individual components of our net underwriting expense ratio for the periods indicated:</w:t>
      </w:r>
    </w:p>
    <w:p>
      <w:pPr>
        <w:spacing w:after="0" w:line="166" w:lineRule="exact"/>
        <w:rPr>
          <w:sz w:val="20"/>
          <w:szCs w:val="20"/>
          <w:color w:val="auto"/>
        </w:rPr>
      </w:pPr>
    </w:p>
    <w:tbl>
      <w:tblPr>
        <w:tblLayout w:type="fixed"/>
        <w:tblInd w:w="7280" w:type="dxa"/>
        <w:tblCellMar>
          <w:top w:w="0" w:type="dxa"/>
          <w:left w:w="0" w:type="dxa"/>
          <w:bottom w:w="0" w:type="dxa"/>
          <w:right w:w="0" w:type="dxa"/>
        </w:tblCellMar>
      </w:tblPr>
      <w:tr>
        <w:trPr>
          <w:trHeight w:val="216"/>
        </w:trPr>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73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09"/>
        </w:trPr>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Point Change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underwriting expenses</w:t>
      </w:r>
    </w:p>
    <w:p>
      <w:pPr>
        <w:sectPr>
          <w:pgSz w:w="11900" w:h="16895" w:orient="portrait"/>
          <w:cols w:equalWidth="0" w:num="1">
            <w:col w:w="11240"/>
          </w:cols>
          <w:pgMar w:left="320" w:top="341" w:right="339" w:bottom="0" w:gutter="0" w:footer="0" w:header="0"/>
        </w:sectPr>
      </w:pPr>
    </w:p>
    <w:bookmarkStart w:id="35" w:name="page36"/>
    <w:bookmarkEnd w:id="35"/>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Employment costs</w:t>
            </w:r>
          </w:p>
        </w:tc>
        <w:tc>
          <w:tcPr>
            <w:tcW w:w="4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00" w:type="dxa"/>
            <w:vAlign w:val="bottom"/>
            <w:gridSpan w:val="2"/>
          </w:tcPr>
          <w:p>
            <w:pPr>
              <w:ind w:left="420"/>
              <w:spacing w:after="0"/>
              <w:rPr>
                <w:sz w:val="20"/>
                <w:szCs w:val="20"/>
                <w:color w:val="auto"/>
              </w:rPr>
            </w:pPr>
            <w:r>
              <w:rPr>
                <w:rFonts w:ascii="Arial" w:cs="Arial" w:eastAsia="Arial" w:hAnsi="Arial"/>
                <w:sz w:val="18"/>
                <w:szCs w:val="18"/>
                <w:color w:val="auto"/>
              </w:rPr>
              <w:t>Underwriting fees (inspections/data services)</w:t>
            </w:r>
          </w:p>
        </w:tc>
        <w:tc>
          <w:tcPr>
            <w:tcW w:w="404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IT expenses</w:t>
            </w:r>
          </w:p>
        </w:tc>
        <w:tc>
          <w:tcPr>
            <w:tcW w:w="4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00" w:type="dxa"/>
            <w:vAlign w:val="bottom"/>
            <w:gridSpan w:val="2"/>
          </w:tcPr>
          <w:p>
            <w:pPr>
              <w:ind w:left="420"/>
              <w:spacing w:after="0"/>
              <w:rPr>
                <w:sz w:val="20"/>
                <w:szCs w:val="20"/>
                <w:color w:val="auto"/>
              </w:rPr>
            </w:pPr>
            <w:r>
              <w:rPr>
                <w:rFonts w:ascii="Arial" w:cs="Arial" w:eastAsia="Arial" w:hAnsi="Arial"/>
                <w:sz w:val="18"/>
                <w:szCs w:val="18"/>
                <w:color w:val="auto"/>
              </w:rPr>
              <w:t>Other expenses</w:t>
            </w:r>
          </w:p>
        </w:tc>
        <w:tc>
          <w:tcPr>
            <w:tcW w:w="2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other underwriting expenses</w:t>
            </w:r>
          </w:p>
        </w:tc>
        <w:tc>
          <w:tcPr>
            <w:tcW w:w="2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Commission expense</w:t>
            </w:r>
          </w:p>
        </w:tc>
        <w:tc>
          <w:tcPr>
            <w:tcW w:w="4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Ceding commission revenue</w:t>
            </w:r>
          </w:p>
        </w:tc>
        <w:tc>
          <w:tcPr>
            <w:tcW w:w="2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620"/>
              <w:spacing w:after="0"/>
              <w:rPr>
                <w:sz w:val="20"/>
                <w:szCs w:val="20"/>
                <w:color w:val="auto"/>
              </w:rPr>
            </w:pPr>
            <w:r>
              <w:rPr>
                <w:rFonts w:ascii="Arial" w:cs="Arial" w:eastAsia="Arial" w:hAnsi="Arial"/>
                <w:sz w:val="18"/>
                <w:szCs w:val="18"/>
                <w:color w:val="auto"/>
              </w:rPr>
              <w:t>Provisional</w:t>
            </w:r>
          </w:p>
        </w:tc>
        <w:tc>
          <w:tcPr>
            <w:tcW w:w="404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Contingent</w:t>
            </w:r>
          </w:p>
        </w:tc>
        <w:tc>
          <w:tcPr>
            <w:tcW w:w="2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tcPr>
          <w:p>
            <w:pPr>
              <w:ind w:left="420"/>
              <w:spacing w:after="0"/>
              <w:rPr>
                <w:sz w:val="20"/>
                <w:szCs w:val="20"/>
                <w:color w:val="auto"/>
              </w:rPr>
            </w:pPr>
            <w:r>
              <w:rPr>
                <w:rFonts w:ascii="Arial" w:cs="Arial" w:eastAsia="Arial" w:hAnsi="Arial"/>
                <w:sz w:val="18"/>
                <w:szCs w:val="18"/>
                <w:color w:val="auto"/>
              </w:rPr>
              <w:t>Total ceding commission revenue</w:t>
            </w:r>
          </w:p>
        </w:tc>
        <w:tc>
          <w:tcPr>
            <w:tcW w:w="2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040" w:type="dxa"/>
            <w:vAlign w:val="bottom"/>
            <w:gridSpan w:val="3"/>
          </w:tcPr>
          <w:p>
            <w:pPr>
              <w:jc w:val="right"/>
              <w:ind w:right="200"/>
              <w:spacing w:after="0"/>
              <w:rPr>
                <w:sz w:val="20"/>
                <w:szCs w:val="20"/>
                <w:color w:val="auto"/>
              </w:rPr>
            </w:pPr>
            <w:r>
              <w:rPr>
                <w:rFonts w:ascii="Arial" w:cs="Arial" w:eastAsia="Arial" w:hAnsi="Arial"/>
                <w:sz w:val="18"/>
                <w:szCs w:val="18"/>
                <w:color w:val="auto"/>
              </w:rPr>
              <w:t>(0.4)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Net underwriting expense ratio</w:t>
            </w:r>
          </w:p>
        </w:tc>
        <w:tc>
          <w:tcPr>
            <w:tcW w:w="4040" w:type="dxa"/>
            <w:vAlign w:val="bottom"/>
            <w:gridSpan w:val="3"/>
          </w:tcPr>
          <w:p>
            <w:pPr>
              <w:jc w:val="right"/>
              <w:ind w:right="120"/>
              <w:spacing w:after="0"/>
              <w:rPr>
                <w:sz w:val="20"/>
                <w:szCs w:val="20"/>
                <w:color w:val="auto"/>
              </w:rPr>
            </w:pPr>
            <w:r>
              <w:rPr>
                <w:rFonts w:ascii="Arial" w:cs="Arial" w:eastAsia="Arial" w:hAnsi="Arial"/>
                <w:sz w:val="18"/>
                <w:szCs w:val="18"/>
                <w:color w:val="auto"/>
              </w:rPr>
              <w:t>41.8%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80" w:type="dxa"/>
            <w:vAlign w:val="bottom"/>
            <w:vMerge w:val="restart"/>
          </w:tcPr>
          <w:p>
            <w:pPr>
              <w:jc w:val="right"/>
              <w:ind w:right="1470"/>
              <w:spacing w:after="0"/>
              <w:rPr>
                <w:sz w:val="20"/>
                <w:szCs w:val="20"/>
                <w:color w:val="auto"/>
              </w:rPr>
            </w:pPr>
            <w:r>
              <w:rPr>
                <w:rFonts w:ascii="Arial" w:cs="Arial" w:eastAsia="Arial" w:hAnsi="Arial"/>
                <w:sz w:val="18"/>
                <w:szCs w:val="18"/>
                <w:color w:val="auto"/>
              </w:rPr>
              <w:t>55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The overall 13.0 percentage point decrease in the benefit from ceding commissions in Three Months 2020 was driven by the reduction in provisional ceding commission revenue due to the expiration of the 2019/2020 Treaty on December 30, 2020. The components of our net underwriting expense ratio related to other underwriting expenses and commissions decreased in all categories due to more retention after the expiration of the 2019/2020 Treaty on December 30, 2020, resulting in a 10.6 percentage point decrease in these components of the net underwriting expense ratio.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Other operating expenses, related to the expenses of our holding company and Cosi, were $933,000 for Three Months 2021 compared to $1,089,000 for Three Months 2020. The decrease in Three Months 2021 of $156,000, or 14.3%, as compared to Three Months 2020 was primarily due to a decrease in professional fees and employment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Depreciation and amortization was $837,000 in Three Months 2021 compared to $673,000 in Three Months 2020. The increase of $164,000, or 24.4%, in depreciation and amortization was primarily due to depreciation of new system platforms for policy and claims management and newly purchased assets used to upgrade our other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Interest expense was $457,000 for both Three Months 2021 and Three Months 2020.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Income tax expense in Three Months 2021 was $312,000, which resulted in an effective tax expense rate of 19.1%. Income expense in Three Months 2020 was $963,000, which resulted in an effective tax expense rate of 17.3%. Income before taxes was $1,636,000 in Three Months 2021 compared to $5,571,000 in Three Months 2020. On March 27, 2020, the Coronavirus Aid, Relief, and Economic Security (CARES) Act was signed into law, allowing for a five year carryback of 2020 NOLs. We will elect on our 2020 federal income tax return to carry back the entire annual 2020 NOL of $5,715,000 to tax year 2015. The corporate tax rate in 2015 was 34%, compared to the corporate tax rate of 21% in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Net income was $1,324,000 in Three Months 2021 compared to $4,608,000 in Three Months 2020. The decrease in net income of $3,284,000 was due to the circumstances described above, which caused the increases in net loss ratio, commission expense, other underwriting expenses, depreciation and amortization, and decreases in ceding commission revenue, net gains on investments and other income, partially offset by increases in our net premiums earned, net investment income and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For the Three Months Ended</w:t>
            </w:r>
          </w:p>
        </w:tc>
        <w:tc>
          <w:tcPr>
            <w:tcW w:w="26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For the Six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   42,449,870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41,522,768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   78,608,363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75,957,604</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2,119,436</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1,106,405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4,023,428</w:t>
            </w: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3,420,806</w:t>
            </w:r>
          </w:p>
        </w:tc>
        <w:tc>
          <w:tcPr>
            <w:tcW w:w="0" w:type="dxa"/>
            <w:vAlign w:val="bottom"/>
          </w:tcPr>
          <w:p>
            <w:pPr>
              <w:spacing w:after="0"/>
              <w:rPr>
                <w:sz w:val="1"/>
                <w:szCs w:val="1"/>
                <w:color w:val="auto"/>
              </w:rPr>
            </w:pPr>
          </w:p>
        </w:tc>
      </w:tr>
    </w:tbl>
    <w:p>
      <w:pPr>
        <w:sectPr>
          <w:pgSz w:w="11900" w:h="16919" w:orient="portrait"/>
          <w:cols w:equalWidth="0" w:num="1">
            <w:col w:w="11240"/>
          </w:cols>
          <w:pgMar w:left="320" w:top="140" w:right="3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46,719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54,876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113,826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129,731</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44,616,025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42,684,049</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82,745,617</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79,508,141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(160,735)</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Total gross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44,615,644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42,650,477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82,744,761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79,347,406</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premiums written: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35,149,321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27,103,665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63,979,133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48,315,146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2,119,436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1,106,405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4,023,428</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3,420,806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45,903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42,579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112,184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101,158</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37,314,660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28,252,649</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68,114,745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51,837,110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(162,170)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(555,957)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Total net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37,314,279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28,090,479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68,113,889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51,281,153</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premiums earned: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33,573,620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23,614,240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66,338,707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46,213,874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1,804,543</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2,182,438</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3,569,819</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4,789,017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58,644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117,974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99,148</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35,436,807</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25,845,677</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70,026,500</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51,102,039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791,179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2,476,267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Total net premiums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35,436,426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26,636,856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70,025,644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53,578,306</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18,638,287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10,639,057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39,394,940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23,153,625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1,015,064</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369,120</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1,702,476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1,149,690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(72,436)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253,821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909,591</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1,242,516</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1,915,872</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2,012,328</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20,786,414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12,178,257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43,267,109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26,292,004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(27,204)</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635,374</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52,773</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2,907,448</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loss and loss adjustment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20,759,210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12,813,631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43,319,882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29,199,452</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2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Personal lines</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55.5%</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45.1%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59.4%</w:t>
            </w:r>
          </w:p>
        </w:tc>
        <w:tc>
          <w:tcPr>
            <w:tcW w:w="9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56.3%</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16.9%</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47.7%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Other(1)</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381.1%</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-147.8%</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215.1%</w:t>
            </w: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2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58.7%</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47.1%</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61.8%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16"/>
        </w:trPr>
        <w:tc>
          <w:tcPr>
            <w:tcW w:w="5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3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80.3%</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Total</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58.6%</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48.1%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61.9%</w:t>
            </w: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r>
    </w:tbl>
    <w:p>
      <w:pPr>
        <w:spacing w:after="0" w:line="187" w:lineRule="exact"/>
        <w:rPr>
          <w:sz w:val="20"/>
          <w:szCs w:val="20"/>
          <w:color w:val="auto"/>
        </w:rPr>
      </w:pPr>
    </w:p>
    <w:p>
      <w:pPr>
        <w:ind w:left="340" w:right="20" w:hanging="332"/>
        <w:spacing w:after="0" w:line="25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discussion above with regard to “Net Written Premiums and Net Premiums Earned”, as to changes in quota share ceding rates, effective December 31, 2020, December 15, 2019 and July 1, 2019.</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discussion above with regard to “Net Loss and LAE”, as to catastrophe losses in the three months and six months ended June 30, 2021 and 2020.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26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84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425"/>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   35,436,426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26,636,856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   70,025,644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53,578,306</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45,741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3,480,214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44,676</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7,311,313</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1,678,075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1,611,837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3,461,271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3,277,230</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gains (losses) on investments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2,254,299</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2,655,541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5,166,824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(3,653,643)</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124,243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261,145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294,552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506,119</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39,538,784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34,645,593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78,992,967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61,019,325</w:t>
            </w:r>
          </w:p>
        </w:tc>
      </w:tr>
      <w:tr>
        <w:trPr>
          <w:trHeight w:val="209"/>
        </w:trPr>
        <w:tc>
          <w:tcPr>
            <w:tcW w:w="58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20,759,210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12,813,631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43,319,882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29,199,452</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8,285,341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7,760,540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16,509,180</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15,616,467</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6,692,920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6,325,472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13,159,962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13,087,264</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804,462</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639,968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1,593,297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1,293,870</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36,541,933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27,539,611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74,582,321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59,197,053</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37" w:name="page38"/>
    <w:bookmarkEnd w:id="3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2,996,851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7,105,982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4,410,646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1,822,272</w:t>
            </w:r>
          </w:p>
        </w:tc>
      </w:tr>
      <w:tr>
        <w:trPr>
          <w:trHeight w:val="216"/>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569,266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1,387,003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820,831</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179,034</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2,427,585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5,718,979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3,589,815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1,643,238</w:t>
            </w:r>
          </w:p>
        </w:tc>
      </w:tr>
      <w:tr>
        <w:trPr>
          <w:trHeight w:val="197"/>
        </w:trPr>
        <w:tc>
          <w:tcPr>
            <w:tcW w:w="12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Net loss ratio</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r>
      <w:tr>
        <w:trPr>
          <w:trHeight w:val="216"/>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20"/>
        </w:trPr>
        <w:tc>
          <w:tcPr>
            <w:tcW w:w="12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Net combined ratio</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 costs and other</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underwriting expenses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14,978,261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14,086,012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29,669,142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28,703,731</w:t>
            </w:r>
          </w:p>
        </w:tc>
      </w:tr>
      <w:tr>
        <w:trPr>
          <w:trHeight w:val="216"/>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Ceding commission revenue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(45,741)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(3,480,214)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(44,676)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(7,311,313)</w:t>
            </w:r>
          </w:p>
        </w:tc>
      </w:tr>
      <w:tr>
        <w:trPr>
          <w:trHeight w:val="216"/>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Less: Other income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(124,243)</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(261,145)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(294,552)</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(506,119)</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expenses</w:t>
            </w: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14,808,277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10,344,653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29,329,914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20,886,299</w:t>
            </w:r>
          </w:p>
        </w:tc>
      </w:tr>
      <w:tr>
        <w:trPr>
          <w:trHeight w:val="197"/>
        </w:trPr>
        <w:tc>
          <w:tcPr>
            <w:tcW w:w="12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35,436,426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26,636,856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70,025,644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53,578,306</w:t>
            </w:r>
          </w:p>
        </w:tc>
      </w:tr>
      <w:tr>
        <w:trPr>
          <w:trHeight w:val="197"/>
        </w:trPr>
        <w:tc>
          <w:tcPr>
            <w:tcW w:w="12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336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2021</w:t>
            </w:r>
          </w:p>
        </w:tc>
        <w:tc>
          <w:tcPr>
            <w:tcW w:w="2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Direct</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Ceded</w:t>
            </w:r>
          </w:p>
        </w:tc>
        <w:tc>
          <w:tcPr>
            <w:tcW w:w="18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82,744,761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(14,630,872)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68,113,889</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1,936,706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(24,951)</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1,911,755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84,681,467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(14,655,823)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70,025,644</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20"/>
              <w:spacing w:after="0"/>
              <w:rPr>
                <w:sz w:val="20"/>
                <w:szCs w:val="20"/>
                <w:color w:val="auto"/>
              </w:rPr>
            </w:pPr>
            <w:r>
              <w:rPr>
                <w:rFonts w:ascii="Arial" w:cs="Arial" w:eastAsia="Arial" w:hAnsi="Arial"/>
                <w:sz w:val="18"/>
                <w:szCs w:val="18"/>
                <w:color w:val="auto"/>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44,096,040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(881,729)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43,214,311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105,571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105,571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44,201,611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(881,729)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43,319,882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Six months ended June 30, 2020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79,347,406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(28,066,253)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51,281,153</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5,376,958</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(3,079,805)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2,297,153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84,724,364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(31,146,058)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53,578,306</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20"/>
              <w:spacing w:after="0"/>
              <w:rPr>
                <w:sz w:val="20"/>
                <w:szCs w:val="20"/>
                <w:color w:val="auto"/>
              </w:rPr>
            </w:pPr>
            <w:r>
              <w:rPr>
                <w:rFonts w:ascii="Arial" w:cs="Arial" w:eastAsia="Arial" w:hAnsi="Arial"/>
                <w:sz w:val="18"/>
                <w:szCs w:val="18"/>
                <w:color w:val="auto"/>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37,080,936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(9,591,600)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27,489,336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2,337,948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(627,832)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1,710,116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39,418,884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(10,219,432)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29,199,452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June 30, 2021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44,615,644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(7,301,365)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37,314,279</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(1,852,772)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(25,081)</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(1,877,853)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42,762,872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(7,326,446)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35,436,426</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20"/>
              <w:spacing w:after="0"/>
              <w:rPr>
                <w:sz w:val="20"/>
                <w:szCs w:val="20"/>
                <w:color w:val="auto"/>
              </w:rPr>
            </w:pPr>
            <w:r>
              <w:rPr>
                <w:rFonts w:ascii="Arial" w:cs="Arial" w:eastAsia="Arial" w:hAnsi="Arial"/>
                <w:sz w:val="18"/>
                <w:szCs w:val="18"/>
                <w:color w:val="auto"/>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20,940,307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(57,873)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20,882,434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(123,224)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(123,224)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20,817,083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(57,873)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20,759,210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240"/>
          </w:cols>
          <w:pgMar w:left="320" w:top="140" w:right="339" w:bottom="0" w:gutter="0" w:footer="0" w:header="0"/>
        </w:sect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   42,650,477</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(14,559,998)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28,090,479</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(527,742)</w:t>
            </w:r>
          </w:p>
        </w:tc>
        <w:tc>
          <w:tcPr>
            <w:tcW w:w="5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(925,881)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(1,453,623)</w:t>
            </w:r>
          </w:p>
        </w:tc>
      </w:tr>
      <w:tr>
        <w:trPr>
          <w:trHeight w:val="30"/>
        </w:trPr>
        <w:tc>
          <w:tcPr>
            <w:tcW w:w="5840" w:type="dxa"/>
            <w:vAlign w:val="bottom"/>
            <w:shd w:val="clear" w:color="auto" w:fill="CCEEFF"/>
          </w:tcPr>
          <w:p>
            <w:pPr>
              <w:spacing w:after="0"/>
              <w:rPr>
                <w:sz w:val="2"/>
                <w:szCs w:val="2"/>
                <w:color w:val="auto"/>
              </w:rPr>
            </w:pPr>
          </w:p>
        </w:tc>
        <w:tc>
          <w:tcPr>
            <w:tcW w:w="1100" w:type="dxa"/>
            <w:vAlign w:val="bottom"/>
            <w:tcBorders>
              <w:top w:val="single" w:sz="8" w:color="auto"/>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tcBorders>
              <w:top w:val="single" w:sz="8" w:color="auto"/>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tcBorders>
              <w:top w:val="single" w:sz="8" w:color="auto"/>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ectPr>
          <w:pgSz w:w="11900" w:h="16900" w:orient="portrait"/>
          <w:cols w:equalWidth="0" w:num="1">
            <w:col w:w="11240"/>
          </w:cols>
          <w:pgMar w:left="320" w:top="140" w:right="339" w:bottom="0" w:gutter="0" w:footer="0" w:header="0"/>
          <w:type w:val="continuous"/>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42,122,735</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(15,485,879)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26,636,856</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420"/>
              <w:spacing w:after="0"/>
              <w:rPr>
                <w:sz w:val="20"/>
                <w:szCs w:val="20"/>
                <w:color w:val="auto"/>
              </w:rPr>
            </w:pPr>
            <w:r>
              <w:rPr>
                <w:rFonts w:ascii="Arial" w:cs="Arial" w:eastAsia="Arial" w:hAnsi="Arial"/>
                <w:sz w:val="18"/>
                <w:szCs w:val="18"/>
                <w:color w:val="auto"/>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15,109,585</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(3,807,610)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11,301,975</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2,056,580</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(544,924)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1,511,656</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17,166,165</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(4,352,534)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12,813,631</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r>
      <w:tr>
        <w:trPr>
          <w:trHeight w:val="20"/>
        </w:trPr>
        <w:tc>
          <w:tcPr>
            <w:tcW w:w="5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60" w:type="dxa"/>
            <w:vAlign w:val="bottom"/>
            <w:gridSpan w:val="5"/>
          </w:tcPr>
          <w:p>
            <w:pPr>
              <w:ind w:left="3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35,436,426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26,636,856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70,025,644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53,578,306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45,741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3,480,214</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44,676</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7,311,313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124,243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261,145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294,552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506,119</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20,759,210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12,813,631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43,319,882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29,199,452</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8,285,341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7,760,540</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16,509,180</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15,616,467</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6,692,920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6,325,472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13,159,962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13,087,264</w:t>
            </w:r>
          </w:p>
        </w:tc>
      </w:tr>
      <w:tr>
        <w:trPr>
          <w:trHeight w:val="209"/>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acquisition costs and other</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14,978,261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14,086,012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29,669,142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28,703,731</w:t>
            </w:r>
          </w:p>
        </w:tc>
      </w:tr>
      <w:tr>
        <w:trPr>
          <w:trHeight w:val="210"/>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Underwriting (loss)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(131,061)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3,478,572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(2,624,152)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3,492,555</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Key Measures: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Net loss ratio excluding the effect of catastrophes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catastrophe loss on net loss ratio (1)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740" w:type="dxa"/>
            <w:vAlign w:val="bottom"/>
          </w:tcPr>
          <w:p>
            <w:pPr>
              <w:ind w:left="220"/>
              <w:spacing w:after="0"/>
              <w:rPr>
                <w:sz w:val="20"/>
                <w:szCs w:val="20"/>
                <w:color w:val="auto"/>
              </w:rPr>
            </w:pPr>
            <w:r>
              <w:rPr>
                <w:rFonts w:ascii="Arial" w:cs="Arial" w:eastAsia="Arial" w:hAnsi="Arial"/>
                <w:sz w:val="18"/>
                <w:szCs w:val="18"/>
                <w:color w:val="auto"/>
              </w:rPr>
              <w:t>Net loss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r>
      <w:tr>
        <w:trPr>
          <w:trHeight w:val="210"/>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5740" w:type="dxa"/>
            <w:vAlign w:val="bottom"/>
          </w:tcPr>
          <w:p>
            <w:pPr>
              <w:ind w:left="220"/>
              <w:spacing w:after="0" w:line="201" w:lineRule="exact"/>
              <w:rPr>
                <w:sz w:val="20"/>
                <w:szCs w:val="20"/>
                <w:color w:val="auto"/>
              </w:rPr>
            </w:pPr>
            <w:r>
              <w:rPr>
                <w:rFonts w:ascii="Arial" w:cs="Arial" w:eastAsia="Arial" w:hAnsi="Arial"/>
                <w:sz w:val="18"/>
                <w:szCs w:val="18"/>
                <w:color w:val="auto"/>
              </w:rPr>
              <w:t>Net underwriting expense ratio excluding the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740" w:type="dxa"/>
            <w:vAlign w:val="bottom"/>
          </w:tcPr>
          <w:p>
            <w:pPr>
              <w:ind w:left="420"/>
              <w:spacing w:after="0"/>
              <w:rPr>
                <w:sz w:val="20"/>
                <w:szCs w:val="20"/>
                <w:color w:val="auto"/>
              </w:rPr>
            </w:pPr>
            <w:r>
              <w:rPr>
                <w:rFonts w:ascii="Arial" w:cs="Arial" w:eastAsia="Arial" w:hAnsi="Arial"/>
                <w:sz w:val="18"/>
                <w:szCs w:val="18"/>
                <w:color w:val="auto"/>
              </w:rPr>
              <w:t>effect of catastrophes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catastrophe loss on net underwriting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ratio</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10"/>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5740" w:type="dxa"/>
            <w:vAlign w:val="bottom"/>
          </w:tcPr>
          <w:p>
            <w:pPr>
              <w:ind w:left="220"/>
              <w:spacing w:after="0" w:line="201" w:lineRule="exact"/>
              <w:rPr>
                <w:sz w:val="20"/>
                <w:szCs w:val="20"/>
                <w:color w:val="auto"/>
              </w:rPr>
            </w:pPr>
            <w:r>
              <w:rPr>
                <w:rFonts w:ascii="Arial" w:cs="Arial" w:eastAsia="Arial" w:hAnsi="Arial"/>
                <w:sz w:val="18"/>
                <w:szCs w:val="18"/>
                <w:color w:val="auto"/>
              </w:rPr>
              <w:t>Net combined ratio excluding the effect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740" w:type="dxa"/>
            <w:vAlign w:val="bottom"/>
          </w:tcPr>
          <w:p>
            <w:pPr>
              <w:ind w:left="420"/>
              <w:spacing w:after="0"/>
              <w:rPr>
                <w:sz w:val="20"/>
                <w:szCs w:val="20"/>
                <w:color w:val="auto"/>
              </w:rPr>
            </w:pPr>
            <w:r>
              <w:rPr>
                <w:rFonts w:ascii="Arial" w:cs="Arial" w:eastAsia="Arial" w:hAnsi="Arial"/>
                <w:sz w:val="18"/>
                <w:szCs w:val="18"/>
                <w:color w:val="auto"/>
              </w:rPr>
              <w:t>of catastrophes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90.3%</w:t>
            </w: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catastrophe loss on net combined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ratio (1)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740" w:type="dxa"/>
            <w:vAlign w:val="bottom"/>
          </w:tcPr>
          <w:p>
            <w:pPr>
              <w:ind w:left="220"/>
              <w:spacing w:after="0"/>
              <w:rPr>
                <w:sz w:val="20"/>
                <w:szCs w:val="20"/>
                <w:color w:val="auto"/>
              </w:rPr>
            </w:pPr>
            <w:r>
              <w:rPr>
                <w:rFonts w:ascii="Arial" w:cs="Arial" w:eastAsia="Arial" w:hAnsi="Arial"/>
                <w:sz w:val="18"/>
                <w:szCs w:val="18"/>
                <w:color w:val="auto"/>
              </w:rPr>
              <w:t>Net combined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costs and other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420"/>
              <w:spacing w:after="0"/>
              <w:rPr>
                <w:sz w:val="20"/>
                <w:szCs w:val="20"/>
                <w:color w:val="auto"/>
              </w:rPr>
            </w:pPr>
            <w:r>
              <w:rPr>
                <w:rFonts w:ascii="Arial" w:cs="Arial" w:eastAsia="Arial" w:hAnsi="Arial"/>
                <w:sz w:val="18"/>
                <w:szCs w:val="18"/>
                <w:color w:val="auto"/>
              </w:rPr>
              <w:t>underwriting expenses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14,978,261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14,086,012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29,669,142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28,703,731</w:t>
            </w: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Ceding commission revenue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(45,741)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(3,480,214)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(44,676)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(7,311,313)</w:t>
            </w: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Less: Other 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(124,243)</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(261,145)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(294,552)</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(506,119)</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14,808,277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10,344,653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29,329,914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20,886,299</w:t>
            </w:r>
          </w:p>
        </w:tc>
      </w:tr>
      <w:tr>
        <w:trPr>
          <w:trHeight w:val="196"/>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earned premium</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35,436,426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26,636,856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70,025,644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53,578,306</w:t>
            </w:r>
          </w:p>
        </w:tc>
      </w:tr>
      <w:tr>
        <w:trPr>
          <w:trHeight w:val="197"/>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three months ended June 30, 2021 and 2020, includes the sum of net catastrophe losses and loss adjustment expenses of $(123,224) and $1,511,656, respectively. For the six months ended June 30, 2021 and 2020, includes the sum of net catastrophe losses and loss adjustment expenses of $105,571 and $1,710,116,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1">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40" w:right="339" w:bottom="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ind w:firstLine="607"/>
        <w:spacing w:after="0" w:line="277" w:lineRule="auto"/>
        <w:rPr>
          <w:sz w:val="20"/>
          <w:szCs w:val="20"/>
          <w:color w:val="auto"/>
        </w:rPr>
      </w:pPr>
      <w:r>
        <w:rPr>
          <w:rFonts w:ascii="Arial" w:cs="Arial" w:eastAsia="Arial" w:hAnsi="Arial"/>
          <w:sz w:val="18"/>
          <w:szCs w:val="18"/>
          <w:color w:val="auto"/>
        </w:rPr>
        <w:t>The following table presents a breakdown of the amortized cost, estimated fair value, and unrealized gains and losses of our investments in fixed-maturity securities classified as available-for-sale as of June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June 30,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100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1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8"/>
              </w:rPr>
              <w:t>Less than 12</w:t>
            </w:r>
          </w:p>
        </w:tc>
        <w:tc>
          <w:tcPr>
            <w:tcW w:w="110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w w:val="90"/>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6"/>
              </w:rPr>
              <w:t>Fair</w:t>
            </w:r>
          </w:p>
        </w:tc>
        <w:tc>
          <w:tcPr>
            <w:tcW w:w="106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 and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2,008,936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2,020,780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8,587,648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8,831,131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Corporate and other bonds Industrial and miscellaneous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97,021,903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8,314,462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105,319,527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Residential mortgage and other asset backed securities</w:t>
            </w: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21,279,363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546,118</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(2,560)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(77,707)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9"/>
              </w:rPr>
              <w:t>21,745,214</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128,897,850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9,148,115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(51,606)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(77,707)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137,916,652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to the condensed consolidated financial statements). The eligible collateral would be pledged to FHLBNY if KICO draws an advance from the FHLBNY credit line. As of June 30, 2021, the estimated fair value of the eligible investments was approximately $10,837,000. KICO will retain all rights regarding all securities if pledged as collateral. As of June 30, 2021, there was no outstanding balance on the FHLBNY credit 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102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1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8"/>
              </w:rPr>
              <w:t>Less than 12</w:t>
            </w:r>
          </w:p>
        </w:tc>
        <w:tc>
          <w:tcPr>
            <w:tcW w:w="110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w w:val="90"/>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6"/>
              </w:rPr>
              <w:t>Fair</w:t>
            </w:r>
          </w:p>
        </w:tc>
        <w:tc>
          <w:tcPr>
            <w:tcW w:w="106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3,020,710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3,049,900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5,287,561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5,643,102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Corporate and other bonds Industrial and miscellaneous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108,573,422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11,634,123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120,194,329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Residential mortgage and other asset backed securities</w:t>
            </w: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28,163,891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617,368</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(7,371)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(111,947)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9"/>
              </w:rPr>
              <w:t>28,661,941</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3"/>
          </w:tcPr>
          <w:p>
            <w:pPr>
              <w:ind w:left="220"/>
              <w:spacing w:after="0"/>
              <w:rPr>
                <w:sz w:val="20"/>
                <w:szCs w:val="20"/>
                <w:color w:val="auto"/>
              </w:rPr>
            </w:pPr>
            <w:r>
              <w:rPr>
                <w:rFonts w:ascii="Arial" w:cs="Arial" w:eastAsia="Arial" w:hAnsi="Arial"/>
                <w:sz w:val="18"/>
                <w:szCs w:val="18"/>
                <w:color w:val="auto"/>
              </w:rPr>
              <w:t>Total fixed-maturity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145,045,584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12,636,222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(20,587)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(111,947)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157,549,272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KICO placed certain residential mortgage backed securities as eligible collateral in a designated custodian account related to its membership in the Federal Home Loan Bank of New York (“FHLBNY”) (see Note 7 to the condensed consolidated financial statements). The eligible collateral would be pledged to FHLBNY if KICO draws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firstLine="607"/>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and losses on, investments in equity securities as of June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2021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18,344,078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1,626,038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19,882,868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mutual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14,335,646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2,120,909</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(21,492)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16,435,063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32,679,724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3,746,947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36,317,931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337" w:right="339" w:bottom="0" w:gutter="0" w:footer="0" w:header="0"/>
        </w:sectPr>
      </w:pPr>
    </w:p>
    <w:bookmarkStart w:id="40" w:name="page41"/>
    <w:bookmarkEnd w:id="40"/>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6"/>
        </w:trPr>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18,097,942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853,277</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(426,942)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18,524,277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w:t>
            </w: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Common stocks and exchange traded mutual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14,473,224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1,820,512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(404,700)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15,889,036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32,571,166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2,673,789</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(831,642)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34,413,313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a breakdown of the cost and estimated fair value of, and gross gains on, our other investments as of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June 30, 2021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$ 3,999,381</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$ 2,876,584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$ 6,875,965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$ 3,368,626</w:t>
            </w:r>
          </w:p>
        </w:tc>
      </w:t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$ 4,106,473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$ 2,876,584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$ 6,983,057</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$ 2,149,381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$ 3,518,626</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June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5"/>
          </w:tcPr>
          <w:p>
            <w:pPr>
              <w:jc w:val="center"/>
              <w:ind w:left="30"/>
              <w:spacing w:after="0"/>
              <w:rPr>
                <w:sz w:val="20"/>
                <w:szCs w:val="20"/>
                <w:color w:val="auto"/>
              </w:rPr>
            </w:pPr>
            <w:r>
              <w:rPr>
                <w:rFonts w:ascii="Arial" w:cs="Arial" w:eastAsia="Arial" w:hAnsi="Arial"/>
                <w:sz w:val="18"/>
                <w:szCs w:val="18"/>
                <w:b w:val="1"/>
                <w:bCs w:val="1"/>
                <w:color w:val="auto"/>
                <w:w w:val="88"/>
              </w:rPr>
              <w:t>June 30, 2021</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1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86"/>
              </w:rPr>
              <w:t>Gross Unrealized Losses</w:t>
            </w:r>
          </w:p>
        </w:tc>
        <w:tc>
          <w:tcPr>
            <w:tcW w:w="100" w:type="dxa"/>
            <w:vAlign w:val="bottom"/>
          </w:tcPr>
          <w:p>
            <w:pPr>
              <w:spacing w:after="0"/>
              <w:rPr>
                <w:sz w:val="24"/>
                <w:szCs w:val="24"/>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1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900" w:type="dxa"/>
            <w:vAlign w:val="bottom"/>
            <w:gridSpan w:val="5"/>
          </w:tcPr>
          <w:p>
            <w:pPr>
              <w:jc w:val="right"/>
              <w:ind w:right="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1200" w:type="dxa"/>
            <w:vAlign w:val="bottom"/>
            <w:tcBorders>
              <w:top w:val="single" w:sz="8" w:color="auto"/>
            </w:tcBorders>
            <w:gridSpan w:val="4"/>
          </w:tcPr>
          <w:p>
            <w:pPr>
              <w:jc w:val="right"/>
              <w:ind w:right="240"/>
              <w:spacing w:after="0" w:line="191" w:lineRule="exact"/>
              <w:rPr>
                <w:sz w:val="20"/>
                <w:szCs w:val="20"/>
                <w:color w:val="auto"/>
              </w:rPr>
            </w:pPr>
            <w:r>
              <w:rPr>
                <w:rFonts w:ascii="Arial" w:cs="Arial" w:eastAsia="Arial" w:hAnsi="Arial"/>
                <w:sz w:val="18"/>
                <w:szCs w:val="18"/>
                <w:b w:val="1"/>
                <w:bCs w:val="1"/>
                <w:color w:val="auto"/>
                <w:w w:val="86"/>
              </w:rPr>
              <w:t>Less than 12</w:t>
            </w:r>
          </w:p>
        </w:tc>
        <w:tc>
          <w:tcPr>
            <w:tcW w:w="102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b w:val="1"/>
                <w:bCs w:val="1"/>
                <w:color w:val="auto"/>
                <w:w w:val="90"/>
              </w:rPr>
              <w:t>More than 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rPr>
              <w:t>Fair</w:t>
            </w:r>
          </w:p>
        </w:tc>
        <w:tc>
          <w:tcPr>
            <w:tcW w:w="106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34"/>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Months</w:t>
            </w:r>
          </w:p>
        </w:tc>
        <w:tc>
          <w:tcPr>
            <w:tcW w:w="1140" w:type="dxa"/>
            <w:vAlign w:val="bottom"/>
            <w:gridSpan w:val="4"/>
          </w:tcPr>
          <w:p>
            <w:pPr>
              <w:ind w:left="200"/>
              <w:spacing w:after="0"/>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7"/>
              </w:rPr>
              <w:t>Value</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128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729,618</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211,439</w:t>
            </w:r>
          </w:p>
        </w:tc>
        <w:tc>
          <w:tcPr>
            <w:tcW w:w="680" w:type="dxa"/>
            <w:vAlign w:val="bottom"/>
            <w:tcBorders>
              <w:right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941,057</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Political subdivisions of States, Territories and Possessions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998,336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36,789</w:t>
            </w: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1,035,125</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949,142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35,289</w:t>
            </w: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(1,684)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982,747</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Corporate and other bonds Industrial and miscellaneous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7,145,703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358,265</w:t>
            </w: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(4,580)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7,499,388</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r>
      <w:tr>
        <w:trPr>
          <w:trHeight w:val="210"/>
        </w:trPr>
        <w:tc>
          <w:tcPr>
            <w:tcW w:w="12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$ 9,822,799</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641,782</w:t>
            </w:r>
          </w:p>
        </w:tc>
        <w:tc>
          <w:tcPr>
            <w:tcW w:w="680" w:type="dxa"/>
            <w:vAlign w:val="bottom"/>
            <w:tcBorders>
              <w:right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(6,264)</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10,458,317</w:t>
            </w:r>
          </w:p>
        </w:tc>
        <w:tc>
          <w:tcPr>
            <w:tcW w:w="8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30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r>
        <w:trPr>
          <w:trHeight w:val="372"/>
        </w:trPr>
        <w:tc>
          <w:tcPr>
            <w:tcW w:w="440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w w:val="94"/>
              </w:rPr>
              <w:t>December 31, 2020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07"/>
        </w:trPr>
        <w:tc>
          <w:tcPr>
            <w:tcW w:w="1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Gross Unrealized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1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4"/>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Less than</w:t>
            </w:r>
          </w:p>
        </w:tc>
        <w:tc>
          <w:tcPr>
            <w:tcW w:w="7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7"/>
              </w:rPr>
              <w:t>More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8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72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than 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Fair</w:t>
            </w:r>
          </w:p>
        </w:tc>
        <w:tc>
          <w:tcPr>
            <w:tcW w:w="1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Months</w:t>
            </w: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128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729,595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319,714</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$ 1,049,309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128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Political subdivisions of States, Territories and Possessions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998,428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1,049,345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128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Corporate and other bonds Industrial and miscellaneous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7"/>
              </w:rPr>
              <w:t>5,640,792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455,378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6,096,170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r>
      <w:tr>
        <w:trPr>
          <w:trHeight w:val="209"/>
        </w:trPr>
        <w:tc>
          <w:tcPr>
            <w:tcW w:w="12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gridSpan w:val="2"/>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gridSpan w:val="4"/>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$ 7,368,815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826,009</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right w:val="single" w:sz="8" w:color="CCEEFF"/>
            </w:tcBorders>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$ 8,194,824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ectPr>
          <w:pgSz w:w="11900" w:h="16868" w:orient="portrait"/>
          <w:cols w:equalWidth="0" w:num="1">
            <w:col w:w="11240"/>
          </w:cols>
          <w:pgMar w:left="320" w:top="557" w:right="339" w:bottom="0" w:gutter="0" w:footer="0" w:header="0"/>
        </w:sectPr>
      </w:pPr>
    </w:p>
    <w:bookmarkStart w:id="41" w:name="page42"/>
    <w:bookmarkEnd w:id="41"/>
    <w:p>
      <w:pPr>
        <w:ind w:right="20"/>
        <w:spacing w:after="0" w:line="277" w:lineRule="auto"/>
        <w:rPr>
          <w:sz w:val="20"/>
          <w:szCs w:val="20"/>
          <w:color w:val="auto"/>
        </w:rPr>
      </w:pPr>
      <w:r>
        <w:rPr>
          <w:rFonts w:ascii="Arial" w:cs="Arial" w:eastAsia="Arial" w:hAnsi="Arial"/>
          <w:sz w:val="18"/>
          <w:szCs w:val="18"/>
          <w:color w:val="auto"/>
        </w:rPr>
        <w:t>A summary of the amortized cost and fair value of our investments in held-to-maturity securities by contractual maturity as of June 30, 2021 and December 31, 2020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1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128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899,352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916,678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1,699,763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1,822,853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2,598,193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2,777,936</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1,508,198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1,701,590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1,502,603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1,727,316</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5,715,486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6,017,196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3,268,019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3,689,572</w:t>
            </w: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9,822,799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10,458,317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260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June 30, 2021 and December 31, 2020 as rated by Standard &amp; Poor’s (or, if unavailable from Standard &amp; Poor’s, then Moody’s or Fitch):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20"/>
                <w:szCs w:val="20"/>
                <w:color w:val="auto"/>
              </w:rPr>
            </w:pPr>
          </w:p>
        </w:tc>
        <w:tc>
          <w:tcPr>
            <w:tcW w:w="246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12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Fair Market</w:t>
            </w: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Fair Market</w:t>
            </w:r>
          </w:p>
        </w:tc>
        <w:tc>
          <w:tcPr>
            <w:tcW w:w="13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9"/>
              </w:rPr>
              <w:t>Fair Market</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Fair Market</w:t>
            </w:r>
          </w:p>
        </w:tc>
      </w:tr>
      <w:tr>
        <w:trPr>
          <w:trHeight w:val="234"/>
        </w:trPr>
        <w:tc>
          <w:tcPr>
            <w:tcW w:w="12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r>
      <w:tr>
        <w:trPr>
          <w:trHeight w:val="425"/>
        </w:trPr>
        <w:tc>
          <w:tcPr>
            <w:tcW w:w="4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Rating</w:t>
            </w: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2,020,780</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3,049,900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0"/>
        </w:trPr>
        <w:tc>
          <w:tcPr>
            <w:tcW w:w="12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AAA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2,519,170</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rPr>
              <w:t>1,453,924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5,233,677</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3,572,164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21,332,628</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rPr>
              <w:t>23,989,619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84,036,791</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95,814,824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Non rated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1,028,392</w:t>
            </w:r>
          </w:p>
        </w:tc>
        <w:tc>
          <w:tcPr>
            <w:tcW w:w="22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rPr>
              <w:t>1,006,901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1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corporate and municipal bonds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114,150,658</w:t>
            </w:r>
          </w:p>
        </w:tc>
        <w:tc>
          <w:tcPr>
            <w:tcW w:w="2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5"/>
              </w:rPr>
              <w:t>125,837,432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r>
      <w:tr>
        <w:trPr>
          <w:trHeight w:val="210"/>
        </w:trPr>
        <w:tc>
          <w:tcPr>
            <w:tcW w:w="12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AAA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1,997,000</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rPr>
              <w:t>5,467,075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16,196,173</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18,865,749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1,991,531</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rPr>
              <w:t>2,451,635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37,105</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50,276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CCC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481,770</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rPr>
              <w:t>960,042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CC</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58,874</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62,029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rPr>
              <w:t>15,161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62,876</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119,144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Non rated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919,885</w:t>
            </w:r>
          </w:p>
        </w:tc>
        <w:tc>
          <w:tcPr>
            <w:tcW w:w="22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rPr>
              <w:t>670,829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1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residential mortgage backed securities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21,745,214</w:t>
            </w:r>
          </w:p>
        </w:tc>
        <w:tc>
          <w:tcPr>
            <w:tcW w:w="2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28,661,940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10"/>
        </w:trPr>
        <w:tc>
          <w:tcPr>
            <w:tcW w:w="12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137,916,652</w:t>
            </w:r>
          </w:p>
        </w:tc>
        <w:tc>
          <w:tcPr>
            <w:tcW w:w="220" w:type="dxa"/>
            <w:vAlign w:val="bottom"/>
            <w:shd w:val="clear" w:color="auto" w:fill="CCEEFF"/>
          </w:tcPr>
          <w:p>
            <w:pPr>
              <w:spacing w:after="0"/>
              <w:rPr>
                <w:sz w:val="20"/>
                <w:szCs w:val="20"/>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5"/>
              </w:rPr>
              <w:t>157,549,272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9980" w:type="dxa"/>
            <w:vAlign w:val="bottom"/>
            <w:gridSpan w:val="17"/>
          </w:tcPr>
          <w:p>
            <w:pPr>
              <w:ind w:left="620"/>
              <w:spacing w:after="0"/>
              <w:rPr>
                <w:sz w:val="20"/>
                <w:szCs w:val="20"/>
                <w:color w:val="auto"/>
              </w:rPr>
            </w:pPr>
            <w:r>
              <w:rPr>
                <w:rFonts w:ascii="Arial" w:cs="Arial" w:eastAsia="Arial" w:hAnsi="Arial"/>
                <w:sz w:val="18"/>
                <w:szCs w:val="18"/>
                <w:color w:val="auto"/>
                <w:w w:val="93"/>
              </w:rPr>
              <w:t>The table below summarizes the average yield by type of fixed-maturity security as of June 30, 2021 and December 31, 2020: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June 30, 2021</w:t>
            </w:r>
          </w:p>
        </w:tc>
        <w:tc>
          <w:tcPr>
            <w:tcW w:w="162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88"/>
              </w:rPr>
              <w:t>December 31, 2020</w:t>
            </w:r>
          </w:p>
        </w:tc>
      </w:tr>
      <w:tr>
        <w:trPr>
          <w:trHeight w:val="426"/>
        </w:trPr>
        <w:tc>
          <w:tcPr>
            <w:tcW w:w="1280" w:type="dxa"/>
            <w:vAlign w:val="bottom"/>
            <w:tcBorders>
              <w:top w:val="single" w:sz="8" w:color="auto"/>
            </w:tcBorders>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corporations and agencies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r>
        <w:trPr>
          <w:trHeight w:val="648"/>
        </w:trPr>
        <w:tc>
          <w:tcPr>
            <w:tcW w:w="12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240"/>
          </w:cols>
          <w:pgMar w:left="320" w:top="341" w:right="339" w:bottom="163" w:gutter="0" w:footer="0" w:header="0"/>
        </w:sectPr>
      </w:pPr>
    </w:p>
    <w:bookmarkStart w:id="42" w:name="page43"/>
    <w:bookmarkEnd w:id="42"/>
    <w:p>
      <w:pPr>
        <w:ind w:left="620"/>
        <w:spacing w:after="0"/>
        <w:rPr>
          <w:sz w:val="20"/>
          <w:szCs w:val="20"/>
          <w:color w:val="auto"/>
        </w:rPr>
      </w:pPr>
      <w:r>
        <w:rPr>
          <w:rFonts w:ascii="Arial" w:cs="Arial" w:eastAsia="Arial" w:hAnsi="Arial"/>
          <w:sz w:val="17"/>
          <w:szCs w:val="17"/>
          <w:color w:val="auto"/>
        </w:rPr>
        <w:t>The table below lists the weighted average maturity and effective duration in years on our fixed-maturity securities as of June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December 31, 2020</w:t>
            </w:r>
          </w:p>
        </w:tc>
        <w:tc>
          <w:tcPr>
            <w:tcW w:w="10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2021 and December 31, 2020, 81% of the investment portfolio recorded at fair value was priced based upon quoted market prices.</w:t>
      </w:r>
    </w:p>
    <w:p>
      <w:pPr>
        <w:spacing w:after="0" w:line="17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June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rPr>
              <w:t>June 30, 2021</w:t>
            </w: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13"/>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12"/>
          </w:tcPr>
          <w:p>
            <w:pPr>
              <w:ind w:left="600"/>
              <w:spacing w:after="0"/>
              <w:rPr>
                <w:sz w:val="20"/>
                <w:szCs w:val="20"/>
                <w:color w:val="auto"/>
              </w:rPr>
            </w:pPr>
            <w:r>
              <w:rPr>
                <w:rFonts w:ascii="Arial" w:cs="Arial" w:eastAsia="Arial" w:hAnsi="Arial"/>
                <w:sz w:val="18"/>
                <w:szCs w:val="18"/>
                <w:b w:val="1"/>
                <w:bCs w:val="1"/>
                <w:color w:val="auto"/>
              </w:rPr>
              <w:t>12 months or more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ind w:left="640"/>
              <w:spacing w:after="0"/>
              <w:rPr>
                <w:sz w:val="20"/>
                <w:szCs w:val="20"/>
                <w:color w:val="auto"/>
              </w:rPr>
            </w:pPr>
            <w:r>
              <w:rPr>
                <w:rFonts w:ascii="Arial" w:cs="Arial" w:eastAsia="Arial" w:hAnsi="Arial"/>
                <w:sz w:val="18"/>
                <w:szCs w:val="18"/>
                <w:b w:val="1"/>
                <w:bCs w:val="1"/>
                <w:color w:val="auto"/>
                <w:w w:val="97"/>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gridSpan w:val="4"/>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Estimated</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0"/>
              </w:rPr>
              <w:t>No.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gridSpan w:val="4"/>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8"/>
                <w:szCs w:val="18"/>
                <w:color w:val="auto"/>
              </w:rPr>
            </w:pPr>
          </w:p>
        </w:tc>
        <w:tc>
          <w:tcPr>
            <w:tcW w:w="1040" w:type="dxa"/>
            <w:vAlign w:val="bottom"/>
            <w:gridSpan w:val="5"/>
          </w:tcPr>
          <w:p>
            <w:pPr>
              <w:ind w:left="8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3"/>
              </w:rPr>
              <w:t>Positions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40" w:type="dxa"/>
            <w:vAlign w:val="bottom"/>
            <w:gridSpan w:val="5"/>
          </w:tcPr>
          <w:p>
            <w:pPr>
              <w:ind w:left="10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Positions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3"/>
              </w:rPr>
              <w:t>Losses</w:t>
            </w:r>
          </w:p>
        </w:tc>
        <w:tc>
          <w:tcPr>
            <w:tcW w:w="80" w:type="dxa"/>
            <w:vAlign w:val="bottom"/>
          </w:tcPr>
          <w:p>
            <w:pPr>
              <w:spacing w:after="0"/>
              <w:rPr>
                <w:sz w:val="20"/>
                <w:szCs w:val="20"/>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Held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Held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26"/>
        </w:trPr>
        <w:tc>
          <w:tcPr>
            <w:tcW w:w="30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U.S. Treasury securities and obligations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of U.S. government corporations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1,073,200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(32,208)</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1,073,200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(32,208)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Corporate and other bonds industrial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1,084,560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(16,838)</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1,084,560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(16,838)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Residential mortgage and other asset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9"/>
              </w:rPr>
              <w:t>3,083,104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(2,560)</w:t>
            </w:r>
          </w:p>
        </w:tc>
        <w:tc>
          <w:tcPr>
            <w:tcW w:w="9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9"/>
              </w:rPr>
              <w:t>3,237,151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(77,707)</w:t>
            </w:r>
          </w:p>
        </w:tc>
        <w:tc>
          <w:tcPr>
            <w:tcW w:w="92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6,320,255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(80,267)</w:t>
            </w:r>
          </w:p>
        </w:tc>
        <w:tc>
          <w:tcPr>
            <w:tcW w:w="0" w:type="dxa"/>
            <w:vAlign w:val="bottom"/>
          </w:tcPr>
          <w:p>
            <w:pPr>
              <w:spacing w:after="0"/>
              <w:rPr>
                <w:sz w:val="1"/>
                <w:szCs w:val="1"/>
                <w:color w:val="auto"/>
              </w:rPr>
            </w:pPr>
          </w:p>
        </w:tc>
      </w:tr>
      <w:tr>
        <w:trPr>
          <w:trHeight w:val="217"/>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90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4"/>
              </w:rPr>
              <w:t>$ 5,240,864</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(51,606)</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120" w:type="dxa"/>
            <w:vAlign w:val="bottom"/>
            <w:tcBorders>
              <w:righ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$ 3,237,151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(77,707)</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$ 8,478,015</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(129,313)</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02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8"/>
                <w:szCs w:val="18"/>
                <w:b w:val="1"/>
                <w:bCs w:val="1"/>
                <w:color w:val="auto"/>
                <w:w w:val="92"/>
              </w:rPr>
              <w:t>December 31, 2020</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13"/>
          </w:tcPr>
          <w:p>
            <w:pPr>
              <w:jc w:val="right"/>
              <w:ind w:right="78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12"/>
          </w:tcPr>
          <w:p>
            <w:pPr>
              <w:ind w:left="520"/>
              <w:spacing w:after="0"/>
              <w:rPr>
                <w:sz w:val="20"/>
                <w:szCs w:val="20"/>
                <w:color w:val="auto"/>
              </w:rPr>
            </w:pPr>
            <w:r>
              <w:rPr>
                <w:rFonts w:ascii="Arial" w:cs="Arial" w:eastAsia="Arial" w:hAnsi="Arial"/>
                <w:sz w:val="18"/>
                <w:szCs w:val="18"/>
                <w:b w:val="1"/>
                <w:bCs w:val="1"/>
                <w:color w:val="auto"/>
              </w:rPr>
              <w:t>12 months or more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ind w:left="60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gridSpan w:val="5"/>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Estimated</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No. of</w:t>
            </w:r>
          </w:p>
        </w:tc>
        <w:tc>
          <w:tcPr>
            <w:tcW w:w="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gridSpan w:val="5"/>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gridSpan w:val="4"/>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20" w:type="dxa"/>
            <w:vAlign w:val="bottom"/>
            <w:gridSpan w:val="6"/>
          </w:tcPr>
          <w:p>
            <w:pPr>
              <w:ind w:left="80"/>
              <w:spacing w:after="0"/>
              <w:rPr>
                <w:sz w:val="20"/>
                <w:szCs w:val="20"/>
                <w:color w:val="auto"/>
              </w:rPr>
            </w:pPr>
            <w:r>
              <w:rPr>
                <w:rFonts w:ascii="Arial" w:cs="Arial" w:eastAsia="Arial" w:hAnsi="Arial"/>
                <w:sz w:val="18"/>
                <w:szCs w:val="18"/>
                <w:b w:val="1"/>
                <w:bCs w:val="1"/>
                <w:color w:val="auto"/>
              </w:rPr>
              <w:t>Unrealized</w:t>
            </w:r>
          </w:p>
        </w:tc>
        <w:tc>
          <w:tcPr>
            <w:tcW w:w="9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3"/>
              </w:rPr>
              <w:t>Positions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Fair</w:t>
            </w:r>
          </w:p>
        </w:tc>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Unrealized</w:t>
            </w:r>
          </w:p>
        </w:tc>
        <w:tc>
          <w:tcPr>
            <w:tcW w:w="9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6"/>
              </w:rPr>
              <w:t>Positions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0"/>
              </w:rPr>
              <w:t>Losses</w:t>
            </w:r>
          </w:p>
        </w:tc>
        <w:tc>
          <w:tcPr>
            <w:tcW w:w="22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0"/>
              </w:rPr>
              <w:t>Losses</w:t>
            </w:r>
          </w:p>
        </w:tc>
        <w:tc>
          <w:tcPr>
            <w:tcW w:w="20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Held</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U.S. Treasury securities and obligations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of U.S. government corporations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1,006,901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(13,216)</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1,006,901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Residential mortgage and other asset</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6,137,522</w:t>
            </w:r>
          </w:p>
        </w:tc>
        <w:tc>
          <w:tcPr>
            <w:tcW w:w="80" w:type="dxa"/>
            <w:vAlign w:val="bottom"/>
            <w:vMerge w:val="restart"/>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(7,371)</w:t>
            </w:r>
          </w:p>
        </w:tc>
        <w:tc>
          <w:tcPr>
            <w:tcW w:w="140" w:type="dxa"/>
            <w:vAlign w:val="bottom"/>
            <w:shd w:val="clear" w:color="auto" w:fill="CCEEFF"/>
          </w:tcPr>
          <w:p>
            <w:pPr>
              <w:spacing w:after="0"/>
              <w:rPr>
                <w:sz w:val="17"/>
                <w:szCs w:val="17"/>
                <w:color w:val="auto"/>
              </w:rPr>
            </w:pPr>
          </w:p>
        </w:tc>
        <w:tc>
          <w:tcPr>
            <w:tcW w:w="8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c>
          <w:tcPr>
            <w:tcW w:w="100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3,735,732</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88"/>
              </w:rPr>
              <w:t>(111,947)</w:t>
            </w:r>
          </w:p>
        </w:tc>
        <w:tc>
          <w:tcPr>
            <w:tcW w:w="12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9,873,254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5"/>
              </w:rPr>
              <w:t>(119,318)</w:t>
            </w:r>
          </w:p>
        </w:tc>
        <w:tc>
          <w:tcPr>
            <w:tcW w:w="0" w:type="dxa"/>
            <w:vAlign w:val="bottom"/>
          </w:tcPr>
          <w:p>
            <w:pPr>
              <w:spacing w:after="0"/>
              <w:rPr>
                <w:sz w:val="1"/>
                <w:szCs w:val="1"/>
                <w:color w:val="auto"/>
              </w:rPr>
            </w:pPr>
          </w:p>
        </w:tc>
      </w:tr>
      <w:tr>
        <w:trPr>
          <w:trHeight w:val="217"/>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840" w:type="dxa"/>
            <w:vAlign w:val="bottom"/>
            <w:gridSpan w:val="3"/>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5"/>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3"/>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gridSpan w:val="2"/>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3"/>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gridSpan w:val="2"/>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3"/>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$ 7,144,423</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(20,587)</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0"/>
                <w:szCs w:val="20"/>
                <w:color w:val="auto"/>
              </w:rPr>
            </w:pP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4"/>
              </w:rPr>
              <w:t>$ 3,735,732</w:t>
            </w: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(111,947)</w:t>
            </w: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0"/>
                <w:szCs w:val="20"/>
                <w:color w:val="auto"/>
              </w:rPr>
            </w:pP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10,880,155</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(132,534)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ind w:firstLine="607"/>
        <w:spacing w:after="0" w:line="342" w:lineRule="auto"/>
        <w:rPr>
          <w:sz w:val="20"/>
          <w:szCs w:val="20"/>
          <w:color w:val="auto"/>
        </w:rPr>
      </w:pPr>
      <w:r>
        <w:rPr>
          <w:rFonts w:ascii="Arial" w:cs="Arial" w:eastAsia="Arial" w:hAnsi="Arial"/>
          <w:sz w:val="16"/>
          <w:szCs w:val="16"/>
          <w:color w:val="auto"/>
        </w:rPr>
        <w:t>There were 15 securities at June 30, 2021 that accounted for the gross unrealized loss of our fixed-maturity securities available-for-sale, none of which were deemed by us to be other than temporarily impaired. There were 16 securities at December 31, 2020 that accounted for the gross unrealized</w:t>
      </w:r>
    </w:p>
    <w:p>
      <w:pPr>
        <w:sectPr>
          <w:pgSz w:w="11900" w:h="16838" w:orient="portrait"/>
          <w:cols w:equalWidth="0" w:num="1">
            <w:col w:w="11240"/>
          </w:cols>
          <w:pgMar w:left="320" w:top="125" w:right="339" w:bottom="0" w:gutter="0" w:footer="0" w:header="0"/>
          <w:type w:val="continuous"/>
        </w:sectPr>
      </w:pPr>
    </w:p>
    <w:bookmarkStart w:id="43" w:name="page44"/>
    <w:bookmarkEnd w:id="43"/>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For the six months ended June 30, 2021, the primary source of cash flow for our holding company was the dividends received from KICO, subject to statutory restrictions. For the six months ended June 30, 2021, KICO paid dividends of $2,000,000 to us.</w:t>
      </w:r>
    </w:p>
    <w:p>
      <w:pPr>
        <w:spacing w:after="0" w:line="170"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condensed consolidated financial statements - Investments, for eligible collateral held in a designated custodian account available for future advances. Advances are limited to 5% of KICO’s net admitted assets as of the end of the previous quarter, which is March 31, 2021, and are due and payable within 90 days of borrowing. The maximum allowable advance as of June 30, 2021, based on the net admitted assets as of March 31, 2021, was approximately $12,480,000. Advances are limited to 85% of the amount of available collateral, which was approximately $9,211,000 as of June 30, 2021. There were no borrowings under this facility during the six months ended June 30, 2021.</w:t>
      </w:r>
    </w:p>
    <w:p>
      <w:pPr>
        <w:spacing w:after="0" w:line="178" w:lineRule="exact"/>
        <w:rPr>
          <w:sz w:val="20"/>
          <w:szCs w:val="20"/>
          <w:color w:val="auto"/>
        </w:rPr>
      </w:pPr>
    </w:p>
    <w:p>
      <w:pPr>
        <w:jc w:val="both"/>
        <w:ind w:right="20" w:firstLine="607"/>
        <w:spacing w:after="0" w:line="308" w:lineRule="auto"/>
        <w:rPr>
          <w:sz w:val="20"/>
          <w:szCs w:val="20"/>
          <w:color w:val="auto"/>
        </w:rPr>
      </w:pPr>
      <w:r>
        <w:rPr>
          <w:rFonts w:ascii="Arial" w:cs="Arial" w:eastAsia="Arial" w:hAnsi="Arial"/>
          <w:sz w:val="17"/>
          <w:szCs w:val="17"/>
          <w:color w:val="auto"/>
        </w:rPr>
        <w:t>As of June 30, 2021, invested assets and cash in our holding company totaled approximately $2,053,000. If the aforementioned sources of cash flow currently available are insufficient to cover our holding company cash requirements, we will seek to obtain additional financing.</w:t>
      </w:r>
    </w:p>
    <w:p>
      <w:pPr>
        <w:spacing w:after="0" w:line="146"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Six Months Ended June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14,364,315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(9,981,438)</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11,307,718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(226,785)</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(2,076,028)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(2,029,530)</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23,596,005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(12,237,753)</w:t>
            </w:r>
          </w:p>
        </w:tc>
      </w:tr>
      <w:tr>
        <w:trPr>
          <w:trHeight w:val="216"/>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19,463,742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32,391,485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43,059,747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20,153,732</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Net cash provided by operating activities was $14,364,000 in Six Months 2021 as compared to $9,981,000 used in operating activities in Six Months 2020. The $24,345,000 increase in cash flows provided by operating activities in Six Months 2021 was primarily the result of an increase in cash arising from net fluctuations in assets and liabilities, partially offset by net income (adjusted for non-cash items) of $7,377,000. The net fluctuations in assets and liabilities are related to operating activities of KICO as affected by growth or declines in its operations, payments on claims and other changes, which are described above.</w:t>
      </w:r>
    </w:p>
    <w:p>
      <w:pPr>
        <w:spacing w:after="0" w:line="188"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Net cash provided by investing activities was $11,307,000 in Six Months 2021 compared to $227,000 used in investing activities in Six Months 2020. The $11,535,000 increase in net cash provided by investing activities was the result of an $5,812,000 decrease in the acquisition of invested assets, partially offset by a $6,817,000 increase in disposals of invested assets in Six Months 2021.</w:t>
      </w:r>
    </w:p>
    <w:p>
      <w:pPr>
        <w:spacing w:after="0" w:line="18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Net cash used in financing activities was $2,076,000 in Six Months 2021 compared to $2,030,000 used in Six Months 2020. The $47,000 increase in net cash used in financing activities was attributable to a $249,000 reduction in dividends paid offset by a $238,000 increase in purchases of treasury stock in Six Months 2021 compared to Six Months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Three Months 2020 also included the run-off of the personal lines quota share treaty (“2018/2019 Treaty”) that expired on June 30, 2019. The run-off covered the period from July 1, 2019 through</w:t>
      </w:r>
    </w:p>
    <w:p>
      <w:pPr>
        <w:sectPr>
          <w:pgSz w:w="11900" w:h="16882" w:orient="portrait"/>
          <w:cols w:equalWidth="0" w:num="1">
            <w:col w:w="11240"/>
          </w:cols>
          <w:pgMar w:left="320" w:top="125" w:right="339" w:bottom="0" w:gutter="0" w:footer="0" w:header="0"/>
        </w:sectPr>
      </w:pPr>
    </w:p>
    <w:bookmarkStart w:id="44" w:name="page45"/>
    <w:bookmarkEnd w:id="44"/>
    <w:p>
      <w:pPr>
        <w:ind w:right="20"/>
        <w:spacing w:after="0" w:line="277" w:lineRule="auto"/>
        <w:rPr>
          <w:sz w:val="20"/>
          <w:szCs w:val="20"/>
          <w:color w:val="auto"/>
        </w:rPr>
      </w:pPr>
      <w:r>
        <w:rPr>
          <w:rFonts w:ascii="Arial" w:cs="Arial" w:eastAsia="Arial" w:hAnsi="Arial"/>
          <w:sz w:val="18"/>
          <w:szCs w:val="18"/>
          <w:color w:val="auto"/>
        </w:rPr>
        <w:t>June 30, 2020 (“2019/2020 Run-off”). We entered into new excess of loss and catastrophe reinsurance treaties effective July 1, 2021. Material terms for our reinsurance treaties in effect for the treaty years shown below are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372"/>
        </w:trPr>
        <w:tc>
          <w:tcPr>
            <w:tcW w:w="460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Treaty Year</w:t>
            </w:r>
          </w:p>
        </w:tc>
      </w:tr>
      <w:tr>
        <w:trPr>
          <w:trHeight w:val="191"/>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88"/>
              </w:rPr>
              <w:t>December 15, 2019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8"/>
              </w:rPr>
              <w:t>December 30, 2020</w:t>
            </w:r>
          </w:p>
        </w:tc>
      </w:tr>
      <w:tr>
        <w:trPr>
          <w:trHeight w:val="385"/>
        </w:trPr>
        <w:tc>
          <w:tcPr>
            <w:tcW w:w="4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Homeowners, dwelling fire and and canine legal liability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Percent ceded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rPr>
              <w:t>Treaty Year</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176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6"/>
                <w:szCs w:val="16"/>
                <w:color w:val="auto"/>
              </w:rPr>
            </w:pPr>
          </w:p>
        </w:tc>
        <w:tc>
          <w:tcPr>
            <w:tcW w:w="13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120" w:type="dxa"/>
            <w:vAlign w:val="bottom"/>
          </w:tcPr>
          <w:p>
            <w:pPr>
              <w:spacing w:after="0"/>
              <w:rPr>
                <w:sz w:val="16"/>
                <w:szCs w:val="16"/>
                <w:color w:val="auto"/>
              </w:rPr>
            </w:pPr>
          </w:p>
        </w:tc>
        <w:tc>
          <w:tcPr>
            <w:tcW w:w="1500" w:type="dxa"/>
            <w:vAlign w:val="bottom"/>
            <w:gridSpan w:val="4"/>
          </w:tcPr>
          <w:p>
            <w:pPr>
              <w:ind w:left="40"/>
              <w:spacing w:after="0" w:line="191" w:lineRule="exact"/>
              <w:rPr>
                <w:sz w:val="20"/>
                <w:szCs w:val="20"/>
                <w:color w:val="auto"/>
              </w:rPr>
            </w:pPr>
            <w:r>
              <w:rPr>
                <w:rFonts w:ascii="Arial" w:cs="Arial" w:eastAsia="Arial" w:hAnsi="Arial"/>
                <w:sz w:val="18"/>
                <w:szCs w:val="18"/>
                <w:b w:val="1"/>
                <w:bCs w:val="1"/>
                <w:color w:val="auto"/>
                <w:w w:val="88"/>
              </w:rPr>
              <w:t>December 15, 2019</w:t>
            </w:r>
          </w:p>
        </w:tc>
        <w:tc>
          <w:tcPr>
            <w:tcW w:w="1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1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to</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June 30, 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2021</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1"/>
              </w:rPr>
              <w:t>December 30, 2020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June 30, 2020</w:t>
            </w:r>
          </w:p>
        </w:tc>
      </w:tr>
      <w:tr>
        <w:trPr>
          <w:trHeight w:val="385"/>
        </w:trPr>
        <w:tc>
          <w:tcPr>
            <w:tcW w:w="4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canine legal liability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Risk retained on intial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$1,000,000 of losses (7)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02"/>
        </w:trPr>
        <w:tc>
          <w:tcPr>
            <w:tcW w:w="46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to quota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reinsurance coverage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None (7)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None (7)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1,000,000</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46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NA (7)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6"/>
              </w:rPr>
              <w:t>NA (7)</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December 30, 2020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9"/>
              </w:rPr>
              <w:t>December 30, 2020</w:t>
            </w:r>
          </w:p>
        </w:tc>
      </w:tr>
      <w:tr>
        <w:trPr>
          <w:trHeight w:val="202"/>
        </w:trPr>
        <w:tc>
          <w:tcPr>
            <w:tcW w:w="46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Excess of loss coverage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facultative facility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coverage (1)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8,000,000</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9,000,000</w:t>
            </w: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in excess of</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in excess of</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in excess of</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in excess of</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1,000,000</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reinsurance coverage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 occurrence (7)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8,250,000</w:t>
            </w: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9,250,000</w:t>
            </w:r>
          </w:p>
        </w:tc>
      </w:tr>
      <w:tr>
        <w:trPr>
          <w:trHeight w:val="202"/>
        </w:trPr>
        <w:tc>
          <w:tcPr>
            <w:tcW w:w="46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to reinsurance coverage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9,000,000</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10,000,000</w:t>
            </w:r>
          </w:p>
        </w:tc>
      </w:tr>
      <w:tr>
        <w:trPr>
          <w:trHeight w:val="216"/>
        </w:trPr>
        <w:tc>
          <w:tcPr>
            <w:tcW w:w="46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Expiration date (7)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June 30, 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June 30, 2021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1"/>
              </w:rPr>
              <w:t>June 30, 2021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June 30, 2020</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Catastrophe Reinsurance: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Initial loss subject to personal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lines quota share treaty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None (7)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None (7)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7,500,000</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7,500,000</w:t>
            </w: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Risk retained per catastrophe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occurrence (2) (7)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8,125,000</w:t>
            </w: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5,625,000</w:t>
            </w:r>
          </w:p>
        </w:tc>
      </w:tr>
      <w:tr>
        <w:trPr>
          <w:trHeight w:val="202"/>
        </w:trPr>
        <w:tc>
          <w:tcPr>
            <w:tcW w:w="46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Catastrophe loss coverage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0" w:type="dxa"/>
            <w:vAlign w:val="bottom"/>
            <w:gridSpan w:val="3"/>
          </w:tcPr>
          <w:p>
            <w:pPr>
              <w:ind w:left="420"/>
              <w:spacing w:after="0"/>
              <w:rPr>
                <w:sz w:val="20"/>
                <w:szCs w:val="20"/>
                <w:color w:val="auto"/>
              </w:rPr>
            </w:pPr>
            <w:r>
              <w:rPr>
                <w:rFonts w:ascii="Arial" w:cs="Arial" w:eastAsia="Arial" w:hAnsi="Arial"/>
                <w:sz w:val="18"/>
                <w:szCs w:val="18"/>
                <w:color w:val="auto"/>
              </w:rPr>
              <w:t>quota share coverage (3) (7)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490,000,000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475,000,000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475,000,000</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602,500,000</w:t>
            </w:r>
          </w:p>
        </w:tc>
      </w:tr>
      <w:tr>
        <w:trPr>
          <w:trHeight w:val="216"/>
        </w:trPr>
        <w:tc>
          <w:tcPr>
            <w:tcW w:w="4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Reinstatement premium</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protection (4) (5) (6)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Yes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3"/>
              </w:rPr>
              <w:t>Yes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Yes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3"/>
              </w:rPr>
              <w:t>Yes</w:t>
            </w:r>
          </w:p>
        </w:tc>
      </w:tr>
    </w:tbl>
    <w:p>
      <w:pPr>
        <w:spacing w:after="0" w:line="202" w:lineRule="exact"/>
        <w:rPr>
          <w:sz w:val="20"/>
          <w:szCs w:val="20"/>
          <w:color w:val="auto"/>
        </w:rPr>
      </w:pPr>
    </w:p>
    <w:p>
      <w:pPr>
        <w:jc w:val="both"/>
        <w:ind w:left="460" w:right="2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 through June 30, 2020. For the period July 1, 2020 through June 30, 2022, direct losses are covered up to $9,000,000.</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Plus losses in excess of catastrophe coverage. For the period July 1, 2020 through December 30, 2020, there was no reinsurance coverage for the $2,500,000 gap between quota share limit of $7,500,000 and first $10,000,000 layer of catastrophe coverage (see note (7) below).</w:t>
      </w:r>
    </w:p>
    <w:p>
      <w:pPr>
        <w:spacing w:after="0" w:line="146"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 July 1, 2019 through June 30, 2020, reinstatement premium protection for $292,500,000 of catastrophe coverage in excess of $7,500,000.</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45" w:name="page46"/>
    <w:bookmarkEnd w:id="45"/>
    <w:p>
      <w:pPr>
        <w:ind w:left="460" w:right="2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period July 1, 2021 through June 30, 2022, reinstatement premium protection for $70,000,000 of catastrophe coverage in excess of $10,000,000.</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June 30, 2022 is only for excess of loss and catastrophe reinsurance.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Treaty Year</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July 1, 2021</w:t>
            </w: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July 1, 2020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July 1, 2019</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to</w:t>
            </w: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to</w:t>
            </w:r>
          </w:p>
        </w:tc>
      </w:tr>
      <w:tr>
        <w:trPr>
          <w:trHeight w:val="234"/>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June 30, 2022</w:t>
            </w:r>
          </w:p>
        </w:tc>
        <w:tc>
          <w:tcPr>
            <w:tcW w:w="14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June 30, 2020</w:t>
            </w:r>
          </w:p>
        </w:tc>
      </w:tr>
      <w:tr>
        <w:trPr>
          <w:trHeight w:val="385"/>
        </w:trPr>
        <w:tc>
          <w:tcPr>
            <w:tcW w:w="6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8"/>
        </w:trPr>
        <w:tc>
          <w:tcPr>
            <w:tcW w:w="6100" w:type="dxa"/>
            <w:vAlign w:val="bottom"/>
            <w:gridSpan w:val="3"/>
          </w:tcPr>
          <w:p>
            <w:pPr>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6100" w:type="dxa"/>
            <w:vAlign w:val="bottom"/>
            <w:gridSpan w:val="3"/>
          </w:tcPr>
          <w:p>
            <w:pPr>
              <w:ind w:left="420"/>
              <w:spacing w:after="0"/>
              <w:rPr>
                <w:sz w:val="20"/>
                <w:szCs w:val="20"/>
                <w:color w:val="auto"/>
              </w:rPr>
            </w:pPr>
            <w:r>
              <w:rPr>
                <w:rFonts w:ascii="Arial" w:cs="Arial" w:eastAsia="Arial" w:hAnsi="Arial"/>
                <w:sz w:val="18"/>
                <w:szCs w:val="18"/>
                <w:color w:val="auto"/>
              </w:rPr>
              <w:t>Percent ceded - excess of $1,000,000 of coverage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r>
      <w:tr>
        <w:trPr>
          <w:trHeight w:val="216"/>
        </w:trPr>
        <w:tc>
          <w:tcPr>
            <w:tcW w:w="6100" w:type="dxa"/>
            <w:vAlign w:val="bottom"/>
            <w:gridSpan w:val="3"/>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4,700,000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4,900,000</w:t>
            </w:r>
          </w:p>
        </w:tc>
      </w:tr>
      <w:tr>
        <w:trPr>
          <w:trHeight w:val="216"/>
        </w:trPr>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June 30, 2022</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2020</w:t>
            </w:r>
          </w:p>
        </w:tc>
      </w:tr>
      <w:tr>
        <w:trPr>
          <w:trHeight w:val="216"/>
        </w:trPr>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6100" w:type="dxa"/>
            <w:vAlign w:val="bottom"/>
            <w:gridSpan w:val="3"/>
          </w:tcPr>
          <w:p>
            <w:pPr>
              <w:spacing w:after="0" w:line="176" w:lineRule="exact"/>
              <w:rPr>
                <w:sz w:val="20"/>
                <w:szCs w:val="20"/>
                <w:color w:val="auto"/>
              </w:rPr>
            </w:pPr>
            <w:r>
              <w:rPr>
                <w:rFonts w:ascii="Arial" w:cs="Arial" w:eastAsia="Arial" w:hAnsi="Arial"/>
                <w:sz w:val="18"/>
                <w:szCs w:val="18"/>
                <w:color w:val="auto"/>
              </w:rPr>
              <w:t>Commercial Lines (1):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liability commercial policies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6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Excess of loss coverage above risk retained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3,750,000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 excess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750,000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6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6100" w:type="dxa"/>
            <w:vAlign w:val="bottom"/>
            <w:gridSpan w:val="3"/>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4,500,000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r>
      <w:tr>
        <w:trPr>
          <w:trHeight w:val="216"/>
        </w:trPr>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gridSpan w:val="3"/>
          </w:tcPr>
          <w:p>
            <w:pPr>
              <w:spacing w:after="0"/>
              <w:rPr>
                <w:sz w:val="20"/>
                <w:szCs w:val="20"/>
                <w:color w:val="auto"/>
              </w:rPr>
            </w:pPr>
            <w:r>
              <w:rPr>
                <w:rFonts w:ascii="Arial" w:cs="Arial" w:eastAsia="Arial" w:hAnsi="Arial"/>
                <w:sz w:val="18"/>
                <w:szCs w:val="18"/>
                <w:color w:val="auto"/>
              </w:rPr>
              <w:t>Commercial Umbrella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Coverage on all commercial lines policies expired in September 2020; reinsurance coverage is based on treaties in effect on the date of loss.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71"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The impacts of COVID-19 and related economic conditions on our results are highly uncertain and outside our control. The scope, duration and magnitude of the direct and indirect effects of COVID-19 are evolving rapidly and in ways that are difficult or impossible to anticipate. The impact of COVID-19 on our results for the period ended June 30, 2021 may not be indicative of its impact on our results for the remainder of 2021. For additional information on the risks posed by COVID-19, see “The impact of COVID-19 and related risks could materially affect our results of operations, financial position and/or liquidity” included in Part II, Item 1A- “Risk Factors” in this Quarterly Report.</w:t>
      </w:r>
    </w:p>
    <w:p>
      <w:pPr>
        <w:spacing w:after="0" w:line="176"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7"/>
          <w:szCs w:val="17"/>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have negatively impacted, and may continue to negatively impact, premium volumes generated by new business. We began to experience this impact in March 2020 and it became more significant in the second and third quarters of 2020. We also expect this impact will further persist but to a lesser extent for the remainder of 2021, but the degree of the impact will depend on the extent and duration of the economic contraction and could be material. We have also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ectPr>
          <w:pgSz w:w="11900" w:h="16838" w:orient="portrait"/>
          <w:cols w:equalWidth="0" w:num="1">
            <w:col w:w="11240"/>
          </w:cols>
          <w:pgMar w:left="320" w:top="125" w:right="339" w:bottom="0" w:gutter="0" w:footer="0" w:header="0"/>
        </w:sectPr>
      </w:pPr>
    </w:p>
    <w:bookmarkStart w:id="46" w:name="page47"/>
    <w:bookmarkEnd w:id="46"/>
    <w:p>
      <w:pPr>
        <w:ind w:left="62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Principal Financial Officer, as appropriate, to allow timely decisions regarding required disclosures. Based on this evaluation, our Chief Executive Officer and Principal Financial Officer have concluded that, as of June 30, 2021,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Principal Financial Officer, as appropriate, to allow timely decisions regarding required disclosure.</w:t>
      </w:r>
    </w:p>
    <w:p>
      <w:pPr>
        <w:spacing w:after="0" w:line="18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Principal Financial Officer, we evaluated the effectiveness of our disclosure controls and procedures. Based on this evaluation, our Chief Executive Officer and Principal Financial Officer concluded that our disclosure controls and procedures were effective as of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pacing w:after="0" w:line="225" w:lineRule="exact"/>
        <w:rPr>
          <w:sz w:val="20"/>
          <w:szCs w:val="20"/>
          <w:color w:val="auto"/>
        </w:rPr>
      </w:pPr>
    </w:p>
    <w:p>
      <w:pPr>
        <w:jc w:val="both"/>
        <w:ind w:firstLine="607"/>
        <w:spacing w:after="0" w:line="291"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2020 Annual Report filed with the SEC, and Part I, Item 2-”Management’s Discussion and Analysis of Financial Condition and Results of Operations” herein, in each case as updated by the Company’s periodic filings with the SEC. There have been no material changes to the risk factors disclosed in Part I, Item 1A of the Company’s 2020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860" w:hanging="245"/>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26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880" w:hanging="26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following table sets forth certain information with respect to purchases of common stock made by us during the quarter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tbl>
      <w:tblPr>
        <w:tblLayout w:type="fixed"/>
        <w:tblInd w:w="272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660" w:type="dxa"/>
            <w:vAlign w:val="bottom"/>
          </w:tcPr>
          <w:p>
            <w:pPr>
              <w:jc w:val="center"/>
              <w:ind w:left="1150"/>
              <w:spacing w:after="0"/>
              <w:rPr>
                <w:sz w:val="20"/>
                <w:szCs w:val="20"/>
                <w:color w:val="auto"/>
              </w:rPr>
            </w:pPr>
            <w:r>
              <w:rPr>
                <w:rFonts w:ascii="Arial" w:cs="Arial" w:eastAsia="Arial" w:hAnsi="Arial"/>
                <w:sz w:val="18"/>
                <w:szCs w:val="18"/>
                <w:b w:val="1"/>
                <w:bCs w:val="1"/>
                <w:color w:val="auto"/>
                <w:w w:val="88"/>
              </w:rPr>
              <w:t>Total</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1940" w:type="dxa"/>
            <w:vAlign w:val="bottom"/>
          </w:tcPr>
          <w:p>
            <w:pPr>
              <w:spacing w:after="0"/>
              <w:rPr>
                <w:sz w:val="18"/>
                <w:szCs w:val="18"/>
                <w:color w:val="auto"/>
              </w:rPr>
            </w:pPr>
          </w:p>
        </w:tc>
        <w:tc>
          <w:tcPr>
            <w:tcW w:w="266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Number 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940" w:type="dxa"/>
            <w:vAlign w:val="bottom"/>
          </w:tcPr>
          <w:p>
            <w:pPr>
              <w:spacing w:after="0"/>
              <w:rPr>
                <w:sz w:val="18"/>
                <w:szCs w:val="18"/>
                <w:color w:val="auto"/>
              </w:rPr>
            </w:pPr>
          </w:p>
        </w:tc>
        <w:tc>
          <w:tcPr>
            <w:tcW w:w="2660" w:type="dxa"/>
            <w:vAlign w:val="bottom"/>
          </w:tcPr>
          <w:p>
            <w:pPr>
              <w:jc w:val="center"/>
              <w:ind w:left="1150"/>
              <w:spacing w:after="0"/>
              <w:rPr>
                <w:sz w:val="20"/>
                <w:szCs w:val="20"/>
                <w:color w:val="auto"/>
              </w:rPr>
            </w:pPr>
            <w:r>
              <w:rPr>
                <w:rFonts w:ascii="Arial" w:cs="Arial" w:eastAsia="Arial" w:hAnsi="Arial"/>
                <w:sz w:val="18"/>
                <w:szCs w:val="18"/>
                <w:b w:val="1"/>
                <w:bCs w:val="1"/>
                <w:color w:val="auto"/>
                <w:w w:val="83"/>
              </w:rPr>
              <w:t>Shares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1940" w:type="dxa"/>
            <w:vAlign w:val="bottom"/>
          </w:tcPr>
          <w:p>
            <w:pPr>
              <w:spacing w:after="0"/>
              <w:rPr>
                <w:sz w:val="18"/>
                <w:szCs w:val="18"/>
                <w:color w:val="auto"/>
              </w:rPr>
            </w:pPr>
          </w:p>
        </w:tc>
        <w:tc>
          <w:tcPr>
            <w:tcW w:w="266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Purchased(1)</w:t>
            </w:r>
          </w:p>
        </w:tc>
        <w:tc>
          <w:tcPr>
            <w:tcW w:w="1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86"/>
              </w:rPr>
              <w:t>Purchased</w:t>
            </w:r>
          </w:p>
        </w:tc>
      </w:tr>
      <w:tr>
        <w:trPr>
          <w:trHeight w:val="234"/>
        </w:trPr>
        <w:tc>
          <w:tcPr>
            <w:tcW w:w="19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Under the</w:t>
            </w:r>
          </w:p>
        </w:tc>
      </w:tr>
    </w:tbl>
    <w:p>
      <w:pPr>
        <w:sectPr>
          <w:pgSz w:w="11900" w:h="16838" w:orient="portrait"/>
          <w:cols w:equalWidth="0" w:num="1">
            <w:col w:w="11240"/>
          </w:cols>
          <w:pgMar w:left="320" w:top="341" w:right="339" w:bottom="0" w:gutter="0" w:footer="0" w:header="0"/>
        </w:sectPr>
      </w:pPr>
    </w:p>
    <w:bookmarkStart w:id="47" w:name="page48"/>
    <w:bookmarkEnd w:id="47"/>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Plans or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Programs(2)</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Programs(2)</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4/1/21 - 4/30/21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1,162,925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5/1/21 - 5/31/21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4,750</w:t>
            </w:r>
          </w:p>
        </w:tc>
        <w:tc>
          <w:tcPr>
            <w:tcW w:w="22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1,158,175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6/1/21 - 6/30/21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115,800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1,042,375</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120,550</w:t>
            </w:r>
          </w:p>
        </w:tc>
        <w:tc>
          <w:tcPr>
            <w:tcW w:w="22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120,550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1,042,375</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Purchases were made by us in open market transactions.</w:t>
      </w:r>
    </w:p>
    <w:p>
      <w:pPr>
        <w:spacing w:after="0" w:line="23"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$10,000,000 of common stock may be purchased pursuant to our repurchase plan announced on March 18, 2021; the maximum number of shares shown is based on the June 30, 2021 closing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spacing w:after="0"/>
              <w:rPr>
                <w:rFonts w:ascii="Arial" w:cs="Arial" w:eastAsia="Arial" w:hAnsi="Arial"/>
                <w:sz w:val="18"/>
                <w:szCs w:val="18"/>
                <w:color w:val="0000EE"/>
                <w:w w:val="93"/>
              </w:rPr>
            </w:pPr>
            <w:hyperlink r:id="rId86">
              <w:r>
                <w:rPr>
                  <w:rFonts w:ascii="Arial" w:cs="Arial" w:eastAsia="Arial" w:hAnsi="Arial"/>
                  <w:sz w:val="18"/>
                  <w:szCs w:val="18"/>
                  <w:color w:val="0000EE"/>
                  <w:w w:val="93"/>
                </w:rPr>
                <w:t>3(a)</w:t>
              </w:r>
            </w:hyperlink>
          </w:p>
        </w:tc>
        <w:tc>
          <w:tcPr>
            <w:tcW w:w="400" w:type="dxa"/>
            <w:vAlign w:val="bottom"/>
            <w:gridSpan w:val="2"/>
            <w:shd w:val="clear" w:color="auto" w:fill="CCEEFF"/>
          </w:tcPr>
          <w:p>
            <w:pPr>
              <w:spacing w:after="0"/>
              <w:rPr>
                <w:sz w:val="18"/>
                <w:szCs w:val="18"/>
                <w:color w:val="auto"/>
              </w:rPr>
            </w:pPr>
          </w:p>
        </w:tc>
        <w:tc>
          <w:tcPr>
            <w:tcW w:w="10240" w:type="dxa"/>
            <w:vAlign w:val="bottom"/>
            <w:gridSpan w:val="7"/>
            <w:shd w:val="clear" w:color="auto" w:fill="CCEEFF"/>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Restated Certificate of Incorporation, as amended (incorporated by reference to Exhibit 3(a) to the Company’s Quarterly Report on Form 10-</w:t>
              </w:r>
            </w:hyperlink>
          </w:p>
        </w:tc>
      </w:tr>
      <w:tr>
        <w:trPr>
          <w:trHeight w:val="216"/>
        </w:trPr>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Q for the period ended March 31, 2014 filed on May 15, 2014).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center"/>
              <w:ind w:right="400"/>
              <w:spacing w:after="0" w:line="17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3(b)</w:t>
              </w:r>
            </w:hyperlink>
          </w:p>
        </w:tc>
        <w:tc>
          <w:tcPr>
            <w:tcW w:w="10240" w:type="dxa"/>
            <w:vAlign w:val="bottom"/>
            <w:gridSpan w:val="7"/>
            <w:shd w:val="clear" w:color="auto" w:fill="CCEEFF"/>
          </w:tcPr>
          <w:p>
            <w:pPr>
              <w:spacing w:after="0" w:line="17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By-laws, as amended (incorporated by reference to Exhibit 3.1 to the Company’s Current Report on Form 8-K filed on November 9, 2009).</w:t>
              </w:r>
            </w:hyperlink>
          </w:p>
        </w:tc>
      </w:tr>
      <w:tr>
        <w:trPr>
          <w:trHeight w:val="216"/>
        </w:trPr>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5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26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center"/>
              <w:ind w:right="360"/>
              <w:spacing w:after="0" w:line="17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31(a)</w:t>
              </w:r>
            </w:hyperlink>
          </w:p>
        </w:tc>
        <w:tc>
          <w:tcPr>
            <w:tcW w:w="10240" w:type="dxa"/>
            <w:vAlign w:val="bottom"/>
            <w:gridSpan w:val="7"/>
            <w:shd w:val="clear" w:color="auto" w:fill="CCEEFF"/>
          </w:tcPr>
          <w:p>
            <w:pPr>
              <w:spacing w:after="0" w:line="17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Rule 13a-14(a)/15d-14(a) Certification of Chief Executive Officer as adopted pursuant to Section 302 of the Sarbanes-Oxley Act of 2002</w:t>
              </w:r>
            </w:hyperlink>
          </w:p>
        </w:tc>
      </w:tr>
      <w:tr>
        <w:trPr>
          <w:trHeight w:val="216"/>
        </w:trPr>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5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26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center"/>
              <w:ind w:right="360"/>
              <w:spacing w:after="0" w:line="17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31(b)</w:t>
              </w:r>
            </w:hyperlink>
          </w:p>
        </w:tc>
        <w:tc>
          <w:tcPr>
            <w:tcW w:w="10240" w:type="dxa"/>
            <w:vAlign w:val="bottom"/>
            <w:gridSpan w:val="7"/>
            <w:shd w:val="clear" w:color="auto" w:fill="CCEEFF"/>
          </w:tcPr>
          <w:p>
            <w:pPr>
              <w:spacing w:after="0" w:line="17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Rule 13a-14(a)/15d-14(a) Certification of Principal Financial Officer as adopted pursuant to Section 302 of the Sarbanes-Oxley Act of 2002</w:t>
              </w:r>
            </w:hyperlink>
          </w:p>
        </w:tc>
      </w:tr>
      <w:tr>
        <w:trPr>
          <w:trHeight w:val="216"/>
        </w:trPr>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5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600" w:type="dxa"/>
            <w:vAlign w:val="bottom"/>
            <w:gridSpan w:val="4"/>
            <w:shd w:val="clear" w:color="auto" w:fill="CCEEFF"/>
          </w:tcPr>
          <w:p>
            <w:pPr>
              <w:jc w:val="center"/>
              <w:ind w:left="230"/>
              <w:spacing w:after="0" w:line="17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32+</w:t>
              </w:r>
            </w:hyperlink>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40" w:type="dxa"/>
            <w:vAlign w:val="bottom"/>
            <w:gridSpan w:val="7"/>
            <w:shd w:val="clear" w:color="auto" w:fill="CCEEFF"/>
          </w:tcPr>
          <w:p>
            <w:pPr>
              <w:spacing w:after="0" w:line="17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Chief Executive Officer and Principal Financial Officer Pursuant to 18 U.S.C. Section 1350, as Adopted Pursuant to Section</w:t>
              </w:r>
            </w:hyperlink>
          </w:p>
        </w:tc>
      </w:tr>
      <w:tr>
        <w:trPr>
          <w:trHeight w:val="216"/>
        </w:trPr>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906 of the Sarbanes-Oxley Act of 2002</w:t>
              </w:r>
            </w:hyperlink>
          </w:p>
        </w:tc>
      </w:tr>
      <w:tr>
        <w:trPr>
          <w:trHeight w:val="216"/>
        </w:trPr>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00" w:type="dxa"/>
            <w:vAlign w:val="bottom"/>
            <w:gridSpan w:val="6"/>
            <w:shd w:val="clear" w:color="auto" w:fill="CCEEFF"/>
          </w:tcPr>
          <w:p>
            <w:pPr>
              <w:jc w:val="center"/>
              <w:ind w:right="80"/>
              <w:spacing w:after="0"/>
              <w:rPr>
                <w:sz w:val="20"/>
                <w:szCs w:val="20"/>
                <w:color w:val="auto"/>
              </w:rPr>
            </w:pPr>
            <w:r>
              <w:rPr>
                <w:rFonts w:ascii="Arial" w:cs="Arial" w:eastAsia="Arial" w:hAnsi="Arial"/>
                <w:sz w:val="18"/>
                <w:szCs w:val="18"/>
                <w:color w:val="auto"/>
                <w:w w:val="92"/>
              </w:rPr>
              <w:t>101.INS</w:t>
            </w:r>
          </w:p>
        </w:tc>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jc w:val="center"/>
              <w:ind w:right="100"/>
              <w:spacing w:after="0"/>
              <w:rPr>
                <w:sz w:val="20"/>
                <w:szCs w:val="20"/>
                <w:color w:val="auto"/>
              </w:rPr>
            </w:pPr>
            <w:r>
              <w:rPr>
                <w:rFonts w:ascii="Arial" w:cs="Arial" w:eastAsia="Arial" w:hAnsi="Arial"/>
                <w:sz w:val="18"/>
                <w:szCs w:val="18"/>
                <w:color w:val="auto"/>
                <w:w w:val="90"/>
              </w:rPr>
              <w:t>101.SCH</w:t>
            </w:r>
          </w:p>
        </w:tc>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101.SCH XBRL Taxonomy Extension Schema.</w:t>
            </w: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jc w:val="center"/>
              <w:ind w:right="80"/>
              <w:spacing w:after="0"/>
              <w:rPr>
                <w:sz w:val="20"/>
                <w:szCs w:val="20"/>
                <w:color w:val="auto"/>
              </w:rPr>
            </w:pPr>
            <w:r>
              <w:rPr>
                <w:rFonts w:ascii="Arial" w:cs="Arial" w:eastAsia="Arial" w:hAnsi="Arial"/>
                <w:sz w:val="18"/>
                <w:szCs w:val="18"/>
                <w:color w:val="auto"/>
                <w:w w:val="97"/>
              </w:rPr>
              <w:t>101.CAL</w:t>
            </w:r>
          </w:p>
        </w:tc>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101.CAL XBRL Taxonomy Extension Calculation Linkbase.</w:t>
            </w: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jc w:val="center"/>
              <w:ind w:right="100"/>
              <w:spacing w:after="0"/>
              <w:rPr>
                <w:sz w:val="20"/>
                <w:szCs w:val="20"/>
                <w:color w:val="auto"/>
              </w:rPr>
            </w:pPr>
            <w:r>
              <w:rPr>
                <w:rFonts w:ascii="Arial" w:cs="Arial" w:eastAsia="Arial" w:hAnsi="Arial"/>
                <w:sz w:val="18"/>
                <w:szCs w:val="18"/>
                <w:color w:val="auto"/>
                <w:w w:val="92"/>
              </w:rPr>
              <w:t>101.DEF</w:t>
            </w:r>
          </w:p>
        </w:tc>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101.DEF XBRL Taxonomy Extension Definition Linkbase.</w:t>
            </w: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gridSpan w:val="6"/>
            <w:shd w:val="clear" w:color="auto" w:fill="CCEEFF"/>
          </w:tcPr>
          <w:p>
            <w:pPr>
              <w:jc w:val="center"/>
              <w:ind w:right="80"/>
              <w:spacing w:after="0"/>
              <w:rPr>
                <w:sz w:val="20"/>
                <w:szCs w:val="20"/>
                <w:color w:val="auto"/>
              </w:rPr>
            </w:pPr>
            <w:r>
              <w:rPr>
                <w:rFonts w:ascii="Arial" w:cs="Arial" w:eastAsia="Arial" w:hAnsi="Arial"/>
                <w:sz w:val="18"/>
                <w:szCs w:val="18"/>
                <w:color w:val="auto"/>
                <w:w w:val="98"/>
              </w:rPr>
              <w:t>101.LAB</w:t>
            </w:r>
          </w:p>
        </w:tc>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101.LAB XBRL Taxonomy Extension Label Linkbase.</w:t>
            </w: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000" w:type="dxa"/>
            <w:vAlign w:val="bottom"/>
            <w:gridSpan w:val="6"/>
            <w:shd w:val="clear" w:color="auto" w:fill="CCEEFF"/>
          </w:tcPr>
          <w:p>
            <w:pPr>
              <w:jc w:val="center"/>
              <w:ind w:right="80"/>
              <w:spacing w:after="0"/>
              <w:rPr>
                <w:sz w:val="20"/>
                <w:szCs w:val="20"/>
                <w:color w:val="auto"/>
              </w:rPr>
            </w:pPr>
            <w:r>
              <w:rPr>
                <w:rFonts w:ascii="Arial" w:cs="Arial" w:eastAsia="Arial" w:hAnsi="Arial"/>
                <w:sz w:val="18"/>
                <w:szCs w:val="18"/>
                <w:color w:val="auto"/>
                <w:w w:val="88"/>
              </w:rPr>
              <w:t>101.PRE</w:t>
            </w:r>
          </w:p>
        </w:tc>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101.PRE XBRL Taxonomy Extension Presentation Linkbase.</w:t>
            </w:r>
          </w:p>
        </w:tc>
      </w:tr>
      <w:tr>
        <w:trPr>
          <w:trHeight w:val="202"/>
        </w:trPr>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bl>
    <w:p>
      <w:pPr>
        <w:jc w:val="both"/>
        <w:ind w:left="1000" w:hanging="202"/>
        <w:spacing w:after="0" w:line="25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220" w:type="dxa"/>
            <w:vAlign w:val="bottom"/>
            <w:gridSpan w:val="2"/>
          </w:tcPr>
          <w:p>
            <w:pPr>
              <w:ind w:left="1960"/>
              <w:spacing w:after="0"/>
              <w:rPr>
                <w:sz w:val="20"/>
                <w:szCs w:val="20"/>
                <w:color w:val="auto"/>
              </w:rPr>
            </w:pPr>
            <w:r>
              <w:rPr>
                <w:rFonts w:ascii="Arial" w:cs="Arial" w:eastAsia="Arial" w:hAnsi="Arial"/>
                <w:sz w:val="18"/>
                <w:szCs w:val="18"/>
                <w:b w:val="1"/>
                <w:bCs w:val="1"/>
                <w:color w:val="auto"/>
              </w:rPr>
              <w:t>KINGSTONE COMPANIES,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August 16, 2021</w:t>
            </w:r>
          </w:p>
        </w:tc>
        <w:tc>
          <w:tcPr>
            <w:tcW w:w="6220" w:type="dxa"/>
            <w:vAlign w:val="bottom"/>
            <w:gridSpan w:val="2"/>
          </w:tcPr>
          <w:p>
            <w:pPr>
              <w:ind w:left="1960"/>
              <w:spacing w:after="0"/>
              <w:rPr>
                <w:sz w:val="20"/>
                <w:szCs w:val="20"/>
                <w:color w:val="auto"/>
              </w:rPr>
            </w:pPr>
            <w:r>
              <w:rPr>
                <w:rFonts w:ascii="Arial" w:cs="Arial" w:eastAsia="Arial" w:hAnsi="Arial"/>
                <w:sz w:val="18"/>
                <w:szCs w:val="18"/>
                <w:color w:val="auto"/>
              </w:rPr>
              <w:t>By: /s/ Barry B. Goldstein</w:t>
            </w:r>
          </w:p>
        </w:tc>
      </w:tr>
      <w:tr>
        <w:trPr>
          <w:trHeight w:val="195"/>
        </w:trPr>
        <w:tc>
          <w:tcPr>
            <w:tcW w:w="3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August 16, 2021</w:t>
            </w:r>
          </w:p>
        </w:tc>
        <w:tc>
          <w:tcPr>
            <w:tcW w:w="6220" w:type="dxa"/>
            <w:vAlign w:val="bottom"/>
            <w:gridSpan w:val="2"/>
          </w:tcPr>
          <w:p>
            <w:pPr>
              <w:ind w:left="1960"/>
              <w:spacing w:after="0"/>
              <w:rPr>
                <w:sz w:val="20"/>
                <w:szCs w:val="20"/>
                <w:color w:val="auto"/>
              </w:rPr>
            </w:pPr>
            <w:r>
              <w:rPr>
                <w:rFonts w:ascii="Arial" w:cs="Arial" w:eastAsia="Arial" w:hAnsi="Arial"/>
                <w:sz w:val="18"/>
                <w:szCs w:val="18"/>
                <w:color w:val="auto"/>
              </w:rPr>
              <w:t>By: /s/ Richard Swartz</w:t>
            </w:r>
          </w:p>
        </w:tc>
      </w:tr>
      <w:tr>
        <w:trPr>
          <w:trHeight w:val="20"/>
        </w:trPr>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r>
    </w:tbl>
    <w:p>
      <w:pPr>
        <w:sectPr>
          <w:pgSz w:w="11900" w:h="16851" w:orient="portrait"/>
          <w:cols w:equalWidth="0" w:num="1">
            <w:col w:w="11240"/>
          </w:cols>
          <w:pgMar w:left="320" w:top="121" w:right="339" w:bottom="0" w:gutter="0" w:footer="0" w:header="0"/>
        </w:sectPr>
      </w:pPr>
    </w:p>
    <w:bookmarkStart w:id="48" w:name="page49"/>
    <w:bookmarkEnd w:id="48"/>
    <w:p>
      <w:pPr>
        <w:ind w:left="4860"/>
        <w:spacing w:after="0"/>
        <w:rPr>
          <w:sz w:val="20"/>
          <w:szCs w:val="20"/>
          <w:color w:val="auto"/>
        </w:rPr>
      </w:pPr>
      <w:r>
        <w:rPr>
          <w:rFonts w:ascii="Arial" w:cs="Arial" w:eastAsia="Arial" w:hAnsi="Arial"/>
          <w:sz w:val="18"/>
          <w:szCs w:val="18"/>
          <w:color w:val="auto"/>
        </w:rPr>
        <w:t>Richard Swartz</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Swartz, certify that:</w:t>
      </w:r>
    </w:p>
    <w:p>
      <w:pPr>
        <w:spacing w:after="0" w:line="22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Richard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Richard Swartz</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2021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Dated: August 16,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5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Swartz</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upperLetter"/>
      <w:start w:val="1"/>
    </w:lvl>
  </w:abstractNum>
  <w:abstractNum w:abstractNumId="9">
    <w:nsid w:val="431BD7B7"/>
    <w:multiLevelType w:val="hybridMultilevel"/>
    <w:lvl w:ilvl="0">
      <w:lvlJc w:val="left"/>
      <w:lvlText w:val="(%1)"/>
      <w:numFmt w:val="decimal"/>
      <w:start w:val="2"/>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6"/>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6" Type="http://schemas.openxmlformats.org/officeDocument/2006/relationships/hyperlink" Target="http://www.sec.gov/Archives/edgar/data/33992/000135448814002619/kins_ex3a.htm" TargetMode="External"/><Relationship Id="rId87"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2021-08-16T16:21:05Z</dcterms:created>
  <dcterms:modified xsi:type="dcterms:W3CDTF">2021-08-16T16:21:05Z</dcterms:modified>
</cp:coreProperties>
</file>