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3540" w:right="1620" w:hanging="3532"/>
        <w:spacing w:after="0" w:line="500" w:lineRule="auto"/>
        <w:tabs>
          <w:tab w:leader="none" w:pos="46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0-1665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1270</wp:posOffset>
            </wp:positionV>
            <wp:extent cx="4989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6380" w:type="dxa"/>
            <w:vAlign w:val="bottom"/>
            <w:gridSpan w:val="5"/>
          </w:tcPr>
          <w:p>
            <w:pPr>
              <w:jc w:val="center"/>
              <w:ind w:right="210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36-2476480</w:t>
            </w:r>
          </w:p>
        </w:tc>
      </w:tr>
      <w:tr>
        <w:trPr>
          <w:trHeight w:val="191"/>
        </w:trPr>
        <w:tc>
          <w:tcPr>
            <w:tcW w:w="43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jc w:val="center"/>
              <w:ind w:right="10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638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w w:val="91"/>
              </w:rPr>
              <w:t>incorporation or organization)</w:t>
            </w:r>
          </w:p>
        </w:tc>
        <w:tc>
          <w:tcPr>
            <w:tcW w:w="316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4000" w:type="dxa"/>
            <w:vAlign w:val="bottom"/>
          </w:tcPr>
          <w:p>
            <w:pPr>
              <w:spacing w:after="0"/>
              <w:rPr>
                <w:sz w:val="24"/>
                <w:szCs w:val="24"/>
                <w:color w:val="auto"/>
              </w:rPr>
            </w:pPr>
          </w:p>
        </w:tc>
        <w:tc>
          <w:tcPr>
            <w:tcW w:w="238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88"/>
              </w:rPr>
              <w:t>15 Joys Lane</w:t>
            </w:r>
          </w:p>
        </w:tc>
        <w:tc>
          <w:tcPr>
            <w:tcW w:w="3160" w:type="dxa"/>
            <w:vAlign w:val="bottom"/>
          </w:tcPr>
          <w:p>
            <w:pPr>
              <w:spacing w:after="0"/>
              <w:rPr>
                <w:sz w:val="24"/>
                <w:szCs w:val="24"/>
                <w:color w:val="auto"/>
              </w:rPr>
            </w:pPr>
          </w:p>
        </w:tc>
      </w:tr>
      <w:tr>
        <w:trPr>
          <w:trHeight w:val="194"/>
        </w:trPr>
        <w:tc>
          <w:tcPr>
            <w:tcW w:w="400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Kingston, NY 12401</w:t>
            </w:r>
          </w:p>
        </w:tc>
        <w:tc>
          <w:tcPr>
            <w:tcW w:w="8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37"/>
        </w:trPr>
        <w:tc>
          <w:tcPr>
            <w:tcW w:w="6380" w:type="dxa"/>
            <w:vAlign w:val="bottom"/>
            <w:gridSpan w:val="5"/>
          </w:tcPr>
          <w:p>
            <w:pPr>
              <w:jc w:val="center"/>
              <w:ind w:left="3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(845) 802-7900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7"/>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KINS</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8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As of May 17, 2021, there were 10,680,653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c>
          <w:tcPr>
            <w:tcW w:w="100" w:type="dxa"/>
            <w:vAlign w:val="bottom"/>
          </w:tcPr>
          <w:p>
            <w:pPr>
              <w:spacing w:after="0"/>
              <w:rPr>
                <w:sz w:val="20"/>
                <w:szCs w:val="20"/>
                <w:color w:val="auto"/>
              </w:rPr>
            </w:pPr>
          </w:p>
        </w:tc>
      </w:tr>
      <w:tr>
        <w:trPr>
          <w:trHeight w:val="385"/>
        </w:trPr>
        <w:tc>
          <w:tcPr>
            <w:tcW w:w="10140" w:type="dxa"/>
            <w:vAlign w:val="bottom"/>
            <w:gridSpan w:val="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140" w:type="dxa"/>
            <w:vAlign w:val="bottom"/>
            <w:gridSpan w:val="8"/>
            <w:shd w:val="clear" w:color="auto" w:fill="CCEEFF"/>
          </w:tcPr>
          <w:p>
            <w:pPr>
              <w:ind w:left="220"/>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Item 1 — Financial Statements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140" w:type="dxa"/>
            <w:vAlign w:val="bottom"/>
            <w:gridSpan w:val="5"/>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at March 31, 2021 (Unaudited) and December 31, 2020</w:t>
              </w:r>
            </w:hyperlink>
          </w:p>
        </w:tc>
        <w:tc>
          <w:tcPr>
            <w:tcW w:w="11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w:t>
            </w:r>
          </w:p>
        </w:tc>
      </w:tr>
      <w:tr>
        <w:trPr>
          <w:trHeight w:val="20"/>
        </w:trPr>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720" w:type="dxa"/>
            <w:vAlign w:val="bottom"/>
            <w:tcBorders>
              <w:top w:val="single" w:sz="8" w:color="0000EE"/>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2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Operations and Comprehensive Loss for the three months ended March 31, 2021</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w:t>
            </w:r>
          </w:p>
        </w:tc>
      </w:tr>
    </w:tbl>
    <w:p>
      <w:pPr>
        <w:sectPr>
          <w:pgSz w:w="11900" w:h="16900" w:orient="portrait"/>
          <w:cols w:equalWidth="0" w:num="1">
            <w:col w:w="11240"/>
          </w:cols>
          <w:pgMar w:left="320" w:top="675" w:right="339" w:bottom="0" w:gutter="0" w:footer="0" w:header="0"/>
        </w:sectPr>
      </w:pPr>
    </w:p>
    <w:bookmarkStart w:id="1" w:name="page2"/>
    <w:bookmarkEnd w:id="1"/>
    <w:p>
      <w:pPr>
        <w:ind w:left="10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and 2020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000" w:right="220"/>
        <w:spacing w:after="0" w:line="250"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Stockholders’ Equity for the three months ended March 31, 2021 (Unaudited) and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2020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00" w:right="220"/>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for the three months ended March 31, 2021 (Unaudited) and 2020</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(Unaudited)</w:t>
        </w:r>
      </w:hyperlink>
    </w:p>
    <w:p>
      <w:pPr>
        <w:spacing w:after="0" w:line="1" w:lineRule="exact"/>
        <w:rPr>
          <w:sz w:val="20"/>
          <w:szCs w:val="20"/>
          <w:color w:val="auto"/>
        </w:rPr>
      </w:pPr>
    </w:p>
    <w:p>
      <w:pPr>
        <w:ind w:left="10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right="2780"/>
        <w:spacing w:after="0" w:line="255"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 —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Item 3 — Quantitative and Qualitative Disclosures About Market Risk</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Item 4 — Controls and Procedures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6" w:lineRule="exact"/>
        <w:rPr>
          <w:rFonts w:ascii="Arial" w:cs="Arial" w:eastAsia="Arial" w:hAnsi="Arial"/>
          <w:sz w:val="18"/>
          <w:szCs w:val="18"/>
          <w:u w:val="single" w:color="auto"/>
          <w:color w:val="0000EE"/>
        </w:rPr>
      </w:pPr>
    </w:p>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PART II — OTHER INFORMATION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rFonts w:ascii="Arial" w:cs="Arial" w:eastAsia="Arial" w:hAnsi="Arial"/>
          <w:sz w:val="18"/>
          <w:szCs w:val="18"/>
          <w:u w:val="single" w:color="auto"/>
          <w:color w:val="0000EE"/>
        </w:rPr>
      </w:pPr>
    </w:p>
    <w:p>
      <w:pPr>
        <w:ind w:left="2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 — Legal Proceedings</w:t>
        </w:r>
      </w:hyperlink>
    </w:p>
    <w:p>
      <w:pPr>
        <w:ind w:left="220"/>
        <w:spacing w:after="0" w:line="181" w:lineRule="auto"/>
        <w:tabs>
          <w:tab w:leader="none" w:pos="760" w:val="left"/>
        </w:tabs>
        <w:rPr>
          <w:rFonts w:ascii="Arial" w:cs="Arial" w:eastAsia="Arial" w:hAnsi="Arial"/>
          <w:sz w:val="14"/>
          <w:szCs w:val="14"/>
          <w:u w:val="single" w:color="auto"/>
          <w:color w:val="0000EE"/>
        </w:rPr>
      </w:pPr>
      <w:r>
        <w:rPr>
          <w:rFonts w:ascii="Arial" w:cs="Arial" w:eastAsia="Arial" w:hAnsi="Arial"/>
          <w:sz w:val="26"/>
          <w:szCs w:val="26"/>
          <w:u w:val="single" w:color="auto"/>
          <w:color w:val="0000EE"/>
          <w:vertAlign w:val="superscript"/>
        </w:rPr>
        <w:t>Item</w:t>
      </w:r>
      <w:r>
        <w:rPr>
          <w:sz w:val="20"/>
          <w:szCs w:val="20"/>
          <w:color w:val="auto"/>
        </w:rPr>
        <w:tab/>
      </w:r>
      <w:hyperlink w:anchor="page41">
        <w:r>
          <w:rPr>
            <w:rFonts w:ascii="Arial" w:cs="Arial" w:eastAsia="Arial" w:hAnsi="Arial"/>
            <w:sz w:val="25"/>
            <w:szCs w:val="25"/>
            <w:u w:val="single" w:color="auto"/>
            <w:color w:val="0000EE"/>
            <w:vertAlign w:val="superscript"/>
          </w:rPr>
          <w:t>1A</w:t>
        </w:r>
        <w:r>
          <w:rPr>
            <w:rFonts w:ascii="Arial" w:cs="Arial" w:eastAsia="Arial" w:hAnsi="Arial"/>
            <w:sz w:val="14"/>
            <w:szCs w:val="14"/>
            <w:u w:val="single" w:color="auto"/>
            <w:color w:val="0000EE"/>
          </w:rPr>
          <w:t>Risk Factors</w:t>
        </w:r>
      </w:hyperlink>
    </w:p>
    <w:p>
      <w:pPr>
        <w:spacing w:after="0" w:line="1" w:lineRule="exact"/>
        <w:rPr>
          <w:rFonts w:ascii="Arial" w:cs="Arial" w:eastAsia="Arial" w:hAnsi="Arial"/>
          <w:sz w:val="18"/>
          <w:szCs w:val="18"/>
          <w:u w:val="single" w:color="auto"/>
          <w:color w:val="0000EE"/>
        </w:rPr>
      </w:pPr>
    </w:p>
    <w:p>
      <w:pPr>
        <w:ind w:left="2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2 — Unregistered Sales of Equity Securities and Use of Proceeds</w:t>
        </w:r>
      </w:hyperlink>
    </w:p>
    <w:p>
      <w:pPr>
        <w:spacing w:after="0" w:line="9" w:lineRule="exact"/>
        <w:rPr>
          <w:rFonts w:ascii="Arial" w:cs="Arial" w:eastAsia="Arial" w:hAnsi="Arial"/>
          <w:sz w:val="18"/>
          <w:szCs w:val="18"/>
          <w:u w:val="single" w:color="auto"/>
          <w:color w:val="0000EE"/>
        </w:rPr>
      </w:pPr>
    </w:p>
    <w:p>
      <w:pPr>
        <w:ind w:left="2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3 — Defaults Upon Senior Securities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4 — Mine Safety Disclosures</w:t>
        </w:r>
      </w:hyperlink>
    </w:p>
    <w:p>
      <w:pPr>
        <w:spacing w:after="0" w:line="9" w:lineRule="exact"/>
        <w:rPr>
          <w:rFonts w:ascii="Arial" w:cs="Arial" w:eastAsia="Arial" w:hAnsi="Arial"/>
          <w:sz w:val="18"/>
          <w:szCs w:val="18"/>
          <w:u w:val="single" w:color="auto"/>
          <w:color w:val="0000EE"/>
        </w:rPr>
      </w:pPr>
    </w:p>
    <w:p>
      <w:pPr>
        <w:ind w:left="2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5 — Other Information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6 — Exhibits</w:t>
        </w:r>
      </w:hyperlink>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Signatures</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12" w:lineRule="exact"/>
        <w:rPr>
          <w:rFonts w:ascii="Arial" w:cs="Arial" w:eastAsia="Arial" w:hAnsi="Arial"/>
          <w:sz w:val="18"/>
          <w:szCs w:val="18"/>
          <w:u w:val="single" w:color="auto"/>
          <w:color w:val="0000EE"/>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304" w:lineRule="exact"/>
        <w:rPr>
          <w:rFonts w:ascii="Arial" w:cs="Arial" w:eastAsia="Arial" w:hAnsi="Arial"/>
          <w:sz w:val="18"/>
          <w:szCs w:val="18"/>
          <w:u w:val="single" w:color="auto"/>
          <w:color w:val="0000EE"/>
        </w:rPr>
      </w:pPr>
    </w:p>
    <w:p>
      <w:pPr>
        <w:jc w:val="right"/>
        <w:ind w:right="100"/>
        <w:spacing w:after="0"/>
        <w:rPr>
          <w:sz w:val="20"/>
          <w:szCs w:val="20"/>
          <w:color w:val="auto"/>
        </w:rPr>
      </w:pPr>
      <w:r>
        <w:rPr>
          <w:rFonts w:ascii="Arial" w:cs="Arial" w:eastAsia="Arial" w:hAnsi="Arial"/>
          <w:sz w:val="18"/>
          <w:szCs w:val="18"/>
          <w:color w:val="auto"/>
        </w:rPr>
        <w:t>4</w:t>
      </w:r>
    </w:p>
    <w:p>
      <w:pPr>
        <w:spacing w:after="0" w:line="225" w:lineRule="exact"/>
        <w:rPr>
          <w:rFonts w:ascii="Arial" w:cs="Arial" w:eastAsia="Arial" w:hAnsi="Arial"/>
          <w:sz w:val="18"/>
          <w:szCs w:val="18"/>
          <w:u w:val="single" w:color="auto"/>
          <w:color w:val="0000EE"/>
        </w:rPr>
      </w:pPr>
    </w:p>
    <w:p>
      <w:pPr>
        <w:jc w:val="right"/>
        <w:ind w:right="100"/>
        <w:spacing w:after="0"/>
        <w:rPr>
          <w:sz w:val="20"/>
          <w:szCs w:val="20"/>
          <w:color w:val="auto"/>
        </w:rPr>
      </w:pPr>
      <w:r>
        <w:rPr>
          <w:rFonts w:ascii="Arial" w:cs="Arial" w:eastAsia="Arial" w:hAnsi="Arial"/>
          <w:sz w:val="18"/>
          <w:szCs w:val="18"/>
          <w:color w:val="auto"/>
        </w:rPr>
        <w:t>5</w:t>
      </w:r>
    </w:p>
    <w:p>
      <w:pPr>
        <w:spacing w:after="0" w:line="117" w:lineRule="exact"/>
        <w:rPr>
          <w:rFonts w:ascii="Arial" w:cs="Arial" w:eastAsia="Arial" w:hAnsi="Arial"/>
          <w:sz w:val="18"/>
          <w:szCs w:val="18"/>
          <w:u w:val="single" w:color="auto"/>
          <w:color w:val="0000EE"/>
        </w:rPr>
      </w:pPr>
    </w:p>
    <w:p>
      <w:pPr>
        <w:jc w:val="right"/>
        <w:ind w:right="100"/>
        <w:spacing w:after="0"/>
        <w:rPr>
          <w:sz w:val="20"/>
          <w:szCs w:val="20"/>
          <w:color w:val="auto"/>
        </w:rPr>
      </w:pPr>
      <w:r>
        <w:rPr>
          <w:rFonts w:ascii="Arial" w:cs="Arial" w:eastAsia="Arial" w:hAnsi="Arial"/>
          <w:sz w:val="18"/>
          <w:szCs w:val="18"/>
          <w:color w:val="auto"/>
        </w:rPr>
        <w:t>6</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35</w:t>
      </w:r>
    </w:p>
    <w:p>
      <w:pPr>
        <w:spacing w:after="0" w:line="3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61</w:t>
      </w:r>
    </w:p>
    <w:p>
      <w:pPr>
        <w:spacing w:after="0" w:line="3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61</w:t>
      </w:r>
    </w:p>
    <w:p>
      <w:pPr>
        <w:spacing w:after="0" w:line="23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63</w:t>
      </w:r>
    </w:p>
    <w:p>
      <w:pPr>
        <w:spacing w:after="0" w:line="4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63</w:t>
      </w:r>
    </w:p>
    <w:p>
      <w:pPr>
        <w:spacing w:after="0" w:line="12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63</w:t>
      </w:r>
    </w:p>
    <w:p>
      <w:pPr>
        <w:spacing w:after="0" w:line="14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64</w:t>
      </w:r>
    </w:p>
    <w:p>
      <w:pPr>
        <w:spacing w:after="0" w:line="4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64</w:t>
      </w:r>
    </w:p>
    <w:p>
      <w:pPr>
        <w:spacing w:after="0" w:line="3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64</w:t>
      </w:r>
    </w:p>
    <w:p>
      <w:pPr>
        <w:spacing w:after="0" w:line="3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64</w:t>
      </w:r>
    </w:p>
    <w:p>
      <w:pPr>
        <w:spacing w:after="0" w:line="3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65</w:t>
      </w:r>
    </w:p>
    <w:p>
      <w:pPr>
        <w:spacing w:after="0" w:line="3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66</w:t>
      </w:r>
    </w:p>
    <w:p>
      <w:pPr>
        <w:spacing w:after="0" w:line="1689" w:lineRule="exact"/>
        <w:rPr>
          <w:rFonts w:ascii="Arial" w:cs="Arial" w:eastAsia="Arial" w:hAnsi="Arial"/>
          <w:sz w:val="18"/>
          <w:szCs w:val="18"/>
          <w:u w:val="single" w:color="auto"/>
          <w:color w:val="0000EE"/>
        </w:rPr>
      </w:pPr>
    </w:p>
    <w:p>
      <w:pPr>
        <w:sectPr>
          <w:pgSz w:w="11900" w:h="16838" w:orient="portrait"/>
          <w:cols w:equalWidth="0" w:num="2">
            <w:col w:w="10240" w:space="720"/>
            <w:col w:w="280"/>
          </w:cols>
          <w:pgMar w:left="320" w:top="125" w:right="339" w:bottom="0" w:gutter="0" w:footer="0" w:header="0"/>
        </w:sectPr>
      </w:pPr>
    </w:p>
    <w:p>
      <w:pPr>
        <w:spacing w:after="0" w:line="29" w:lineRule="exact"/>
        <w:rPr>
          <w:rFonts w:ascii="Arial" w:cs="Arial" w:eastAsia="Arial" w:hAnsi="Arial"/>
          <w:sz w:val="18"/>
          <w:szCs w:val="18"/>
          <w:u w:val="single" w:color="auto"/>
          <w:color w:val="0000EE"/>
        </w:rPr>
      </w:pPr>
    </w:p>
    <w:p>
      <w:pPr>
        <w:jc w:val="both"/>
        <w:spacing w:after="0" w:line="217" w:lineRule="exact"/>
        <w:rPr>
          <w:sz w:val="20"/>
          <w:szCs w:val="20"/>
          <w:color w:val="auto"/>
        </w:rPr>
      </w:pPr>
      <w:r>
        <w:rPr>
          <w:rFonts w:ascii="Arial" w:cs="Arial" w:eastAsia="Arial" w:hAnsi="Arial"/>
          <w:sz w:val="16"/>
          <w:szCs w:val="16"/>
          <w:color w:val="auto"/>
        </w:rPr>
        <w:t>This Quarterly Report contains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within the meaning of the Private Securities Litigation Reform Act of 1995. The events described 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under “Factors That May Affect Future Results and Financial Condition” on Form 10-K for the year ended December 31, 2020 and Part II, Item 1A of this Quarterly Report.</w:t>
      </w:r>
    </w:p>
    <w:p>
      <w:pPr>
        <w:spacing w:after="0" w:line="207" w:lineRule="exact"/>
        <w:rPr>
          <w:rFonts w:ascii="Arial" w:cs="Arial" w:eastAsia="Arial" w:hAnsi="Arial"/>
          <w:sz w:val="18"/>
          <w:szCs w:val="18"/>
          <w:u w:val="single" w:color="auto"/>
          <w:color w:val="0000EE"/>
        </w:rPr>
      </w:pPr>
    </w:p>
    <w:p>
      <w:pPr>
        <w:jc w:val="both"/>
        <w:spacing w:after="0" w:line="220"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rFonts w:ascii="Arial" w:cs="Arial" w:eastAsia="Arial" w:hAnsi="Arial"/>
          <w:sz w:val="18"/>
          <w:szCs w:val="18"/>
          <w:u w:val="single" w:color="auto"/>
          <w:color w:val="0000EE"/>
        </w:rPr>
      </w:pPr>
    </w:p>
    <w:p>
      <w:pPr>
        <w:spacing w:after="0" w:line="220"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rFonts w:ascii="Arial" w:cs="Arial" w:eastAsia="Arial" w:hAnsi="Arial"/>
          <w:sz w:val="18"/>
          <w:szCs w:val="18"/>
          <w:u w:val="single" w:color="auto"/>
          <w:color w:val="0000EE"/>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2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2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Fixed-maturity securities, held-to-maturity, at amortized cost (fair value of $9,564,055 at March 31, 2021 and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$8,194,824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9,180,786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7,368,815</w:t>
            </w:r>
          </w:p>
        </w:tc>
        <w:tc>
          <w:tcPr>
            <w:tcW w:w="0" w:type="dxa"/>
            <w:vAlign w:val="bottom"/>
          </w:tcPr>
          <w:p>
            <w:pPr>
              <w:spacing w:after="0"/>
              <w:rPr>
                <w:sz w:val="1"/>
                <w:szCs w:val="1"/>
                <w:color w:val="auto"/>
              </w:rPr>
            </w:pPr>
          </w:p>
        </w:tc>
      </w:tr>
      <w:tr>
        <w:trPr>
          <w:trHeight w:val="202"/>
        </w:trPr>
        <w:tc>
          <w:tcPr>
            <w:tcW w:w="8700" w:type="dxa"/>
            <w:vAlign w:val="bottom"/>
          </w:tcPr>
          <w:p>
            <w:pPr>
              <w:ind w:left="220"/>
              <w:spacing w:after="0" w:line="201" w:lineRule="exact"/>
              <w:rPr>
                <w:sz w:val="20"/>
                <w:szCs w:val="20"/>
                <w:color w:val="auto"/>
              </w:rPr>
            </w:pPr>
            <w:r>
              <w:rPr>
                <w:rFonts w:ascii="Arial" w:cs="Arial" w:eastAsia="Arial" w:hAnsi="Arial"/>
                <w:sz w:val="18"/>
                <w:szCs w:val="18"/>
                <w:color w:val="auto"/>
                <w:w w:val="94"/>
              </w:rPr>
              <w:t>Fixed-maturity securities, available-for-sale, at fair value (amortized cost of $139,299,693 at March 31, 2021 and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$145,045,584 at December 31, 2020)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147,585,805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157,549,272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Equity securities, at fair value (cost of $32,651,343 at March 31, 2021 and $32,571,166 at December 31, 2020)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35,430,803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34,413,313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6,348,590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3,518,626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198,545,984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202,850,026</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22,179,960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19,463,742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10,885,621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11,819,639</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37,366,742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45,460,729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19,351,989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20,142,515</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8,294,847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8,083,123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9,759,071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9,262,493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306,884,214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317,582,267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type w:val="continuous"/>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84,457,059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82,801,228</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86,219,795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90,009,272</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4,145,845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2,660,354</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2,336,498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6,979,735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93,519</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7,789,131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8,433,233</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3,138,231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4,156,913</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29,691,656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29,647,611</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217,871,533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224,781,865</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Preferred stock, $.01 par value; authorized 2,500,000 shares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Common stock, $.01 par value; authorized 20,000,000 shares; issued 11,935,321 shares at March 31, 2021 and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11,871,307 at December 31, 2020; outstanding 10,672,794 shares at March 31, 2021 and 10,616,815 shares at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119,353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118,713</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Capital in excess of par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71,116,917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70,769,165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6,548,178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9,880,062</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15,190,031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15,928,345</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92,974,479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96,696,285</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Treasury stock, at cost, 1,262,527 shares at March 31, 2021 and 1,254,492 shares at December 31, 2020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(3,961,798)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(3,895,883)</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89,012,681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92,800,402</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306,884,214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317,582,267</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Three months ended March 31,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34,589,218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26,941,450</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3,831,099</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1,783,196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1,665,844</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Net gains (losses) on investments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2,960,407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(6,444,418)</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171,446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259,630</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39,503,202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26,253,605</w:t>
            </w:r>
          </w:p>
        </w:tc>
      </w:tr>
      <w:tr>
        <w:trPr>
          <w:trHeight w:val="209"/>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22,560,672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16,385,821</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8,223,839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7,855,927</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6,467,042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6,761,792</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1,352,306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1,236,895</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822,340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687,094</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456,545</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39,882,744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33,384,074</w:t>
            </w:r>
          </w:p>
        </w:tc>
      </w:tr>
      <w:tr>
        <w:trPr>
          <w:trHeight w:val="210"/>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 before income taxes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(379,542)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(7,130,469)</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(68,445)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(1,686,266)</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(311,097)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(5,444,203)</w:t>
            </w:r>
          </w:p>
        </w:tc>
      </w:tr>
      <w:tr>
        <w:trPr>
          <w:trHeight w:val="209"/>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Gross change in unrealized losses on available-for-sale-securities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(3,823,279)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(6,727,489)</w:t>
            </w:r>
          </w:p>
        </w:tc>
      </w:tr>
      <w:tr>
        <w:trPr>
          <w:trHeight w:val="216"/>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Reclassification adjustment for gains included in net loss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(394,297)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(102,222)</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unrealized losses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(4,217,576)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(6,829,711)</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Income tax benefit related to items of other comprehensive loss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885,692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1,434,240</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(3,331,884)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(5,395,471)</w:t>
            </w:r>
          </w:p>
        </w:tc>
      </w:tr>
      <w:tr>
        <w:trPr>
          <w:trHeight w:val="209"/>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(3,642,981)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(10,839,674)</w:t>
            </w:r>
          </w:p>
        </w:tc>
      </w:tr>
      <w:tr>
        <w:trPr>
          <w:trHeight w:val="196"/>
        </w:trPr>
        <w:tc>
          <w:tcPr>
            <w:tcW w:w="8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common share: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(0.50)</w:t>
            </w:r>
          </w:p>
        </w:tc>
      </w:tr>
      <w:tr>
        <w:trPr>
          <w:trHeight w:val="23"/>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900" w:orient="portrait"/>
          <w:cols w:equalWidth="0" w:num="1">
            <w:col w:w="11240"/>
          </w:cols>
          <w:pgMar w:left="320" w:top="337"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10,676,298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10,807,841</w:t>
            </w: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7"/>
              </w:rPr>
              <w:t>10,676,298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10,807,841</w:t>
            </w:r>
          </w:p>
        </w:tc>
      </w:tr>
      <w:tr>
        <w:trPr>
          <w:trHeight w:val="196"/>
        </w:trPr>
        <w:tc>
          <w:tcPr>
            <w:tcW w:w="87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0.0625</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Preferred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Common Stock</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Other</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vMerge w:val="restart"/>
          </w:tcPr>
          <w:p>
            <w:pPr>
              <w:jc w:val="right"/>
              <w:ind w:right="60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vMerge w:val="continue"/>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in Excess</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Comprehensive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Retained</w:t>
            </w:r>
          </w:p>
        </w:tc>
        <w:tc>
          <w:tcPr>
            <w:tcW w:w="2120" w:type="dxa"/>
            <w:vAlign w:val="bottom"/>
            <w:gridSpan w:val="5"/>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1"/>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of Par</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Income (Loss)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1"/>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11,824,889</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$ 118,248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$69,133,918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4,768,870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$16,913,097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1,027,439</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 (2,712,552)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88,221,581</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487,450</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487,450</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38,866</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(12,489)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(123)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(87,831)</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(87,954)</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treasury</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42,434</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(242,724)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(242,724)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(675,960)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(675,960)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(5,444,203)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(5,444,203)</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gains 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available-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for-sale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5"/>
              </w:rPr>
              <w:t>securities, net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(5,395,471)</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(5,395,471)</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7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March 31,</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11,851,266</w:t>
            </w:r>
          </w:p>
        </w:tc>
        <w:tc>
          <w:tcPr>
            <w:tcW w:w="9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118,512</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69,533,150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(626,601)</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10,792,934</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1,069,873</w:t>
            </w:r>
          </w:p>
        </w:tc>
        <w:tc>
          <w:tcPr>
            <w:tcW w:w="12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(2,955,276)</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76,862,719</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2020</w:t>
            </w:r>
          </w:p>
        </w:tc>
        <w:tc>
          <w:tcPr>
            <w:tcW w:w="70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940" w:type="dxa"/>
            <w:vAlign w:val="bottom"/>
            <w:gridSpan w:val="3"/>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108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Accumulated</w:t>
            </w: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Preferred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Common Stock</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Other</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vMerge w:val="restart"/>
          </w:tcPr>
          <w:p>
            <w:pPr>
              <w:jc w:val="right"/>
              <w:ind w:right="60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vMerge w:val="continue"/>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in Excess</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Comprehensive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Retained</w:t>
            </w:r>
          </w:p>
        </w:tc>
        <w:tc>
          <w:tcPr>
            <w:tcW w:w="2120" w:type="dxa"/>
            <w:vAlign w:val="bottom"/>
            <w:gridSpan w:val="5"/>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1"/>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of Par</w:t>
            </w: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11,871,307</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$ 118,713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$70,769,165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9,880,062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$15,928,345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1,254,492</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 (3,895,883)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$92,800,402</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494,998</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494,998</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85,922</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2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(21,908)</w:t>
            </w:r>
          </w:p>
        </w:tc>
        <w:tc>
          <w:tcPr>
            <w:tcW w:w="94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(219)</w:t>
            </w:r>
          </w:p>
        </w:tc>
        <w:tc>
          <w:tcPr>
            <w:tcW w:w="11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(146,387)</w:t>
            </w:r>
          </w:p>
        </w:tc>
        <w:tc>
          <w:tcPr>
            <w:tcW w:w="100" w:type="dxa"/>
            <w:vAlign w:val="bottom"/>
          </w:tcPr>
          <w:p>
            <w:pPr>
              <w:spacing w:after="0"/>
              <w:rPr>
                <w:sz w:val="17"/>
                <w:szCs w:val="17"/>
                <w:color w:val="auto"/>
              </w:rPr>
            </w:pPr>
          </w:p>
        </w:tc>
        <w:tc>
          <w:tcPr>
            <w:tcW w:w="12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(146,606)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0" w:gutter="0" w:footer="0" w:header="0"/>
        </w:sectPr>
      </w:pPr>
    </w:p>
    <w:bookmarkStart w:id="4" w:name="page5"/>
    <w:bookmarkEnd w:id="4"/>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treasury</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8,035</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(65,915)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(427,217)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(427,217)</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(311,097)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(311,097)</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gains 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available-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for-sale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5"/>
              </w:rPr>
              <w:t>securities, net</w:t>
            </w:r>
          </w:p>
        </w:tc>
        <w:tc>
          <w:tcPr>
            <w:tcW w:w="70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(3,331,884)</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(3,331,884)</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7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March 31,</w:t>
            </w:r>
          </w:p>
        </w:tc>
        <w:tc>
          <w:tcPr>
            <w:tcW w:w="1040" w:type="dxa"/>
            <w:vAlign w:val="bottom"/>
            <w:gridSpan w:val="3"/>
            <w:vMerge w:val="restart"/>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11,935,321</w:t>
            </w:r>
          </w:p>
        </w:tc>
        <w:tc>
          <w:tcPr>
            <w:tcW w:w="9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119,353</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$ 71,116,917</w:t>
            </w:r>
          </w:p>
        </w:tc>
        <w:tc>
          <w:tcPr>
            <w:tcW w:w="22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6,548,178</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15,190,031</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1,262,527</w:t>
            </w:r>
          </w:p>
        </w:tc>
        <w:tc>
          <w:tcPr>
            <w:tcW w:w="12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(3,961,798)</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89,012,681</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2021</w:t>
            </w:r>
          </w:p>
        </w:tc>
        <w:tc>
          <w:tcPr>
            <w:tcW w:w="1040" w:type="dxa"/>
            <w:vAlign w:val="bottom"/>
            <w:gridSpan w:val="3"/>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Three months ended March 31,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(5,444,203)</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Adjustments to reconcile net loss to net cash flows provided by (used in) operating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on sale of investments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(1,127,234)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(274,581)</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Net unrealized (gains) losses on equity investments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(1,003,209)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6,121,608</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gains of other investments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(829,964)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597,391</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822,340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687,094</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35,737</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Amortization of bond premium,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31,639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105,189</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discount and issuance costs on long-term debt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44,045</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494,998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487,450</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(benefit)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(132,990)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397,593</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receivable,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874,142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757,551</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Reinsurance receivables,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8,093,987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(1,958,517)</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790,526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1,062,490</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(478,564)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(521,521)</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Loss and loss adjustment expense reserves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1,655,831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(2,647,512)</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(3,789,477)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(5,904,700)</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Advance premiums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1,485,491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(47,633)</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balances payable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(4,643,237)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(6,377,437)</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Deferred ceding commission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(799,997)</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(644,102)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(1,576,461)</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8"/>
                <w:szCs w:val="18"/>
                <w:b w:val="1"/>
                <w:bCs w:val="1"/>
                <w:color w:val="auto"/>
              </w:rPr>
              <w:t>Net cash flows provided by (used in) operating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1,392,800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(15,256,414)</w:t>
            </w:r>
          </w:p>
        </w:tc>
      </w:tr>
      <w:tr>
        <w:trPr>
          <w:trHeight w:val="210"/>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held-to-maturity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(1,827,425)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 - fixed-maturity securities available-for-sale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(5,424,374)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(961,000)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Purchase - equity securities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(5,732,648)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(5,220,778)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 - other investments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Sale or maturity - fixed-maturity securities available-for-sale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11,548,405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10,553,818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Sale - equity 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6,433,262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5,518,428</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(1,034,064)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(432,112)</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8"/>
                <w:szCs w:val="18"/>
                <w:b w:val="1"/>
                <w:bCs w:val="1"/>
                <w:color w:val="auto"/>
              </w:rPr>
              <w:t>Net cash flows provided by investing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1,963,156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9,458,356</w:t>
            </w:r>
          </w:p>
        </w:tc>
      </w:tr>
      <w:tr>
        <w:trPr>
          <w:trHeight w:val="209"/>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(87,954)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(65,915)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(242,724)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(427,217)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(675,960)</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(639,738)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(1,006,638)</w:t>
            </w:r>
          </w:p>
        </w:tc>
      </w:tr>
      <w:tr>
        <w:trPr>
          <w:trHeight w:val="209"/>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91" w:orient="portrait"/>
          <w:cols w:equalWidth="0" w:num="1">
            <w:col w:w="11240"/>
          </w:cols>
          <w:pgMar w:left="320" w:top="125" w:right="339" w:bottom="0" w:gutter="0" w:footer="0" w:header="0"/>
        </w:sect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2,716,218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(6,804,696)</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19,463,742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32,391,485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22,179,960</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25,586,789</w:t>
            </w:r>
          </w:p>
        </w:tc>
        <w:tc>
          <w:tcPr>
            <w:tcW w:w="100" w:type="dxa"/>
            <w:vAlign w:val="bottom"/>
          </w:tcPr>
          <w:p>
            <w:pPr>
              <w:spacing w:after="0"/>
              <w:rPr>
                <w:sz w:val="18"/>
                <w:szCs w:val="18"/>
                <w:color w:val="auto"/>
              </w:rPr>
            </w:pPr>
          </w:p>
        </w:tc>
      </w:tr>
    </w:tbl>
    <w:p>
      <w:pPr>
        <w:sectPr>
          <w:pgSz w:w="11900" w:h="16891" w:orient="portrait"/>
          <w:cols w:equalWidth="0" w:num="1">
            <w:col w:w="11240"/>
          </w:cols>
          <w:pgMar w:left="320" w:top="125" w:right="3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9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Kingstone Companies, Inc. (referred to herein as “Kingstone” or the “Company”), through its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72.3% and 82.7% of KICO’s direct written premiums for the three months ended March 31, 2021 and 2020, respectively, came from the New York policies. Kingstone, through its wholly owned subsidiary, Cosi Agency, Inc. (“Cosi”), a multi-state licensed general agency, accesses alternate forms of distribution outside of the independent agent and broker network, through which KICO currently distributes its various products. Kingstone (through Cosi) now has the opportunity to partner with name-brand carriers and access nationwide insurance agencies.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2020 and notes thereto included in the Company’s Annual Report on Form 10-K filed with the Securities and Exchange Commission (the “SEC”) on March 31, 2021.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three months ended March 31, 2021 may not be indicative of the results that may be expected for the year ending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balances were reclassified to conform with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condensed consolidated financial statements consist of Kingstone and its following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December 2019, the Financial Accounting Standards Board (the “FASB”) issued Accounting Standards Update (“ASU”) 2019-12, Income Taxes - Simplifying the Accounting for Income Taxes (“ASU 2019-12”). Among other items, the amendments in ASU 2019-12 simplify the accounting treatment of tax law changes and year-to-date losses in interim periods. An entity generally recognizes the effects of a change in tax law in the period of enactment; however, there is an exception for tax laws with delayed effective dates. Under current guidance, an entity may not adjust its annual effective tax rate for a tax law change until the period in which the law is effective. This exception was removed under ASU 2019-12, thereby providing that all effects of a tax law change are recognized in the period of enactment, including adjustment of the estimated annual effective tax rate. Regarding year-to-date losses in interim periods, an entity is required to estimate its annual effective tax rate for the full fiscal year at the end of each interim period and use that rate to calculate its income taxes on a year-to-date basis. However, current guidance provides an exception that when a loss in an interim period exceeds the anticipated loss for the year, the income tax benefit is limited to the amount that would be recognized if the year-to-date loss were the anticipated loss for</w:t>
      </w:r>
    </w:p>
    <w:p>
      <w:pPr>
        <w:sectPr>
          <w:pgSz w:w="11900" w:h="16838" w:orient="portrait"/>
          <w:cols w:equalWidth="0" w:num="1">
            <w:col w:w="11240"/>
          </w:cols>
          <w:pgMar w:left="320" w:top="140" w:right="339" w:bottom="0" w:gutter="0" w:footer="0" w:header="0"/>
        </w:sectPr>
      </w:pPr>
    </w:p>
    <w:bookmarkStart w:id="6" w:name="page7"/>
    <w:bookmarkEnd w:id="6"/>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full year. ASU 2019-12 removes this exception and provides that, in this situation, an entity would compute its income tax benefit at each interim period based on its estimated annual effective tax rate. ASU 2019-12 is effective for fiscal years beginning after December 15, 2020, including interim periods within those annual periods. Early adoption is permitted. The Company adopted this ASU as of January 1, 2021, and it did not have a material impact on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condensed consolidated financial statements.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estimated fair value, and unrealized gains and losses on investments in fixed-maturity securities classified as available-for-sale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r>
      <w:tr>
        <w:trPr>
          <w:trHeight w:val="191"/>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9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1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rPr>
              <w:t>Fair</w:t>
            </w:r>
          </w:p>
        </w:tc>
        <w:tc>
          <w:tcPr>
            <w:tcW w:w="9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Months</w:t>
            </w: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r>
      <w:tr>
        <w:trPr>
          <w:trHeight w:val="425"/>
        </w:trPr>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government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2,014,895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2,034,680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19,785</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8,606,088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173,655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(86,507)</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8,693,236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87,148</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4"/>
              </w:rPr>
              <w:t>Corporate and other bonds Industrial and miscellaneous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104,774,373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7,791,664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(78,069)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112,487,968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7,713,595</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89"/>
              </w:rPr>
              <w:t>Residential mortgage and other asset backed securities (1)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23,904,337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24,369,921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465,584</w:t>
            </w:r>
          </w:p>
        </w:tc>
      </w:tr>
      <w:tr>
        <w:trPr>
          <w:trHeight w:val="20"/>
        </w:trPr>
        <w:tc>
          <w:tcPr>
            <w:tcW w:w="4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139,299,693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8,551,644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(172,801)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(92,731)</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147,585,805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8,286,112</w:t>
            </w: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FHLBNY credit line. As of March 31, 2021, the estimated fair value of the eligible investments was approximately $10,962,000. KICO will retain all rights regarding all securities if pledged as collateral. As of March 31, 2021, there was no outstanding balance on the FHLBNY credit 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6"/>
                <w:szCs w:val="16"/>
                <w:color w:val="auto"/>
              </w:rPr>
            </w:pPr>
          </w:p>
        </w:tc>
        <w:tc>
          <w:tcPr>
            <w:tcW w:w="102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More than 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rPr>
              <w:t>Fair</w:t>
            </w:r>
          </w:p>
        </w:tc>
        <w:tc>
          <w:tcPr>
            <w:tcW w:w="114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Months</w:t>
            </w:r>
          </w:p>
        </w:tc>
        <w:tc>
          <w:tcPr>
            <w:tcW w:w="940" w:type="dxa"/>
            <w:vAlign w:val="bottom"/>
          </w:tcPr>
          <w:p>
            <w:pPr>
              <w:ind w:left="240"/>
              <w:spacing w:after="0"/>
              <w:rPr>
                <w:sz w:val="20"/>
                <w:szCs w:val="20"/>
                <w:color w:val="auto"/>
              </w:rPr>
            </w:pPr>
            <w:r>
              <w:rPr>
                <w:rFonts w:ascii="Arial" w:cs="Arial" w:eastAsia="Arial" w:hAnsi="Arial"/>
                <w:sz w:val="18"/>
                <w:szCs w:val="18"/>
                <w:b w:val="1"/>
                <w:bCs w:val="1"/>
                <w:color w:val="auto"/>
              </w:rPr>
              <w:t>Months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r>
      <w:tr>
        <w:trPr>
          <w:trHeight w:val="426"/>
        </w:trPr>
        <w:tc>
          <w:tcPr>
            <w:tcW w:w="40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3,020,710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3,049,900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29,190</w:t>
            </w:r>
          </w:p>
        </w:tc>
      </w:tr>
      <w:tr>
        <w:trPr>
          <w:trHeight w:val="216"/>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5,287,561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5,643,102</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355,541</w:t>
            </w:r>
          </w:p>
        </w:tc>
      </w:tr>
      <w:tr>
        <w:trPr>
          <w:trHeight w:val="216"/>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Corporate and other bonds Industrial and miscellaneous</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108,573,422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11,634,123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(13,216)</w:t>
            </w:r>
          </w:p>
        </w:tc>
        <w:tc>
          <w:tcPr>
            <w:tcW w:w="9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120,194,329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11,620,907</w:t>
            </w:r>
          </w:p>
        </w:tc>
      </w:tr>
      <w:tr>
        <w:trPr>
          <w:trHeight w:val="216"/>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Residential mortgage and other asset backed securities</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28,163,891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(7,371)</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(111,947)</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28,661,941</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498,050</w:t>
            </w:r>
          </w:p>
        </w:tc>
      </w:tr>
    </w:tbl>
    <w:p>
      <w:pPr>
        <w:sectPr>
          <w:pgSz w:w="11900" w:h="16900" w:orient="portrait"/>
          <w:cols w:equalWidth="0" w:num="1">
            <w:col w:w="11240"/>
          </w:cols>
          <w:pgMar w:left="320" w:top="125"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(1)</w:t>
            </w: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Total</w:t>
            </w:r>
          </w:p>
        </w:tc>
        <w:tc>
          <w:tcPr>
            <w:tcW w:w="3040" w:type="dxa"/>
            <w:vAlign w:val="bottom"/>
          </w:tcPr>
          <w:p>
            <w:pPr>
              <w:jc w:val="right"/>
              <w:ind w:right="30"/>
              <w:spacing w:after="0"/>
              <w:rPr>
                <w:sz w:val="20"/>
                <w:szCs w:val="20"/>
                <w:color w:val="auto"/>
              </w:rPr>
            </w:pPr>
            <w:r>
              <w:rPr>
                <w:rFonts w:ascii="Arial" w:cs="Arial" w:eastAsia="Arial" w:hAnsi="Arial"/>
                <w:sz w:val="18"/>
                <w:szCs w:val="18"/>
                <w:u w:val="single" w:color="auto"/>
                <w:color w:val="auto"/>
              </w:rPr>
              <w:t>$ 145,045,584</w:t>
            </w:r>
          </w:p>
        </w:tc>
        <w:tc>
          <w:tcPr>
            <w:tcW w:w="1120" w:type="dxa"/>
            <w:vAlign w:val="bottom"/>
          </w:tcPr>
          <w:p>
            <w:pPr>
              <w:jc w:val="right"/>
              <w:ind w:right="10"/>
              <w:spacing w:after="0"/>
              <w:rPr>
                <w:sz w:val="20"/>
                <w:szCs w:val="20"/>
                <w:color w:val="auto"/>
              </w:rPr>
            </w:pPr>
            <w:r>
              <w:rPr>
                <w:rFonts w:ascii="Arial" w:cs="Arial" w:eastAsia="Arial" w:hAnsi="Arial"/>
                <w:sz w:val="18"/>
                <w:szCs w:val="18"/>
                <w:u w:val="single" w:color="auto"/>
                <w:color w:val="auto"/>
                <w:w w:val="99"/>
              </w:rPr>
              <w:t>$12,636,222</w:t>
            </w:r>
          </w:p>
        </w:tc>
        <w:tc>
          <w:tcPr>
            <w:tcW w:w="360" w:type="dxa"/>
            <w:vAlign w:val="bottom"/>
          </w:tcPr>
          <w:p>
            <w:pPr>
              <w:jc w:val="right"/>
              <w:ind w:right="70"/>
              <w:spacing w:after="0"/>
              <w:rPr>
                <w:sz w:val="20"/>
                <w:szCs w:val="20"/>
                <w:color w:val="auto"/>
              </w:rPr>
            </w:pPr>
            <w:r>
              <w:rPr>
                <w:rFonts w:ascii="Arial" w:cs="Arial" w:eastAsia="Arial" w:hAnsi="Arial"/>
                <w:sz w:val="18"/>
                <w:szCs w:val="18"/>
                <w:u w:val="single" w:color="auto"/>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u w:val="single" w:color="auto"/>
                <w:color w:val="auto"/>
              </w:rPr>
              <w:t>(20,587</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u w:val="single" w:color="auto"/>
                <w:color w:val="auto"/>
                <w:w w:val="98"/>
              </w:rPr>
              <w:t>(111,947</w:t>
            </w:r>
            <w:r>
              <w:rPr>
                <w:rFonts w:ascii="Arial" w:cs="Arial" w:eastAsia="Arial" w:hAnsi="Arial"/>
                <w:sz w:val="18"/>
                <w:szCs w:val="18"/>
                <w:color w:val="auto"/>
                <w:w w:val="98"/>
              </w:rPr>
              <w:t xml:space="preserve">)  </w:t>
            </w:r>
            <w:r>
              <w:rPr>
                <w:rFonts w:ascii="Arial" w:cs="Arial" w:eastAsia="Arial" w:hAnsi="Arial"/>
                <w:sz w:val="18"/>
                <w:szCs w:val="18"/>
                <w:u w:val="single" w:color="auto"/>
                <w:color w:val="auto"/>
                <w:w w:val="98"/>
              </w:rPr>
              <w:t>$ 157,549,272</w:t>
            </w:r>
          </w:p>
        </w:tc>
        <w:tc>
          <w:tcPr>
            <w:tcW w:w="1040" w:type="dxa"/>
            <w:vAlign w:val="bottom"/>
          </w:tcPr>
          <w:p>
            <w:pPr>
              <w:jc w:val="right"/>
              <w:spacing w:after="0"/>
              <w:rPr>
                <w:sz w:val="20"/>
                <w:szCs w:val="20"/>
                <w:color w:val="auto"/>
              </w:rPr>
            </w:pPr>
            <w:r>
              <w:rPr>
                <w:rFonts w:ascii="Arial" w:cs="Arial" w:eastAsia="Arial" w:hAnsi="Arial"/>
                <w:sz w:val="18"/>
                <w:szCs w:val="18"/>
                <w:u w:val="single" w:color="auto"/>
                <w:color w:val="auto"/>
              </w:rPr>
              <w:t>$12,503,688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17145</wp:posOffset>
            </wp:positionV>
            <wp:extent cx="44062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22" w:lineRule="exact"/>
        <w:rPr>
          <w:sz w:val="20"/>
          <w:szCs w:val="20"/>
          <w:color w:val="auto"/>
        </w:rPr>
      </w:pPr>
    </w:p>
    <w:p>
      <w:pPr>
        <w:jc w:val="both"/>
        <w:ind w:left="460" w:hanging="452"/>
        <w:spacing w:after="0" w:line="25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KICO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FHLBNY credit line. As of December 31, 2020, the estimated fair value of the eligible investments was approximately $11,391,000. KICO will retain all rights regarding all securities if pledged as collateral. As of December 31, 2020, there was no outstanding balance on the FHLBNY credit line.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March 31, 2021 and December 31, 2020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9,079,054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9,181,876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8,559,005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8,668,064</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43,059,233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46,164,289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44,137,567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47,745,430</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51,273,291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55,781,784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55,508,712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63,159,775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11,983,778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12,087,935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8,676,409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9,314,062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23,904,337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24,369,921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28,163,891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28,661,941</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139,299,693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147,585,805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145,045,584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157,549,272</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March 31, 2021 and December 31, 2020 are as follows:</w:t>
      </w:r>
    </w:p>
    <w:p>
      <w:pPr>
        <w:spacing w:after="0" w:line="382"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March 31, 2021</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ind w:left="100"/>
              <w:spacing w:after="0" w:line="191" w:lineRule="exact"/>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Gross</w:t>
            </w:r>
          </w:p>
        </w:tc>
        <w:tc>
          <w:tcPr>
            <w:tcW w:w="104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Estimated</w:t>
            </w:r>
          </w:p>
        </w:tc>
      </w:t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Losses</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425"/>
        </w:trPr>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Equity Securities:</w:t>
            </w: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$ 19,827,370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1,207,776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(221,142)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$ 20,814,004</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12,823,973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1,810,617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(17,791)</w:t>
            </w:r>
          </w:p>
        </w:tc>
        <w:tc>
          <w:tcPr>
            <w:tcW w:w="940" w:type="dxa"/>
            <w:vAlign w:val="bottom"/>
          </w:tcPr>
          <w:p>
            <w:pPr>
              <w:jc w:val="right"/>
              <w:spacing w:after="0"/>
              <w:rPr>
                <w:sz w:val="20"/>
                <w:szCs w:val="20"/>
                <w:color w:val="auto"/>
              </w:rPr>
            </w:pPr>
            <w:r>
              <w:rPr>
                <w:rFonts w:ascii="Arial" w:cs="Arial" w:eastAsia="Arial" w:hAnsi="Arial"/>
                <w:sz w:val="18"/>
                <w:szCs w:val="18"/>
                <w:color w:val="auto"/>
              </w:rPr>
              <w:t>14,616,799</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$ 32,651,343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3,018,393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(238,933)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$ 35,430,803</w:t>
            </w:r>
          </w:p>
        </w:tc>
        <w:tc>
          <w:tcPr>
            <w:tcW w:w="100" w:type="dxa"/>
            <w:vAlign w:val="bottom"/>
            <w:shd w:val="clear" w:color="auto" w:fill="CCEEFF"/>
          </w:tcPr>
          <w:p>
            <w:pPr>
              <w:spacing w:after="0"/>
              <w:rPr>
                <w:sz w:val="19"/>
                <w:szCs w:val="19"/>
                <w:color w:val="auto"/>
              </w:rPr>
            </w:pP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8"/>
              </w:rPr>
              <w:t>December 31, 2020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Gross</w:t>
            </w:r>
          </w:p>
        </w:tc>
        <w:tc>
          <w:tcPr>
            <w:tcW w:w="940" w:type="dxa"/>
            <w:vAlign w:val="bottom"/>
          </w:tcPr>
          <w:p>
            <w:pPr>
              <w:ind w:left="80"/>
              <w:spacing w:after="0" w:line="191"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Losses</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425"/>
        </w:trPr>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Equity Securities:</w:t>
            </w: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$ 18,097,942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853,277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(426,942)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$ 18,524,277</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14,473,224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1,820,512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(404,700)</w:t>
            </w:r>
          </w:p>
        </w:tc>
        <w:tc>
          <w:tcPr>
            <w:tcW w:w="940" w:type="dxa"/>
            <w:vAlign w:val="bottom"/>
          </w:tcPr>
          <w:p>
            <w:pPr>
              <w:jc w:val="right"/>
              <w:spacing w:after="0"/>
              <w:rPr>
                <w:sz w:val="20"/>
                <w:szCs w:val="20"/>
                <w:color w:val="auto"/>
              </w:rPr>
            </w:pPr>
            <w:r>
              <w:rPr>
                <w:rFonts w:ascii="Arial" w:cs="Arial" w:eastAsia="Arial" w:hAnsi="Arial"/>
                <w:sz w:val="18"/>
                <w:szCs w:val="18"/>
                <w:color w:val="auto"/>
              </w:rPr>
              <w:t>15,889,036</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$ 32,571,166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2,673,789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(831,642)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$ 34,413,313</w:t>
            </w:r>
          </w:p>
        </w:tc>
        <w:tc>
          <w:tcPr>
            <w:tcW w:w="100" w:type="dxa"/>
            <w:vAlign w:val="bottom"/>
            <w:shd w:val="clear" w:color="auto" w:fill="CCEEFF"/>
          </w:tcPr>
          <w:p>
            <w:pPr>
              <w:spacing w:after="0"/>
              <w:rPr>
                <w:sz w:val="19"/>
                <w:szCs w:val="19"/>
                <w:color w:val="auto"/>
              </w:rPr>
            </w:pP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 and estimated fair value of, and gross gains on, the Company’s other investments as of March 31, 2021 and December 31, 2020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3"/>
              </w:rPr>
              <w:t>March 31, 2021</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191"/>
        </w:trPr>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Gross</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425"/>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Other Investments: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Hedge fund</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$ 3,999,381</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$ 2,199,209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$ 6,198,590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$ 1,999,381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$ 3,368,626</w:t>
            </w:r>
          </w:p>
        </w:tc>
      </w:tr>
      <w:tr>
        <w:trPr>
          <w:trHeight w:val="216"/>
        </w:trPr>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0"/>
        </w:trPr>
        <w:tc>
          <w:tcPr>
            <w:tcW w:w="1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20" w:type="dxa"/>
            <w:vAlign w:val="bottom"/>
            <w:gridSpan w:val="4"/>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$ 4,149,381</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$ 2,199,209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$ 6,348,590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$ 2,149,381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$ 3,518,626</w:t>
            </w:r>
          </w:p>
        </w:tc>
      </w:tr>
      <w:tr>
        <w:trPr>
          <w:trHeight w:val="20"/>
        </w:trPr>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374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5020" w:type="dxa"/>
            <w:vAlign w:val="bottom"/>
            <w:gridSpan w:val="4"/>
          </w:tcPr>
          <w:p>
            <w:pPr>
              <w:spacing w:after="0"/>
              <w:rPr>
                <w:sz w:val="20"/>
                <w:szCs w:val="20"/>
                <w:color w:val="auto"/>
              </w:rPr>
            </w:pPr>
            <w:r>
              <w:rPr>
                <w:rFonts w:ascii="Arial" w:cs="Arial" w:eastAsia="Arial" w:hAnsi="Arial"/>
                <w:sz w:val="18"/>
                <w:szCs w:val="18"/>
                <w:color w:val="auto"/>
              </w:rPr>
              <w:t>Held-to-Maturity Securities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The cost or amortized cost and estimated fair value of, and unrealized gross gains and losses on, investments in held-to-maturity fixed-maturity securities as of March 31, 2021 and December 31, 2020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8"/>
              </w:rPr>
              <w:t>Gross Unrealized Losses</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Amortized</w:t>
            </w:r>
          </w:p>
        </w:tc>
        <w:tc>
          <w:tcPr>
            <w:tcW w:w="9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1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line="191" w:lineRule="exact"/>
              <w:rPr>
                <w:sz w:val="20"/>
                <w:szCs w:val="20"/>
                <w:color w:val="auto"/>
              </w:rPr>
            </w:pPr>
            <w:r>
              <w:rPr>
                <w:rFonts w:ascii="Arial" w:cs="Arial" w:eastAsia="Arial" w:hAnsi="Arial"/>
                <w:sz w:val="18"/>
                <w:szCs w:val="18"/>
                <w:b w:val="1"/>
                <w:bCs w:val="1"/>
                <w:color w:val="auto"/>
              </w:rPr>
              <w:t>Unrealized</w:t>
            </w:r>
          </w:p>
        </w:tc>
      </w:t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Months</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r>
      <w:tr>
        <w:trPr>
          <w:trHeight w:val="426"/>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729,606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210,129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939,735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210,129</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Political subdivisions of States, Territories and Possessions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998,382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1,040,890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42,508</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1,812,762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(5,897)</w:t>
            </w:r>
          </w:p>
        </w:tc>
        <w:tc>
          <w:tcPr>
            <w:tcW w:w="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1,834,971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22,209</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5,640,036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242,695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(134,272)</w:t>
            </w:r>
          </w:p>
        </w:tc>
        <w:tc>
          <w:tcPr>
            <w:tcW w:w="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5,748,459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108,423</w:t>
            </w:r>
          </w:p>
        </w:tc>
      </w:tr>
      <w:tr>
        <w:trPr>
          <w:trHeight w:val="210"/>
        </w:trPr>
        <w:tc>
          <w:tcPr>
            <w:tcW w:w="4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$ 9,180,786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523,438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(140,169)</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$ 9,564,055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383,269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8"/>
              </w:rPr>
              <w:t>Gross Unrealized Losses</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Amortized</w:t>
            </w:r>
          </w:p>
        </w:tc>
        <w:tc>
          <w:tcPr>
            <w:tcW w:w="9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1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line="191" w:lineRule="exact"/>
              <w:rPr>
                <w:sz w:val="20"/>
                <w:szCs w:val="20"/>
                <w:color w:val="auto"/>
              </w:rPr>
            </w:pPr>
            <w:r>
              <w:rPr>
                <w:rFonts w:ascii="Arial" w:cs="Arial" w:eastAsia="Arial" w:hAnsi="Arial"/>
                <w:sz w:val="18"/>
                <w:szCs w:val="18"/>
                <w:b w:val="1"/>
                <w:bCs w:val="1"/>
                <w:color w:val="auto"/>
              </w:rPr>
              <w:t>Unrealized</w:t>
            </w:r>
          </w:p>
        </w:tc>
      </w:t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Months</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r>
      <w:tr>
        <w:trPr>
          <w:trHeight w:val="425"/>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729,595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319,714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$ 1,049,309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319,714</w:t>
            </w:r>
          </w:p>
        </w:tc>
      </w:tr>
      <w:tr>
        <w:trPr>
          <w:trHeight w:val="216"/>
        </w:trPr>
        <w:tc>
          <w:tcPr>
            <w:tcW w:w="47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Political subdivisions of States, Territories and Possessions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998,428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1,049,345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50,917</w:t>
            </w:r>
          </w:p>
        </w:tc>
      </w:tr>
      <w:tr>
        <w:trPr>
          <w:trHeight w:val="216"/>
        </w:trPr>
        <w:tc>
          <w:tcPr>
            <w:tcW w:w="47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5,640,792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6,096,170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455,378</w:t>
            </w:r>
          </w:p>
        </w:tc>
      </w:tr>
      <w:tr>
        <w:trPr>
          <w:trHeight w:val="210"/>
        </w:trPr>
        <w:tc>
          <w:tcPr>
            <w:tcW w:w="474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$ 7,368,815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826,009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$ 8,194,824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826,009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held-to-maturity securities by contractual maturity as of March 31, 2021 and December 31, 2020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Less than one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500,639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512,985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to five years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2,098,011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2,244,083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2,598,193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2,777,936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Five to ten years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1,505,366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1,639,444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1,502,603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1,727,316</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More than 10 years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5,076,770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5,167,543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3,268,019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3,689,572</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9,180,786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9,564,055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7,368,815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8,194,824</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Investment Income</w:t>
            </w:r>
          </w:p>
        </w:tc>
        <w:tc>
          <w:tcPr>
            <w:tcW w:w="5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2"/>
        </w:trPr>
        <w:tc>
          <w:tcPr>
            <w:tcW w:w="7240" w:type="dxa"/>
            <w:vAlign w:val="bottom"/>
            <w:gridSpan w:val="3"/>
          </w:tcPr>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r>
      <w:tr>
        <w:trPr>
          <w:trHeight w:val="234"/>
        </w:trPr>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6"/>
              </w:rPr>
              <w:t>March 31,</w:t>
            </w:r>
          </w:p>
        </w:tc>
      </w:tr>
      <w:tr>
        <w:trPr>
          <w:trHeight w:val="209"/>
        </w:trPr>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426"/>
        </w:trPr>
        <w:tc>
          <w:tcPr>
            <w:tcW w:w="7240" w:type="dxa"/>
            <w:vAlign w:val="bottom"/>
            <w:gridSpan w:val="3"/>
          </w:tcPr>
          <w:p>
            <w:pPr>
              <w:ind w:left="860"/>
              <w:spacing w:after="0"/>
              <w:rPr>
                <w:sz w:val="20"/>
                <w:szCs w:val="20"/>
                <w:color w:val="auto"/>
              </w:rPr>
            </w:pPr>
            <w:r>
              <w:rPr>
                <w:rFonts w:ascii="Arial" w:cs="Arial" w:eastAsia="Arial" w:hAnsi="Arial"/>
                <w:sz w:val="18"/>
                <w:szCs w:val="18"/>
                <w:b w:val="1"/>
                <w:bCs w:val="1"/>
                <w:color w:val="auto"/>
              </w:rPr>
              <w:t>Income: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1,491,127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1,447,938</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357,311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253,073</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1,849,362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1,745,234</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66,166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79,390</w:t>
            </w:r>
          </w:p>
        </w:tc>
        <w:tc>
          <w:tcPr>
            <w:tcW w:w="10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1,783,196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1,665,844</w:t>
            </w:r>
          </w:p>
        </w:tc>
        <w:tc>
          <w:tcPr>
            <w:tcW w:w="100" w:type="dxa"/>
            <w:vAlign w:val="bottom"/>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and redemption of fixed-maturity securities held-to-maturity were $-0- for the three months ended March 31, 2021 and 2020.</w:t>
      </w:r>
    </w:p>
    <w:p>
      <w:pPr>
        <w:sectPr>
          <w:pgSz w:w="11900" w:h="16838" w:orient="portrait"/>
          <w:cols w:equalWidth="0" w:num="1">
            <w:col w:w="11240"/>
          </w:cols>
          <w:pgMar w:left="320" w:top="341" w:right="339" w:bottom="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Proceeds from the sale or maturity of fixed-maturity securities available-for-sale were $11,548,405 and $10,553,818 for the three months ended March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$6,433,262 and $5,518,428 for the three months ended March 31, 2021 and 2020,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562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900" w:type="dxa"/>
            <w:vAlign w:val="bottom"/>
            <w:gridSpan w:val="4"/>
          </w:tcPr>
          <w:p>
            <w:pPr>
              <w:spacing w:after="0"/>
              <w:rPr>
                <w:sz w:val="20"/>
                <w:szCs w:val="20"/>
                <w:color w:val="auto"/>
              </w:rPr>
            </w:pPr>
            <w:r>
              <w:rPr>
                <w:rFonts w:ascii="Arial" w:cs="Arial" w:eastAsia="Arial" w:hAnsi="Arial"/>
                <w:sz w:val="18"/>
                <w:szCs w:val="18"/>
                <w:color w:val="auto"/>
              </w:rPr>
              <w:t>The Company’s net gains (losses) on investments are summarized as follows:</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Three months ended</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9"/>
        </w:trPr>
        <w:tc>
          <w:tcPr>
            <w:tcW w:w="6900" w:type="dxa"/>
            <w:vAlign w:val="bottom"/>
            <w:gridSpan w:val="4"/>
            <w:vMerge w:val="restart"/>
          </w:tcPr>
          <w:p>
            <w:pPr>
              <w:ind w:left="860"/>
              <w:spacing w:after="0"/>
              <w:rPr>
                <w:sz w:val="20"/>
                <w:szCs w:val="20"/>
                <w:color w:val="auto"/>
              </w:rPr>
            </w:pPr>
            <w:r>
              <w:rPr>
                <w:rFonts w:ascii="Arial" w:cs="Arial" w:eastAsia="Arial" w:hAnsi="Arial"/>
                <w:sz w:val="18"/>
                <w:szCs w:val="18"/>
                <w:b w:val="1"/>
                <w:bCs w:val="1"/>
                <w:color w:val="auto"/>
              </w:rPr>
              <w:t>Realized Gains (Losses)</w:t>
            </w:r>
          </w:p>
        </w:tc>
        <w:tc>
          <w:tcPr>
            <w:tcW w:w="1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gridSpan w:val="4"/>
            <w:vMerge w:val="continue"/>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00" w:type="dxa"/>
            <w:vAlign w:val="bottom"/>
            <w:gridSpan w:val="4"/>
          </w:tcPr>
          <w:p>
            <w:pPr>
              <w:ind w:left="860"/>
              <w:spacing w:after="0"/>
              <w:rPr>
                <w:sz w:val="20"/>
                <w:szCs w:val="20"/>
                <w:color w:val="auto"/>
              </w:rPr>
            </w:pPr>
            <w:r>
              <w:rPr>
                <w:rFonts w:ascii="Arial" w:cs="Arial" w:eastAsia="Arial" w:hAnsi="Arial"/>
                <w:sz w:val="18"/>
                <w:szCs w:val="18"/>
                <w:b w:val="1"/>
                <w:bCs w:val="1"/>
                <w:color w:val="auto"/>
              </w:rPr>
              <w:t>Fixed-maturity securities:</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410,311</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Gross realized losses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(15,986)</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(32,342)</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394,325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Gross realized gains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933,122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(200,213)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(213,815)</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732,909</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102,698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3"/>
          </w:tcPr>
          <w:p>
            <w:pPr>
              <w:ind w:left="200"/>
              <w:spacing w:after="0"/>
              <w:rPr>
                <w:sz w:val="20"/>
                <w:szCs w:val="20"/>
                <w:color w:val="auto"/>
              </w:rPr>
            </w:pPr>
            <w:r>
              <w:rPr>
                <w:rFonts w:ascii="Arial" w:cs="Arial" w:eastAsia="Arial" w:hAnsi="Arial"/>
                <w:sz w:val="18"/>
                <w:szCs w:val="18"/>
                <w:color w:val="auto"/>
              </w:rPr>
              <w:t>Net realized gains</w:t>
            </w:r>
          </w:p>
        </w:tc>
        <w:tc>
          <w:tcPr>
            <w:tcW w:w="1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1,127,234</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Unrealized Gains (Losses)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gains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1,003,209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Gross losses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(6,121,608)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1,003,209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(6,121,608)</w:t>
            </w: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investments: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Gross gains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829,964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losses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(597,391)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829,964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(597,391)</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3"/>
          </w:tcPr>
          <w:p>
            <w:pPr>
              <w:ind w:left="200"/>
              <w:spacing w:after="0"/>
              <w:rPr>
                <w:sz w:val="20"/>
                <w:szCs w:val="20"/>
                <w:color w:val="auto"/>
              </w:rPr>
            </w:pPr>
            <w:r>
              <w:rPr>
                <w:rFonts w:ascii="Arial" w:cs="Arial" w:eastAsia="Arial" w:hAnsi="Arial"/>
                <w:sz w:val="18"/>
                <w:szCs w:val="18"/>
                <w:color w:val="auto"/>
              </w:rPr>
              <w:t>Net unrealized gains (losses)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1,833,173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(6,718,999)</w:t>
            </w: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Net gains (losses) on investments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2,960,407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(6,444,418)</w:t>
            </w:r>
          </w:p>
        </w:tc>
        <w:tc>
          <w:tcPr>
            <w:tcW w:w="0" w:type="dxa"/>
            <w:vAlign w:val="bottom"/>
          </w:tcPr>
          <w:p>
            <w:pPr>
              <w:spacing w:after="0"/>
              <w:rPr>
                <w:sz w:val="1"/>
                <w:szCs w:val="1"/>
                <w:color w:val="auto"/>
              </w:rPr>
            </w:pPr>
          </w:p>
        </w:tc>
      </w:tr>
      <w:tr>
        <w:trPr>
          <w:trHeight w:val="20"/>
        </w:trPr>
        <w:tc>
          <w:tcPr>
            <w:tcW w:w="6900" w:type="dxa"/>
            <w:vAlign w:val="bottom"/>
            <w:gridSpan w:val="4"/>
            <w:vMerge w:val="restart"/>
          </w:tcPr>
          <w:p>
            <w:pPr>
              <w:spacing w:after="0"/>
              <w:rPr>
                <w:sz w:val="20"/>
                <w:szCs w:val="20"/>
                <w:color w:val="auto"/>
              </w:rPr>
            </w:pPr>
            <w:r>
              <w:rPr>
                <w:rFonts w:ascii="Arial" w:cs="Arial" w:eastAsia="Arial" w:hAnsi="Arial"/>
                <w:sz w:val="18"/>
                <w:szCs w:val="18"/>
                <w:color w:val="auto"/>
              </w:rPr>
              <w:t>Impairment Review</w:t>
            </w: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00" w:type="dxa"/>
            <w:vAlign w:val="bottom"/>
            <w:gridSpan w:val="4"/>
            <w:vMerge w:val="continue"/>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loss for the noncredit portion of a previous OTTI is amortized prospectively over the remaining life of the security based on timing of future estimated cash flows of the security.</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OTTI losses are recorded in the consolidated statements of operations and comprehensive loss as net realized losses on investments and result in a permanent reduction of the cost basis of the underlying investment. The determination of OTTI is a subjective process and different judgments and assumptions could affect the timing of loss realization. At March 31, 2021 and December 31, 2020, there were 20 and 16 fixed-maturity securities, respectively, that accounted for the gross unrealized losses. The Company determined that none of the unrealized losses were deemed to be OTTI for its portfolio of investments for the three months ended March 31, 2021 and 2020. Significant factors influencing the Company’s determination that unrealized losses were temporary included the magnitude of the unrealized losses in relation to each security’s cost, the nature of the investment and management’s intent and ability to hold the investment for a period of time sufficient to allow for an anticipated recovery of estimated fair value to the Company’s cost basis.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March 31, 2021 as follows:</w:t>
      </w:r>
    </w:p>
    <w:p>
      <w:pPr>
        <w:sectPr>
          <w:pgSz w:w="11900" w:h="16838" w:orient="portrait"/>
          <w:cols w:equalWidth="0" w:num="1">
            <w:col w:w="11240"/>
          </w:cols>
          <w:pgMar w:left="320" w:top="125" w:right="3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b w:val="1"/>
                <w:bCs w:val="1"/>
                <w:color w:val="auto"/>
              </w:rPr>
              <w:t>March 31, 2021</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7"/>
          </w:tcPr>
          <w:p>
            <w:pPr>
              <w:ind w:left="5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2840" w:type="dxa"/>
            <w:vAlign w:val="bottom"/>
            <w:gridSpan w:val="8"/>
          </w:tcPr>
          <w:p>
            <w:pPr>
              <w:ind w:left="58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00" w:type="dxa"/>
            <w:vAlign w:val="bottom"/>
          </w:tcPr>
          <w:p>
            <w:pPr>
              <w:spacing w:after="0"/>
              <w:rPr>
                <w:sz w:val="16"/>
                <w:szCs w:val="16"/>
                <w:color w:val="auto"/>
              </w:rPr>
            </w:pPr>
          </w:p>
        </w:tc>
        <w:tc>
          <w:tcPr>
            <w:tcW w:w="94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0"/>
              </w:rPr>
              <w:t>Losses</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425"/>
        </w:trPr>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government corporations and 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4,236,366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(86,507)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4,236,366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(86,507)</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Corporate and other bonds industrial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4,991,204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(78,069)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4,991,204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(78,069)</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3,512,982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3,477,111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(92,731)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6,990,093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(100,956)</w:t>
            </w:r>
          </w:p>
        </w:tc>
      </w:tr>
      <w:tr>
        <w:trPr>
          <w:trHeight w:val="209"/>
        </w:trPr>
        <w:tc>
          <w:tcPr>
            <w:tcW w:w="1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12,740,552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(172,801)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3,477,111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(92,731)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16,217,663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(265,532)</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2020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w w:val="97"/>
              </w:rPr>
              <w:t>December 31, 2020</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ind w:left="6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426"/>
        </w:trPr>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U.S. Treasury securities and obligations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of U.S.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3"/>
              </w:rPr>
              <w:t>government corporations and agencies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Corporate and other bonds industrial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1,006,901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1,006,901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(13,216)</w:t>
            </w: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6,137,522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3,735,732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(111,947)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9,873,254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(119,318)</w:t>
            </w:r>
          </w:p>
        </w:tc>
      </w:tr>
      <w:tr>
        <w:trPr>
          <w:trHeight w:val="209"/>
        </w:trPr>
        <w:tc>
          <w:tcPr>
            <w:tcW w:w="2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7,144,423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(20,587)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3,735,732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(111,947)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10,880,155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(132,534)</w:t>
            </w:r>
          </w:p>
        </w:tc>
      </w:tr>
      <w:tr>
        <w:trPr>
          <w:trHeight w:val="628"/>
        </w:trPr>
        <w:tc>
          <w:tcPr>
            <w:tcW w:w="29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Company’s investments that are measured at fair value on a recurring basis at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indicating the fair value hierarchy of the valuation inputs the Company utilized to determine such fair value:</w:t>
      </w:r>
    </w:p>
    <w:p>
      <w:pPr>
        <w:spacing w:after="0" w:line="207" w:lineRule="exact"/>
        <w:rPr>
          <w:sz w:val="20"/>
          <w:szCs w:val="20"/>
          <w:color w:val="auto"/>
        </w:rPr>
      </w:pPr>
    </w:p>
    <w:p>
      <w:pPr>
        <w:jc w:val="center"/>
        <w:ind w:left="4880"/>
        <w:spacing w:after="0"/>
        <w:rPr>
          <w:sz w:val="20"/>
          <w:szCs w:val="20"/>
          <w:color w:val="auto"/>
        </w:rPr>
      </w:pPr>
      <w:r>
        <w:rPr>
          <w:rFonts w:ascii="Arial" w:cs="Arial" w:eastAsia="Arial" w:hAnsi="Arial"/>
          <w:sz w:val="18"/>
          <w:szCs w:val="18"/>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28289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6060"/>
        <w:spacing w:after="0"/>
        <w:tabs>
          <w:tab w:leader="none" w:pos="7200" w:val="left"/>
          <w:tab w:leader="none" w:pos="8340" w:val="left"/>
          <w:tab w:leader="none" w:pos="95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8289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Fixed-maturity securities available-for-sale</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U.S. Treasury securities and obligations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-121920</wp:posOffset>
            </wp:positionV>
            <wp:extent cx="6060440" cy="228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0440" cy="22860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government corporations and agencies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2,034,680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2,034,680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3"/>
              </w:rPr>
              <w:t>Political subdivisions of States, Territories and Possessions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8,693,236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8,693,236</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9"/>
              </w:rPr>
              <w:t>Corporate and other bonds industrial and miscellaneous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110,434,895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2,053,073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112,487,968</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24,369,921</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24,369,921</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fixed maturities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112,469,575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35,116,230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147,585,805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35,430,803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35,430,803</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investments</w:t>
            </w:r>
          </w:p>
        </w:tc>
        <w:tc>
          <w:tcPr>
            <w:tcW w:w="6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147,900,378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35,116,230</w:t>
            </w:r>
          </w:p>
        </w:tc>
        <w:tc>
          <w:tcPr>
            <w:tcW w:w="1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183,016,608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320" w:type="dxa"/>
            <w:vAlign w:val="bottom"/>
            <w:gridSpan w:val="2"/>
          </w:tcPr>
          <w:p>
            <w:pPr>
              <w:ind w:left="860"/>
              <w:spacing w:after="0"/>
              <w:rPr>
                <w:sz w:val="20"/>
                <w:szCs w:val="20"/>
                <w:color w:val="auto"/>
              </w:rPr>
            </w:pPr>
            <w:r>
              <w:rPr>
                <w:rFonts w:ascii="Arial" w:cs="Arial" w:eastAsia="Arial" w:hAnsi="Arial"/>
                <w:sz w:val="18"/>
                <w:szCs w:val="18"/>
                <w:b w:val="1"/>
                <w:bCs w:val="1"/>
                <w:color w:val="auto"/>
              </w:rPr>
              <w:t>Fixed-maturity securities available-for-sale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government corporations and agencies</w:t>
            </w: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3,049,900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3,049,900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3"/>
              </w:rPr>
              <w:t>Political subdivisions of States, Territories and Possessions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5,643,102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5,643,102</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9"/>
              </w:rPr>
              <w:t>Corporate and other bonds industrial and miscellaneous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118,123,890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2,070,439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120,194,329</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28,661,941</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28,661,941</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fixed maturities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121,173,790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36,375,482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157,549,272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34,413,313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34,413,313</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investments</w:t>
            </w:r>
          </w:p>
        </w:tc>
        <w:tc>
          <w:tcPr>
            <w:tcW w:w="6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155,587,103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36,375,482</w:t>
            </w:r>
          </w:p>
        </w:tc>
        <w:tc>
          <w:tcPr>
            <w:tcW w:w="1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191,962,585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the Company’s investment in a hedge fund and real estate limited partnership both measured at Net Asset Value (“NAV”) per share as of March 31, 2021 and December 31, 2020. The Company measures this investment at fair value on a recurring basis. Fair value using NAV per share is as follows as of the dates indicated:</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7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31, 2020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6,198,590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3,368,626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6,348,590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3,518,626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loss within net gains (losses) on investments.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 and the level of the fair value hierarchy of the Company’s long-term debt as of March 31, 2021 and December 31, 2020 not measured at fair value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276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$ 27,295,348</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$ 27,295,348</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27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276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$ 27,272,727</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$ 27,272,727</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and real estate as of March 31, 2021 and December 31, 2020 are as follows:</w:t>
      </w:r>
    </w:p>
    <w:p>
      <w:pPr>
        <w:spacing w:after="0" w:line="233" w:lineRule="exact"/>
        <w:rPr>
          <w:sz w:val="20"/>
          <w:szCs w:val="20"/>
          <w:color w:val="auto"/>
        </w:rPr>
      </w:pPr>
    </w:p>
    <w:p>
      <w:pPr>
        <w:ind w:left="6400"/>
        <w:spacing w:after="0"/>
        <w:tabs>
          <w:tab w:leader="none" w:pos="8520" w:val="left"/>
        </w:tabs>
        <w:rPr>
          <w:sz w:val="20"/>
          <w:szCs w:val="20"/>
          <w:color w:val="auto"/>
        </w:rPr>
      </w:pPr>
      <w:r>
        <w:rPr>
          <w:rFonts w:ascii="Arial" w:cs="Arial" w:eastAsia="Arial" w:hAnsi="Arial"/>
          <w:sz w:val="18"/>
          <w:szCs w:val="18"/>
          <w:b w:val="1"/>
          <w:bCs w:val="1"/>
          <w:color w:val="auto"/>
        </w:rPr>
        <w:t>March 31, 2021</w:t>
      </w:r>
      <w:r>
        <w:rPr>
          <w:sz w:val="20"/>
          <w:szCs w:val="20"/>
          <w:color w:val="auto"/>
        </w:rPr>
        <w:tab/>
      </w:r>
      <w:r>
        <w:rPr>
          <w:rFonts w:ascii="Arial" w:cs="Arial" w:eastAsia="Arial" w:hAnsi="Arial"/>
          <w:sz w:val="15"/>
          <w:szCs w:val="15"/>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7603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12" w:name="page13"/>
    <w:bookmarkEnd w:id="12"/>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Estimated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Fair 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1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Fixed-maturity securities-held-to maturity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9,180,786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9,564,055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7,368,815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22,179,960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22,179,960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19,463,742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19,463,742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Premiums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10,885,621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10,885,621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14,020,716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14,020,716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Reinsurance receivables,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37,366,742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37,366,742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45,460,729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45,460,729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Real estate, net of accumulated depreciation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2,199,771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2,219,999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Reinsurance balances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2,336,498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2,336,498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6,979,735</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6,979,735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Premiums Earned</w:t>
            </w: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6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Direct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b w:val="1"/>
                <w:bCs w:val="1"/>
                <w:color w:val="auto"/>
              </w:rPr>
              <w:t>Assumed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Ceded</w:t>
            </w: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425"/>
        </w:trPr>
        <w:tc>
          <w:tcPr>
            <w:tcW w:w="5960" w:type="dxa"/>
            <w:vAlign w:val="bottom"/>
            <w:gridSpan w:val="3"/>
          </w:tcPr>
          <w:p>
            <w:pPr>
              <w:ind w:left="860"/>
              <w:spacing w:after="0"/>
              <w:rPr>
                <w:sz w:val="20"/>
                <w:szCs w:val="20"/>
                <w:color w:val="auto"/>
              </w:rPr>
            </w:pPr>
            <w:r>
              <w:rPr>
                <w:rFonts w:ascii="Arial" w:cs="Arial" w:eastAsia="Arial" w:hAnsi="Arial"/>
                <w:sz w:val="18"/>
                <w:szCs w:val="18"/>
                <w:b w:val="1"/>
                <w:bCs w:val="1"/>
                <w:color w:val="auto"/>
              </w:rPr>
              <w:t>Three months ended March 31, 2021</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Premiums written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38,129,117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(7,329,507)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30,799,610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Change in unearned premiums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3,789,478</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51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41,918,595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(7,329,377)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34,589,218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60" w:type="dxa"/>
            <w:vAlign w:val="bottom"/>
            <w:vMerge w:val="restart"/>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6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1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Premiums written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36,696,929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$(13,506,255)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23,190,674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Change in unearned premiums</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5,904,700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(2,153,924)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Premiums earned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42,601,629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(15,660,179)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26,941,450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March 31, 2021 and December 31, 2020 was $4,145,845 and $2,660,354,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$ 82,801,228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$ 80,498,611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(20,154,251)</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(15,728,224)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balance, beginning of period</w:t>
            </w:r>
          </w:p>
        </w:tc>
        <w:tc>
          <w:tcPr>
            <w:tcW w:w="3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62,646,977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64,770,387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year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22,571,727</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16,512,475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2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(11,055)</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(126,654)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Total incurred</w:t>
            </w:r>
          </w:p>
        </w:tc>
        <w:tc>
          <w:tcPr>
            <w:tcW w:w="2480" w:type="dxa"/>
            <w:vAlign w:val="bottom"/>
            <w:tcBorders>
              <w:top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22,560,672</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16,385,821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Paid related to:</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7,749,998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5,787,129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Prior years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10,059,577</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13,777,236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paid</w:t>
            </w:r>
          </w:p>
        </w:tc>
        <w:tc>
          <w:tcPr>
            <w:tcW w:w="3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17,809,575</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19,564,365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67,398,074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61,591,843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24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17,058,985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16,259,256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$ 84,457,059</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$ 77,851,099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losses and LAE are net of reinsurance recoveries under reinsurance contracts of $823,856 and $5,866,898 for the three months ended March 31, 2021 and 2020,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three months ended March 31, 2021 and 2020 was $11,055 unfavorable and $126,654 unfavorable, respectively. Management periodically performs a review of open liability claims to assess carried case and incurred but not reported (“IBNR”) reserve levels, giving consideration to both Company and industry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w:t>
      </w:r>
    </w:p>
    <w:p>
      <w:pPr>
        <w:sectPr>
          <w:pgSz w:w="11900" w:h="16971" w:orient="portrait"/>
          <w:cols w:equalWidth="0" w:num="1">
            <w:col w:w="11240"/>
          </w:cols>
          <w:pgMar w:left="320" w:top="121" w:right="339" w:bottom="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170"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5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Incurred Bornhuetter-Ferguson (“BF”) </w:t>
      </w:r>
      <w:r>
        <w:rPr>
          <w:rFonts w:ascii="Arial" w:cs="Arial" w:eastAsia="Arial" w:hAnsi="Arial"/>
          <w:sz w:val="18"/>
          <w:szCs w:val="18"/>
          <w:color w:val="auto"/>
        </w:rPr>
        <w:t>- an estimated loss ratio for a particular accident year is determined, and is weighted against the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i w:val="1"/>
          <w:iCs w:val="1"/>
          <w:color w:val="auto"/>
        </w:rPr>
        <w:t xml:space="preserve">Frequency / Severity Based Methods </w:t>
      </w:r>
      <w:r>
        <w:rPr>
          <w:rFonts w:ascii="Arial" w:cs="Arial" w:eastAsia="Arial" w:hAnsi="Arial"/>
          <w:sz w:val="17"/>
          <w:szCs w:val="17"/>
          <w:color w:val="auto"/>
        </w:rPr>
        <w:t>– historical measurements of claim frequency and average paid claim size (severity) are reviewed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aware of any claim trends that have emerged or that would cause future adverse development that have not already been contemplated in setting current carried reserves levels.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2018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ectPr>
          <w:pgSz w:w="11900" w:h="16838" w:orient="portrait"/>
          <w:cols w:equalWidth="0" w:num="1">
            <w:col w:w="11240"/>
          </w:cols>
          <w:pgMar w:left="320" w:top="125" w:right="339" w:bottom="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The following is information about incurred and paid claims development as of March 31, 2021, net of reinsurance, as well as the cumulative reported claims by accident year and total IBNR reserves as of March 31, 2021 included in the net incurred loss and allocated expense amounts. The historical information regarding incurred and paid claims development for the years ended December 31, 2012 to December 31, 2020 is presented as supplementary unaudited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gridSpan w:val="17"/>
          </w:tcPr>
          <w:p>
            <w:pPr>
              <w:jc w:val="right"/>
              <w:ind w:right="340"/>
              <w:spacing w:after="0"/>
              <w:rPr>
                <w:sz w:val="20"/>
                <w:szCs w:val="20"/>
                <w:color w:val="auto"/>
              </w:rPr>
            </w:pPr>
            <w:r>
              <w:rPr>
                <w:rFonts w:ascii="Arial" w:cs="Arial" w:eastAsia="Arial" w:hAnsi="Arial"/>
                <w:sz w:val="18"/>
                <w:szCs w:val="18"/>
                <w:b w:val="1"/>
                <w:bCs w:val="1"/>
                <w:color w:val="auto"/>
                <w:w w:val="94"/>
              </w:rPr>
              <w:t>Incurred Loss and Allocated Loss Adjustment Expenses, Net of Reinsurance</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w w:val="88"/>
              </w:rPr>
              <w:t>As of</w:t>
            </w:r>
          </w:p>
        </w:tc>
      </w:tr>
      <w:tr>
        <w:trPr>
          <w:trHeight w:val="210"/>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00" w:type="dxa"/>
            <w:vAlign w:val="bottom"/>
            <w:gridSpan w:val="9"/>
          </w:tcPr>
          <w:p>
            <w:pPr>
              <w:jc w:val="center"/>
              <w:ind w:right="780"/>
              <w:spacing w:after="0"/>
              <w:rPr>
                <w:sz w:val="20"/>
                <w:szCs w:val="20"/>
                <w:color w:val="auto"/>
              </w:rPr>
            </w:pPr>
            <w:r>
              <w:rPr>
                <w:rFonts w:ascii="Arial" w:cs="Arial" w:eastAsia="Arial" w:hAnsi="Arial"/>
                <w:sz w:val="18"/>
                <w:szCs w:val="18"/>
                <w:b w:val="1"/>
                <w:bCs w:val="1"/>
                <w:color w:val="auto"/>
                <w:w w:val="90"/>
              </w:rPr>
              <w:t>For the Years Ended December 31,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March 31, 2021</w:t>
            </w:r>
          </w:p>
        </w:tc>
      </w:tr>
      <w:tr>
        <w:trPr>
          <w:trHeight w:val="191"/>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Cumulative</w:t>
            </w:r>
          </w:p>
        </w:tc>
        <w:tc>
          <w:tcPr>
            <w:tcW w:w="220" w:type="dxa"/>
            <w:vAlign w:val="bottom"/>
          </w:tcPr>
          <w:p>
            <w:pPr>
              <w:spacing w:after="0"/>
              <w:rPr>
                <w:sz w:val="16"/>
                <w:szCs w:val="16"/>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months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Reported</w:t>
            </w: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ended</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Claims by</w:t>
            </w:r>
          </w:p>
        </w:tc>
      </w:tr>
      <w:tr>
        <w:trPr>
          <w:trHeight w:val="216"/>
        </w:trPr>
        <w:tc>
          <w:tcPr>
            <w:tcW w:w="7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Accident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Accident</w:t>
            </w:r>
          </w:p>
        </w:tc>
      </w:tr>
      <w:tr>
        <w:trPr>
          <w:trHeight w:val="234"/>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2012</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IBNR</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0"/>
                <w:szCs w:val="20"/>
                <w:color w:val="auto"/>
              </w:rPr>
            </w:pPr>
          </w:p>
        </w:tc>
      </w:tr>
      <w:tr>
        <w:trPr>
          <w:trHeight w:val="209"/>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8"/>
                <w:szCs w:val="18"/>
                <w:b w:val="1"/>
                <w:bCs w:val="1"/>
                <w:color w:val="auto"/>
                <w:w w:val="91"/>
              </w:rPr>
              <w:t>(Unaudited 2012 - 2020)</w:t>
            </w: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$ 10,278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$ 10,382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$ 10,582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$ 10,790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$ 10,791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$ 11,015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$ 10,885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4,704(1)</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10,728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9,745</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9,424</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9,621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10,061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10,089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10,607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10,495</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10,511</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1,564</w:t>
            </w: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14,193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14,260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14,218</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14,564</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15,023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16,428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2,138</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22,340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21,994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22,148</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22,491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23,386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23,291</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23,359</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2,557</w:t>
            </w: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26,062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24,941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24,789</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27,887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27,966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27,857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2,878</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31,605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32,169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35,304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36,160</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36,186</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3,393</w:t>
            </w: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54,455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56,351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58,441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58,511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1,963</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4,215</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75,092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72,368</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72,371</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8,809</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4,453</w:t>
            </w: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63,083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63,014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8,473</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5,772</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7,581</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816</w:t>
            </w:r>
          </w:p>
        </w:tc>
      </w:tr>
      <w:tr>
        <w:trPr>
          <w:trHeight w:val="210"/>
        </w:trPr>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claims for accident year 2012 includes 3,406 claims from Superstorm Sandy.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740" w:type="dxa"/>
            <w:vAlign w:val="bottom"/>
            <w:tcBorders>
              <w:bottom w:val="single" w:sz="8" w:color="auto"/>
            </w:tcBorders>
            <w:gridSpan w:val="23"/>
          </w:tcPr>
          <w:p>
            <w:pPr>
              <w:jc w:val="right"/>
              <w:ind w:right="760"/>
              <w:spacing w:after="0"/>
              <w:rPr>
                <w:sz w:val="20"/>
                <w:szCs w:val="20"/>
                <w:color w:val="auto"/>
              </w:rPr>
            </w:pPr>
            <w:r>
              <w:rPr>
                <w:rFonts w:ascii="Arial" w:cs="Arial" w:eastAsia="Arial" w:hAnsi="Arial"/>
                <w:sz w:val="18"/>
                <w:szCs w:val="18"/>
                <w:b w:val="1"/>
                <w:bCs w:val="1"/>
                <w:color w:val="auto"/>
                <w:w w:val="96"/>
              </w:rPr>
              <w:t>Cumulative Paid Loss and Allocated Loss Adjustment Expenses, Net of Reinsurance</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Three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months</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w w:val="90"/>
              </w:rPr>
              <w:t>For the Years Ended December 31,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Accident Year</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8"/>
                <w:szCs w:val="18"/>
                <w:b w:val="1"/>
                <w:bCs w:val="1"/>
                <w:color w:val="auto"/>
                <w:w w:val="92"/>
              </w:rPr>
              <w:t>(Unaudited 2012 - 2020)</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  10,236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10,323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10,428</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10,451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10,533</w:t>
            </w:r>
          </w:p>
        </w:tc>
        <w:tc>
          <w:tcPr>
            <w:tcW w:w="80" w:type="dxa"/>
            <w:vAlign w:val="bottom"/>
            <w:shd w:val="clear" w:color="auto" w:fill="CCEEFF"/>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5,303</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7,591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8,407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9,056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9,717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10,016</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10,133</w:t>
            </w:r>
          </w:p>
        </w:tc>
        <w:tc>
          <w:tcPr>
            <w:tcW w:w="80" w:type="dxa"/>
            <w:vAlign w:val="bottom"/>
          </w:tcPr>
          <w:p>
            <w:pPr>
              <w:spacing w:after="0"/>
              <w:rPr>
                <w:sz w:val="18"/>
                <w:szCs w:val="18"/>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11,770</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13,819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14,901</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15,491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15,497</w:t>
            </w:r>
          </w:p>
        </w:tc>
        <w:tc>
          <w:tcPr>
            <w:tcW w:w="80" w:type="dxa"/>
            <w:vAlign w:val="bottom"/>
            <w:shd w:val="clear" w:color="auto" w:fill="CCEEFF"/>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16,181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18,266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19,984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21,067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22,104</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22,201</w:t>
            </w:r>
          </w:p>
        </w:tc>
        <w:tc>
          <w:tcPr>
            <w:tcW w:w="80" w:type="dxa"/>
            <w:vAlign w:val="bottom"/>
          </w:tcPr>
          <w:p>
            <w:pPr>
              <w:spacing w:after="0"/>
              <w:rPr>
                <w:sz w:val="18"/>
                <w:szCs w:val="18"/>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19,001</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21,106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23,974</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25,234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25,310</w:t>
            </w:r>
          </w:p>
        </w:tc>
        <w:tc>
          <w:tcPr>
            <w:tcW w:w="80" w:type="dxa"/>
            <w:vAlign w:val="bottom"/>
            <w:shd w:val="clear" w:color="auto" w:fill="CCEEFF"/>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16,704</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24,820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28,693</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31,393</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31,831</w:t>
            </w:r>
          </w:p>
        </w:tc>
        <w:tc>
          <w:tcPr>
            <w:tcW w:w="80" w:type="dxa"/>
            <w:vAlign w:val="bottom"/>
          </w:tcPr>
          <w:p>
            <w:pPr>
              <w:spacing w:after="0"/>
              <w:rPr>
                <w:sz w:val="18"/>
                <w:szCs w:val="18"/>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32,383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44,516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50,553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50,921</w:t>
            </w:r>
          </w:p>
        </w:tc>
        <w:tc>
          <w:tcPr>
            <w:tcW w:w="80" w:type="dxa"/>
            <w:vAlign w:val="bottom"/>
            <w:shd w:val="clear" w:color="auto" w:fill="CCEEFF"/>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40,933</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54,897</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55,822</w:t>
            </w:r>
          </w:p>
        </w:tc>
        <w:tc>
          <w:tcPr>
            <w:tcW w:w="80" w:type="dxa"/>
            <w:vAlign w:val="bottom"/>
          </w:tcPr>
          <w:p>
            <w:pPr>
              <w:spacing w:after="0"/>
              <w:rPr>
                <w:sz w:val="18"/>
                <w:szCs w:val="18"/>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39,045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46,451</w:t>
            </w:r>
          </w:p>
        </w:tc>
        <w:tc>
          <w:tcPr>
            <w:tcW w:w="80" w:type="dxa"/>
            <w:vAlign w:val="bottom"/>
            <w:shd w:val="clear" w:color="auto" w:fill="CCEEFF"/>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275,987</w:t>
            </w:r>
          </w:p>
        </w:tc>
        <w:tc>
          <w:tcPr>
            <w:tcW w:w="80" w:type="dxa"/>
            <w:vAlign w:val="bottom"/>
            <w:shd w:val="clear" w:color="auto" w:fill="CCEEFF"/>
          </w:tcPr>
          <w:p>
            <w:pPr>
              <w:spacing w:after="0"/>
              <w:rPr>
                <w:sz w:val="18"/>
                <w:szCs w:val="18"/>
                <w:color w:val="auto"/>
              </w:rPr>
            </w:pPr>
          </w:p>
        </w:tc>
      </w:tr>
      <w:tr>
        <w:trPr>
          <w:trHeight w:val="210"/>
        </w:trPr>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gridSpan w:val="3"/>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2"/>
          </w:tcPr>
          <w:p>
            <w:pPr>
              <w:spacing w:after="0"/>
              <w:rPr>
                <w:sz w:val="18"/>
                <w:szCs w:val="18"/>
                <w:color w:val="auto"/>
              </w:rPr>
            </w:pPr>
          </w:p>
        </w:tc>
        <w:tc>
          <w:tcPr>
            <w:tcW w:w="9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740" w:type="dxa"/>
            <w:vAlign w:val="bottom"/>
            <w:gridSpan w:val="23"/>
            <w:shd w:val="clear" w:color="auto" w:fill="CCEEFF"/>
          </w:tcPr>
          <w:p>
            <w:pPr>
              <w:jc w:val="right"/>
              <w:ind w:right="120"/>
              <w:spacing w:after="0"/>
              <w:rPr>
                <w:sz w:val="20"/>
                <w:szCs w:val="20"/>
                <w:color w:val="auto"/>
              </w:rPr>
            </w:pPr>
            <w:r>
              <w:rPr>
                <w:rFonts w:ascii="Arial" w:cs="Arial" w:eastAsia="Arial" w:hAnsi="Arial"/>
                <w:sz w:val="18"/>
                <w:szCs w:val="18"/>
                <w:color w:val="auto"/>
                <w:w w:val="95"/>
              </w:rPr>
              <w:t>Net liability for unpaid loss and allocated loss adjustment expenses for the accident years presented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64,564</w:t>
            </w:r>
          </w:p>
        </w:tc>
        <w:tc>
          <w:tcPr>
            <w:tcW w:w="8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12"/>
          </w:tcPr>
          <w:p>
            <w:pPr>
              <w:jc w:val="right"/>
              <w:ind w:right="120"/>
              <w:spacing w:after="0"/>
              <w:rPr>
                <w:sz w:val="20"/>
                <w:szCs w:val="20"/>
                <w:color w:val="auto"/>
              </w:rPr>
            </w:pPr>
            <w:r>
              <w:rPr>
                <w:rFonts w:ascii="Arial" w:cs="Arial" w:eastAsia="Arial" w:hAnsi="Arial"/>
                <w:sz w:val="18"/>
                <w:szCs w:val="18"/>
                <w:color w:val="auto"/>
              </w:rPr>
              <w:t>All outstanding liabilities before 2011, net of reinsurance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80" w:type="dxa"/>
            <w:vAlign w:val="bottom"/>
            <w:gridSpan w:val="16"/>
          </w:tcPr>
          <w:p>
            <w:pPr>
              <w:jc w:val="right"/>
              <w:ind w:right="120"/>
              <w:spacing w:after="0"/>
              <w:rPr>
                <w:sz w:val="20"/>
                <w:szCs w:val="20"/>
                <w:color w:val="auto"/>
              </w:rPr>
            </w:pPr>
            <w:r>
              <w:rPr>
                <w:rFonts w:ascii="Arial" w:cs="Arial" w:eastAsia="Arial" w:hAnsi="Arial"/>
                <w:sz w:val="18"/>
                <w:szCs w:val="18"/>
                <w:color w:val="auto"/>
                <w:w w:val="91"/>
              </w:rPr>
              <w:t>Liabilities for loss and allocated loss adjustment expenses, net of reinsurance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64,678</w:t>
            </w:r>
          </w:p>
        </w:tc>
        <w:tc>
          <w:tcPr>
            <w:tcW w:w="80" w:type="dxa"/>
            <w:vAlign w:val="bottom"/>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ectPr>
          <w:pgSz w:w="11900" w:h="16838" w:orient="portrait"/>
          <w:cols w:equalWidth="0" w:num="1">
            <w:col w:w="11240"/>
          </w:cols>
          <w:pgMar w:left="320" w:top="125" w:right="339" w:bottom="0" w:gutter="0" w:footer="0" w:header="0"/>
        </w:sectPr>
      </w:pPr>
    </w:p>
    <w:bookmarkStart w:id="15" w:name="page16"/>
    <w:bookmarkEnd w:id="15"/>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As of</w:t>
            </w:r>
          </w:p>
        </w:tc>
      </w:tr>
      <w:tr>
        <w:trPr>
          <w:trHeight w:val="234"/>
        </w:trPr>
        <w:tc>
          <w:tcPr>
            <w:tcW w:w="8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3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March 31, 2021</w:t>
            </w: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loss and loss adjustment expenses, net of reinsurance</w:t>
            </w: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December 15, 2019, the Company entered into a quota share reinsurance treaty for its personal lines business, which primarily consists of homeowners’ policies, covering the period from December 15, 2019 through December 30, 2020 (“2019/2020 Treaty”). Effective December 31, 2020, the 2019/2020 Treaty expired on a cut off basis; this treaty was not renewed. The Company entered into new excess of loss and catastrophe reinsurance treaties effective July 1, 2020. Material terms for reinsurance treaties in effect for the treaty years shown below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Treaty Year</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December 15,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December 30,</w:t>
            </w:r>
          </w:p>
        </w:tc>
        <w:tc>
          <w:tcPr>
            <w:tcW w:w="0" w:type="dxa"/>
            <w:vAlign w:val="bottom"/>
          </w:tcPr>
          <w:p>
            <w:pPr>
              <w:spacing w:after="0"/>
              <w:rPr>
                <w:sz w:val="1"/>
                <w:szCs w:val="1"/>
                <w:color w:val="auto"/>
              </w:rPr>
            </w:pPr>
          </w:p>
        </w:tc>
      </w:tr>
      <w:tr>
        <w:trPr>
          <w:trHeight w:val="234"/>
        </w:trPr>
        <w:tc>
          <w:tcPr>
            <w:tcW w:w="62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26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8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Homeowners, dwelling fire and and canine legal liability Quota share treaty: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gridSpan w:val="3"/>
          </w:tcPr>
          <w:p>
            <w:pPr>
              <w:ind w:left="220"/>
              <w:spacing w:after="0"/>
              <w:rPr>
                <w:sz w:val="20"/>
                <w:szCs w:val="20"/>
                <w:color w:val="auto"/>
              </w:rPr>
            </w:pPr>
            <w:r>
              <w:rPr>
                <w:rFonts w:ascii="Arial" w:cs="Arial" w:eastAsia="Arial" w:hAnsi="Arial"/>
                <w:sz w:val="18"/>
                <w:szCs w:val="18"/>
                <w:color w:val="auto"/>
              </w:rPr>
              <w:t>Percent ceded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8"/>
        </w:trPr>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1"/>
              </w:rPr>
              <w:t>Treaty Year</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December 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July 1, 2020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16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2"/>
              </w:rPr>
              <w:t>to</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June 30, 2020</w:t>
            </w:r>
          </w:p>
        </w:tc>
        <w:tc>
          <w:tcPr>
            <w:tcW w:w="0" w:type="dxa"/>
            <w:vAlign w:val="bottom"/>
          </w:tcPr>
          <w:p>
            <w:pPr>
              <w:spacing w:after="0"/>
              <w:rPr>
                <w:sz w:val="1"/>
                <w:szCs w:val="1"/>
                <w:color w:val="auto"/>
              </w:rPr>
            </w:pPr>
          </w:p>
        </w:tc>
      </w:tr>
      <w:tr>
        <w:trPr>
          <w:trHeight w:val="385"/>
        </w:trPr>
        <w:tc>
          <w:tcPr>
            <w:tcW w:w="6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3"/>
          </w:tcPr>
          <w:p>
            <w:pPr>
              <w:spacing w:after="0"/>
              <w:rPr>
                <w:sz w:val="20"/>
                <w:szCs w:val="20"/>
                <w:color w:val="auto"/>
              </w:rPr>
            </w:pPr>
            <w:r>
              <w:rPr>
                <w:rFonts w:ascii="Arial" w:cs="Arial" w:eastAsia="Arial" w:hAnsi="Arial"/>
                <w:sz w:val="18"/>
                <w:szCs w:val="18"/>
                <w:color w:val="auto"/>
              </w:rPr>
              <w:t>Homeowners, dwelling fire and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3"/>
          </w:tcPr>
          <w:p>
            <w:pPr>
              <w:ind w:left="200"/>
              <w:spacing w:after="0"/>
              <w:rPr>
                <w:sz w:val="20"/>
                <w:szCs w:val="20"/>
                <w:color w:val="auto"/>
              </w:rPr>
            </w:pPr>
            <w:r>
              <w:rPr>
                <w:rFonts w:ascii="Arial" w:cs="Arial" w:eastAsia="Arial" w:hAnsi="Arial"/>
                <w:sz w:val="18"/>
                <w:szCs w:val="18"/>
                <w:color w:val="auto"/>
              </w:rPr>
              <w:t>canine legal liability Quota share treaty: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Risk retained on intial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$1,000,000 of losses (6)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2"/>
        </w:trPr>
        <w:tc>
          <w:tcPr>
            <w:tcW w:w="62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to quota share reinsurance coverage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None (6)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6"/>
              </w:rPr>
              <w:t>NA (6)</w:t>
            </w:r>
          </w:p>
        </w:tc>
        <w:tc>
          <w:tcPr>
            <w:tcW w:w="162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30, 2020</w:t>
            </w:r>
          </w:p>
        </w:tc>
        <w:tc>
          <w:tcPr>
            <w:tcW w:w="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9"/>
              </w:rPr>
              <w:t>December 30, 2020</w:t>
            </w:r>
          </w:p>
        </w:tc>
        <w:tc>
          <w:tcPr>
            <w:tcW w:w="0" w:type="dxa"/>
            <w:vAlign w:val="bottom"/>
          </w:tcPr>
          <w:p>
            <w:pPr>
              <w:spacing w:after="0"/>
              <w:rPr>
                <w:sz w:val="1"/>
                <w:szCs w:val="1"/>
                <w:color w:val="auto"/>
              </w:rPr>
            </w:pPr>
          </w:p>
        </w:tc>
      </w:tr>
      <w:tr>
        <w:trPr>
          <w:trHeight w:val="202"/>
        </w:trPr>
        <w:tc>
          <w:tcPr>
            <w:tcW w:w="62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Excess of loss coverage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facultative facility coverage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8,000,000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 excess of</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0"/>
              </w:rPr>
              <w:t>in excess of</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in excess of</w:t>
            </w:r>
          </w:p>
        </w:tc>
        <w:tc>
          <w:tcPr>
            <w:tcW w:w="0" w:type="dxa"/>
            <w:vAlign w:val="bottom"/>
          </w:tcPr>
          <w:p>
            <w:pPr>
              <w:spacing w:after="0"/>
              <w:rPr>
                <w:sz w:val="1"/>
                <w:szCs w:val="1"/>
                <w:color w:val="auto"/>
              </w:rPr>
            </w:pPr>
          </w:p>
        </w:tc>
      </w:tr>
      <w:tr>
        <w:trPr>
          <w:trHeight w:val="230"/>
        </w:trPr>
        <w:tc>
          <w:tcPr>
            <w:tcW w:w="6260" w:type="dxa"/>
            <w:vAlign w:val="bottom"/>
            <w:gridSpan w:val="3"/>
            <w:vMerge w:val="restart"/>
          </w:tcPr>
          <w:p>
            <w:pPr>
              <w:ind w:left="200"/>
              <w:spacing w:after="0"/>
              <w:rPr>
                <w:sz w:val="20"/>
                <w:szCs w:val="20"/>
                <w:color w:val="auto"/>
              </w:rPr>
            </w:pPr>
            <w:r>
              <w:rPr>
                <w:rFonts w:ascii="Arial" w:cs="Arial" w:eastAsia="Arial" w:hAnsi="Arial"/>
                <w:sz w:val="18"/>
                <w:szCs w:val="18"/>
                <w:color w:val="auto"/>
              </w:rPr>
              <w:t>Total reinsurance coverage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187"/>
        </w:trPr>
        <w:tc>
          <w:tcPr>
            <w:tcW w:w="62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per occurrence (6)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8,250,000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9,250,000</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Losses per occurrence subject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 reinsurance coverage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Expiration date (6)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June 30, 2021</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June 30, 2021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June 30, 2020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Catastrophe Reinsurance:</w:t>
            </w:r>
          </w:p>
        </w:tc>
        <w:tc>
          <w:tcPr>
            <w:tcW w:w="4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Initial loss subject to personal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lines quota share treaty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None (6)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Risk retained per catastrophe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occurrence (2) (6)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8,125,000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5,625,000</w:t>
            </w:r>
          </w:p>
        </w:tc>
        <w:tc>
          <w:tcPr>
            <w:tcW w:w="0" w:type="dxa"/>
            <w:vAlign w:val="bottom"/>
          </w:tcPr>
          <w:p>
            <w:pPr>
              <w:spacing w:after="0"/>
              <w:rPr>
                <w:sz w:val="1"/>
                <w:szCs w:val="1"/>
                <w:color w:val="auto"/>
              </w:rPr>
            </w:pPr>
          </w:p>
        </w:tc>
      </w:tr>
      <w:tr>
        <w:trPr>
          <w:trHeight w:val="202"/>
        </w:trPr>
        <w:tc>
          <w:tcPr>
            <w:tcW w:w="62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Catastrophe loss coverage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quota share coverage (3) (6)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475,000,000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475,000,000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602,500,000</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Reinstatement premium</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protection (4) (5)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3"/>
              </w:rPr>
              <w:t>Yes</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3"/>
              </w:rPr>
              <w:t>Yes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losses in excess of catastrophe coverage. For the period July 1, 2020 through December 30, 2020, there was no reinsurance coverage for the $2,500,000 gap between quota share limit of $7,500,000 and first $10,000,000 layer of catastrophe coverage (see note (6) below).</w:t>
      </w: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period July 1, 2019 through June 30, 2020, reinstatement premium protection for $292,500,000 of catastrophe coverage in excess of $7,500,000.</w:t>
      </w:r>
    </w:p>
    <w:p>
      <w:pPr>
        <w:ind w:left="460" w:right="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w:t>
      </w:r>
    </w:p>
    <w:p>
      <w:pPr>
        <w:ind w:left="460" w:hanging="452"/>
        <w:spacing w:after="0" w:line="26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June 30, 2021 is only for excess of loss and catastrophe reinsurance.</w:t>
      </w:r>
    </w:p>
    <w:p>
      <w:pPr>
        <w:sectPr>
          <w:pgSz w:w="11900" w:h="16838" w:orient="portrait"/>
          <w:cols w:equalWidth="0" w:num="1">
            <w:col w:w="11240"/>
          </w:cols>
          <w:pgMar w:left="320" w:top="121" w:right="339" w:bottom="12" w:gutter="0" w:footer="0" w:header="0"/>
        </w:sectPr>
      </w:pPr>
    </w:p>
    <w:bookmarkStart w:id="16" w:name="page17"/>
    <w:bookmarkEnd w:id="16"/>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gridSpan w:val="5"/>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2"/>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Treaty Year</w:t>
            </w: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2020</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July 1, 2019</w:t>
            </w:r>
          </w:p>
        </w:tc>
        <w:tc>
          <w:tcPr>
            <w:tcW w:w="160" w:type="dxa"/>
            <w:vAlign w:val="bottom"/>
          </w:tcPr>
          <w:p>
            <w:pPr>
              <w:spacing w:after="0"/>
              <w:rPr>
                <w:sz w:val="16"/>
                <w:szCs w:val="16"/>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w:t>
            </w:r>
          </w:p>
        </w:tc>
      </w:tr>
      <w:tr>
        <w:trPr>
          <w:trHeight w:val="234"/>
        </w:trPr>
        <w:tc>
          <w:tcPr>
            <w:tcW w:w="8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2021</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2020</w:t>
            </w:r>
          </w:p>
        </w:tc>
        <w:tc>
          <w:tcPr>
            <w:tcW w:w="160" w:type="dxa"/>
            <w:vAlign w:val="bottom"/>
          </w:tcPr>
          <w:p>
            <w:pPr>
              <w:spacing w:after="0"/>
              <w:rPr>
                <w:sz w:val="20"/>
                <w:szCs w:val="20"/>
                <w:color w:val="auto"/>
              </w:rPr>
            </w:pPr>
          </w:p>
        </w:tc>
      </w:tr>
      <w:tr>
        <w:trPr>
          <w:trHeight w:val="385"/>
        </w:trPr>
        <w:tc>
          <w:tcPr>
            <w:tcW w:w="8600" w:type="dxa"/>
            <w:vAlign w:val="bottom"/>
            <w:gridSpan w:val="5"/>
          </w:tcPr>
          <w:p>
            <w:pPr>
              <w:spacing w:after="0"/>
              <w:rPr>
                <w:sz w:val="20"/>
                <w:szCs w:val="20"/>
                <w:color w:val="auto"/>
              </w:rPr>
            </w:pPr>
            <w:r>
              <w:rPr>
                <w:rFonts w:ascii="Arial" w:cs="Arial" w:eastAsia="Arial" w:hAnsi="Arial"/>
                <w:sz w:val="18"/>
                <w:szCs w:val="18"/>
                <w:color w:val="auto"/>
              </w:rPr>
              <w:t>Personal Lines: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8"/>
        </w:trPr>
        <w:tc>
          <w:tcPr>
            <w:tcW w:w="8600" w:type="dxa"/>
            <w:vAlign w:val="bottom"/>
            <w:gridSpan w:val="5"/>
          </w:tcPr>
          <w:p>
            <w:pPr>
              <w:spacing w:after="0"/>
              <w:rPr>
                <w:sz w:val="20"/>
                <w:szCs w:val="20"/>
                <w:color w:val="auto"/>
              </w:rPr>
            </w:pPr>
            <w:r>
              <w:rPr>
                <w:rFonts w:ascii="Arial" w:cs="Arial" w:eastAsia="Arial" w:hAnsi="Arial"/>
                <w:sz w:val="18"/>
                <w:szCs w:val="18"/>
                <w:color w:val="auto"/>
              </w:rPr>
              <w:t>Personal Umbrella</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8600" w:type="dxa"/>
            <w:vAlign w:val="bottom"/>
            <w:gridSpan w:val="5"/>
          </w:tcPr>
          <w:p>
            <w:pPr>
              <w:ind w:left="220"/>
              <w:spacing w:after="0"/>
              <w:rPr>
                <w:sz w:val="20"/>
                <w:szCs w:val="20"/>
                <w:color w:val="auto"/>
              </w:rPr>
            </w:pPr>
            <w:r>
              <w:rPr>
                <w:rFonts w:ascii="Arial" w:cs="Arial" w:eastAsia="Arial" w:hAnsi="Arial"/>
                <w:sz w:val="18"/>
                <w:szCs w:val="18"/>
                <w:color w:val="auto"/>
              </w:rPr>
              <w:t>Quota share treaty:</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Percent ceded - first $1,000,000 of coverage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8600" w:type="dxa"/>
            <w:vAlign w:val="bottom"/>
            <w:gridSpan w:val="5"/>
          </w:tcPr>
          <w:p>
            <w:pPr>
              <w:ind w:left="420"/>
              <w:spacing w:after="0"/>
              <w:rPr>
                <w:sz w:val="20"/>
                <w:szCs w:val="20"/>
                <w:color w:val="auto"/>
              </w:rPr>
            </w:pPr>
            <w:r>
              <w:rPr>
                <w:rFonts w:ascii="Arial" w:cs="Arial" w:eastAsia="Arial" w:hAnsi="Arial"/>
                <w:sz w:val="18"/>
                <w:szCs w:val="18"/>
                <w:color w:val="auto"/>
              </w:rPr>
              <w:t>Percent ceded - excess of $1,000,000 of coverage</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86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Risk retained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r>
      <w:tr>
        <w:trPr>
          <w:trHeight w:val="216"/>
        </w:trPr>
        <w:tc>
          <w:tcPr>
            <w:tcW w:w="8600" w:type="dxa"/>
            <w:vAlign w:val="bottom"/>
            <w:gridSpan w:val="5"/>
          </w:tcPr>
          <w:p>
            <w:pPr>
              <w:ind w:left="420"/>
              <w:spacing w:after="0"/>
              <w:rPr>
                <w:sz w:val="20"/>
                <w:szCs w:val="20"/>
                <w:color w:val="auto"/>
              </w:rPr>
            </w:pPr>
            <w:r>
              <w:rPr>
                <w:rFonts w:ascii="Arial" w:cs="Arial" w:eastAsia="Arial" w:hAnsi="Arial"/>
                <w:sz w:val="18"/>
                <w:szCs w:val="18"/>
                <w:color w:val="auto"/>
              </w:rPr>
              <w:t>Total reinsurance coverage per occurrence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4,900,000</w:t>
            </w:r>
          </w:p>
        </w:tc>
      </w:tr>
      <w:tr>
        <w:trPr>
          <w:trHeight w:val="216"/>
        </w:trPr>
        <w:tc>
          <w:tcPr>
            <w:tcW w:w="86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8600" w:type="dxa"/>
            <w:vAlign w:val="bottom"/>
            <w:gridSpan w:val="5"/>
          </w:tcPr>
          <w:p>
            <w:pPr>
              <w:spacing w:after="0"/>
              <w:rPr>
                <w:sz w:val="20"/>
                <w:szCs w:val="20"/>
                <w:color w:val="auto"/>
              </w:rPr>
            </w:pPr>
            <w:r>
              <w:rPr>
                <w:rFonts w:ascii="Arial" w:cs="Arial" w:eastAsia="Arial" w:hAnsi="Arial"/>
                <w:sz w:val="18"/>
                <w:szCs w:val="18"/>
                <w:color w:val="auto"/>
              </w:rPr>
              <w:t>Expiration date</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2021</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30, 2020</w:t>
            </w: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8600" w:type="dxa"/>
            <w:vAlign w:val="bottom"/>
            <w:gridSpan w:val="5"/>
          </w:tcPr>
          <w:p>
            <w:pPr>
              <w:spacing w:after="0" w:line="176" w:lineRule="exact"/>
              <w:rPr>
                <w:sz w:val="20"/>
                <w:szCs w:val="20"/>
                <w:color w:val="auto"/>
              </w:rPr>
            </w:pPr>
            <w:r>
              <w:rPr>
                <w:rFonts w:ascii="Arial" w:cs="Arial" w:eastAsia="Arial" w:hAnsi="Arial"/>
                <w:sz w:val="18"/>
                <w:szCs w:val="18"/>
                <w:color w:val="auto"/>
              </w:rPr>
              <w:t>Commercial Lines:</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0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8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General liability commercial policies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5"/>
          </w:tcPr>
          <w:p>
            <w:pPr>
              <w:ind w:left="220"/>
              <w:spacing w:after="0"/>
              <w:rPr>
                <w:sz w:val="20"/>
                <w:szCs w:val="20"/>
                <w:color w:val="auto"/>
              </w:rPr>
            </w:pPr>
            <w:r>
              <w:rPr>
                <w:rFonts w:ascii="Arial" w:cs="Arial" w:eastAsia="Arial" w:hAnsi="Arial"/>
                <w:sz w:val="18"/>
                <w:szCs w:val="18"/>
                <w:color w:val="auto"/>
              </w:rPr>
              <w:t>Quota share treaty</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216"/>
        </w:trPr>
        <w:tc>
          <w:tcPr>
            <w:tcW w:w="86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Risk retained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8600" w:type="dxa"/>
            <w:vAlign w:val="bottom"/>
            <w:gridSpan w:val="5"/>
          </w:tcPr>
          <w:p>
            <w:pPr>
              <w:ind w:left="220"/>
              <w:spacing w:after="0"/>
              <w:rPr>
                <w:sz w:val="20"/>
                <w:szCs w:val="20"/>
                <w:color w:val="auto"/>
              </w:rPr>
            </w:pPr>
            <w:r>
              <w:rPr>
                <w:rFonts w:ascii="Arial" w:cs="Arial" w:eastAsia="Arial" w:hAnsi="Arial"/>
                <w:sz w:val="18"/>
                <w:szCs w:val="18"/>
                <w:color w:val="auto"/>
              </w:rPr>
              <w:t>Excess of loss coverage above risk retained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in excess of</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86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Total reinsurance coverage per occurrence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8600" w:type="dxa"/>
            <w:vAlign w:val="bottom"/>
            <w:gridSpan w:val="5"/>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4,500,000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5"/>
          </w:tcPr>
          <w:p>
            <w:pPr>
              <w:spacing w:after="0"/>
              <w:rPr>
                <w:sz w:val="20"/>
                <w:szCs w:val="20"/>
                <w:color w:val="auto"/>
              </w:rPr>
            </w:pPr>
            <w:r>
              <w:rPr>
                <w:rFonts w:ascii="Arial" w:cs="Arial" w:eastAsia="Arial" w:hAnsi="Arial"/>
                <w:sz w:val="18"/>
                <w:szCs w:val="18"/>
                <w:color w:val="auto"/>
              </w:rPr>
              <w:t>Commercial Umbrella</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Quota share treaty:</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estimated ultimate treaty year loss ratios (the “Loss Ratio(s)”) for treaties in effect during the three months ended March 31, 2020 are attributable to contracts under the 2019/2020 Treaty. There was no treaty in effect during the three months ended March 31, 2021. In addition to the treaty that was in effect during the three months ended March 31, 2020, the Loss Ratios from prior years’ treaties are subject to change as incurred losses from those periods increase or decrease, resulting in an increase or decrease in the commission rate and contingent ceding commissions earned.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Ceding commission revenue consists of the following:</w:t>
      </w:r>
    </w:p>
    <w:p>
      <w:pPr>
        <w:spacing w:after="0" w:line="221"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5715</wp:posOffset>
            </wp:positionV>
            <wp:extent cx="1320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ind w:left="8520"/>
        <w:spacing w:after="0"/>
        <w:tabs>
          <w:tab w:leader="none" w:pos="96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14605</wp:posOffset>
            </wp:positionV>
            <wp:extent cx="13201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3,720,360</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(46,564)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110,739</w:t>
            </w:r>
          </w:p>
        </w:tc>
        <w:tc>
          <w:tcPr>
            <w:tcW w:w="10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3,831,099</w:t>
            </w:r>
          </w:p>
        </w:tc>
        <w:tc>
          <w:tcPr>
            <w:tcW w:w="100" w:type="dxa"/>
            <w:vAlign w:val="bottom"/>
            <w:shd w:val="clear" w:color="auto" w:fill="CCEEFF"/>
          </w:tcPr>
          <w:p>
            <w:pPr>
              <w:spacing w:after="0"/>
              <w:rPr>
                <w:sz w:val="19"/>
                <w:szCs w:val="19"/>
                <w:color w:val="auto"/>
              </w:rPr>
            </w:pP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March 31, 2021 and December 31, 2020, net contingent ceding commissions payable to reinsurers under all treaties was approximately $2,336,000 and $2,886,000, respectively, which is recorded in reinsurance balances payable on the accompanying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ectPr>
          <w:pgSz w:w="11900" w:h="16841" w:orient="portrait"/>
          <w:cols w:equalWidth="0" w:num="1">
            <w:col w:w="11240"/>
          </w:cols>
          <w:pgMar w:left="320" w:top="125" w:right="339" w:bottom="0" w:gutter="0" w:footer="0" w:header="0"/>
        </w:sectPr>
      </w:pPr>
    </w:p>
    <w:bookmarkStart w:id="17" w:name="page18"/>
    <w:bookmarkEnd w:id="17"/>
    <w:p>
      <w:pPr>
        <w:jc w:val="both"/>
        <w:spacing w:after="0" w:line="269" w:lineRule="auto"/>
        <w:rPr>
          <w:sz w:val="20"/>
          <w:szCs w:val="20"/>
          <w:color w:val="auto"/>
        </w:rPr>
      </w:pPr>
      <w:r>
        <w:rPr>
          <w:rFonts w:ascii="Arial" w:cs="Arial" w:eastAsia="Arial" w:hAnsi="Arial"/>
          <w:sz w:val="17"/>
          <w:szCs w:val="17"/>
          <w:color w:val="auto"/>
        </w:rPr>
        <w:t>In July 2017, KICO became a member of, and invested in, the Federal Home Loan Bank of New York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March 31, 2021 and December 31, 2020,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ninety days of borrowing. The maximum allowable advance as of March 31, 2021 was approximately $12,751,000. Advances are limited to 85% of the amount of available collateral, which was approximately $9,318,000 as of March 31, 2021. There were no borrowings under this facility during the three months ended March 31,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per annum. The net proceeds of the issuance were $29,121,630, net of discount of $163,200 and transaction costs of $715,170, for an effective yield of 5.67% per annum. The balance of long-term debt as of March 31, 2021 and December 31, 2020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December</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March 31,</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860" w:type="dxa"/>
            <w:vAlign w:val="bottom"/>
            <w:gridSpan w:val="2"/>
          </w:tcPr>
          <w:p>
            <w:pPr>
              <w:jc w:val="right"/>
              <w:ind w:right="21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5.50% Senior Unsecured Notes</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$ 30,000,000</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$ 30,000,000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Discount</w:t>
            </w:r>
          </w:p>
        </w:tc>
        <w:tc>
          <w:tcPr>
            <w:tcW w:w="5040" w:type="dxa"/>
            <w:vAlign w:val="bottom"/>
            <w:gridSpan w:val="3"/>
          </w:tcPr>
          <w:p>
            <w:pPr>
              <w:jc w:val="right"/>
              <w:ind w:right="140"/>
              <w:spacing w:after="0"/>
              <w:rPr>
                <w:sz w:val="20"/>
                <w:szCs w:val="20"/>
                <w:color w:val="auto"/>
              </w:rPr>
            </w:pPr>
            <w:r>
              <w:rPr>
                <w:rFonts w:ascii="Arial" w:cs="Arial" w:eastAsia="Arial" w:hAnsi="Arial"/>
                <w:sz w:val="18"/>
                <w:szCs w:val="18"/>
                <w:color w:val="auto"/>
              </w:rPr>
              <w:t>(56,773)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(64,883)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39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(251,571)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(287,506)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Long-term debt, net</w:t>
            </w:r>
          </w:p>
        </w:tc>
        <w:tc>
          <w:tcPr>
            <w:tcW w:w="39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$ 29,691,656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$ 29,647,611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900" w:type="dxa"/>
            <w:vAlign w:val="bottom"/>
            <w:vMerge w:val="restart"/>
          </w:tcPr>
          <w:p>
            <w:pPr>
              <w:jc w:val="right"/>
              <w:ind w:right="2410"/>
              <w:spacing w:after="0"/>
              <w:rPr>
                <w:sz w:val="20"/>
                <w:szCs w:val="20"/>
                <w:color w:val="auto"/>
              </w:rPr>
            </w:pPr>
            <w:r>
              <w:rPr>
                <w:rFonts w:ascii="Arial" w:cs="Arial" w:eastAsia="Arial" w:hAnsi="Arial"/>
                <w:sz w:val="18"/>
                <w:szCs w:val="18"/>
                <w:color w:val="auto"/>
              </w:rPr>
              <w:t>25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used an aggregate $28,256,335 of the net proceeds from the offering to contribute capital to KICO in order to support additional growth. The remainder of the net proceeds is being used for general corporate purposes. A registration statement relating to the debt issued in the offering was filed with the SEC, which became effective on November 28,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declared and paid on Common Stock were $427,217 and $675,960 for the three months ended March 31, 2021 and 2020, respectively. The Company’s Board of Directors approved a quarterly dividend on May 3, 2021 of $.04 per share payable in cash on June 15, 2021 to stockholders of record as of May 28, 2021 (see Note 13 -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shares of Common Stock of the Company that are authorized to be issued pursuant to the 2014 Plan to 1,400,000.</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for the three months ended March 31, 2021 and 2020 include stock-based compensation expense for stock options totaling approximately $14,000 and $17,000, respectively. Stock-based compensation expense related to stock options is net of estimated forfeitures of approximately 16% for the three months ended March 31, 2021 and 2020. Such amounts have been included in the condensed consolidated statements of operations and comprehensive loss within other operating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341" w:right="339" w:bottom="106"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No options were granted during the three months ended March 31, 2021. The weighted average estimated fair value of stock options granted during the three months ended March 31, 2020 was $1.66 per share, respectively. The fair value of stock options at the grant date was estimated using the Black-Scholes option-pricing model.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grants during the following periods:</w:t>
      </w:r>
    </w:p>
    <w:p>
      <w:pPr>
        <w:spacing w:after="0" w:line="221"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860" w:type="dxa"/>
        <w:tblCellMar>
          <w:top w:w="0" w:type="dxa"/>
          <w:left w:w="0" w:type="dxa"/>
          <w:bottom w:w="0" w:type="dxa"/>
          <w:right w:w="0" w:type="dxa"/>
        </w:tblCellMar>
      </w:tblPr>
      <w:tr>
        <w:trPr>
          <w:trHeight w:val="209"/>
        </w:trPr>
        <w:tc>
          <w:tcPr>
            <w:tcW w:w="7300" w:type="dxa"/>
            <w:vAlign w:val="bottom"/>
            <w:gridSpan w:val="2"/>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n/a</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240" w:type="dxa"/>
            <w:vAlign w:val="bottom"/>
          </w:tcPr>
          <w:p>
            <w:pPr>
              <w:ind w:left="20"/>
              <w:spacing w:after="0"/>
              <w:rPr>
                <w:sz w:val="20"/>
                <w:szCs w:val="20"/>
                <w:color w:val="auto"/>
              </w:rPr>
            </w:pPr>
            <w:r>
              <w:rPr>
                <w:rFonts w:ascii="Arial" w:cs="Arial" w:eastAsia="Arial" w:hAnsi="Arial"/>
                <w:sz w:val="18"/>
                <w:szCs w:val="18"/>
                <w:color w:val="auto"/>
                <w:w w:val="79"/>
              </w:rPr>
              <w:t>n/a</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n/a</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240" w:type="dxa"/>
            <w:vAlign w:val="bottom"/>
          </w:tcPr>
          <w:p>
            <w:pPr>
              <w:ind w:left="20"/>
              <w:spacing w:after="0"/>
              <w:rPr>
                <w:sz w:val="20"/>
                <w:szCs w:val="20"/>
                <w:color w:val="auto"/>
              </w:rPr>
            </w:pPr>
            <w:r>
              <w:rPr>
                <w:rFonts w:ascii="Arial" w:cs="Arial" w:eastAsia="Arial" w:hAnsi="Arial"/>
                <w:sz w:val="18"/>
                <w:szCs w:val="18"/>
                <w:color w:val="auto"/>
                <w:w w:val="79"/>
              </w:rPr>
              <w:t>n/a</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for the three months ended March 31, 2021 is as follows: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Number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ind w:left="1940"/>
              <w:spacing w:after="0"/>
              <w:rPr>
                <w:sz w:val="20"/>
                <w:szCs w:val="20"/>
                <w:color w:val="auto"/>
              </w:rPr>
            </w:pPr>
            <w:r>
              <w:rPr>
                <w:rFonts w:ascii="Arial" w:cs="Arial" w:eastAsia="Arial" w:hAnsi="Arial"/>
                <w:sz w:val="18"/>
                <w:szCs w:val="18"/>
                <w:b w:val="1"/>
                <w:bCs w:val="1"/>
                <w:color w:val="auto"/>
              </w:rPr>
              <w:t>Stock Options</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per Share</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119,966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107,966</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March 31, 2021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intrinsic value of options outstanding and options exercisable at March 31, 2021 is calculated as the difference between the exercise price of the underlying options and the market price of the Company’s Common Stock for the options that had exercise prices that were lower than the $8.54 closing price of the Company’s Common Stock on March 31, 2021. No options were exercised during the three months ended March 31, 2021. The total intrinsic value of options expired during the three months ended March 31, 2021 was $-0-, determined as of the date of expiration.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the estimated fair value of unamortized compensation cost related to unvested stock option awards was approximately $50,000.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Unamortized compensation cost as of March 31, 2021 is expected to be recognized over a remaining weighted-average vesting period of 1.04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there were 556,357 shares reserved for grants under the 2014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restricted Common Stock activity under the Company’s 2014 Plan for the three months ended March 31, 2021 is as follows:</w:t>
      </w:r>
    </w:p>
    <w:p>
      <w:pPr>
        <w:spacing w:after="0" w:line="23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Grant Date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2160"/>
              <w:spacing w:after="0"/>
              <w:rPr>
                <w:sz w:val="20"/>
                <w:szCs w:val="20"/>
                <w:color w:val="auto"/>
              </w:rPr>
            </w:pPr>
            <w:r>
              <w:rPr>
                <w:rFonts w:ascii="Arial" w:cs="Arial" w:eastAsia="Arial" w:hAnsi="Arial"/>
                <w:sz w:val="18"/>
                <w:szCs w:val="18"/>
                <w:color w:val="auto"/>
              </w:rPr>
              <w:t>Restricted Stock Awards</w:t>
            </w:r>
          </w:p>
        </w:tc>
        <w:tc>
          <w:tcPr>
            <w:tcW w:w="10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5"/>
              </w:rPr>
              <w:t>per Share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370,964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321,335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(124,187)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(1,180,239)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568,112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5,044,126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Fair value was calculated using the closing price of the Company’s Common Stock on the grant date. For the three months ended March 31, 2021 and 2020, stock-based compensation for these grants was approximately $481,000 and $472,000, respectively, which is included in other operating expenses on</w:t>
      </w:r>
    </w:p>
    <w:p>
      <w:pPr>
        <w:sectPr>
          <w:pgSz w:w="11900" w:h="16838" w:orient="portrait"/>
          <w:cols w:equalWidth="0" w:num="1">
            <w:col w:w="11240"/>
          </w:cols>
          <w:pgMar w:left="320" w:top="125" w:right="339" w:bottom="0" w:gutter="0" w:footer="0" w:header="0"/>
          <w:type w:val="continuous"/>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the accompanying condensed consolidated statements of operations and comprehensive loss. These amounts reflect the Company’s accounting expense and do not correspond to the actual value that will be recognized by the directors, executives and employees.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8"/>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March 31,</w:t>
            </w:r>
          </w:p>
        </w:tc>
        <w:tc>
          <w:tcPr>
            <w:tcW w:w="120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December 31,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280" w:type="dxa"/>
            <w:vAlign w:val="bottom"/>
            <w:gridSpan w:val="3"/>
          </w:tcPr>
          <w:p>
            <w:pPr>
              <w:ind w:left="860"/>
              <w:spacing w:after="0"/>
              <w:rPr>
                <w:sz w:val="20"/>
                <w:szCs w:val="20"/>
                <w:color w:val="auto"/>
              </w:rPr>
            </w:pPr>
            <w:r>
              <w:rPr>
                <w:rFonts w:ascii="Arial" w:cs="Arial" w:eastAsia="Arial" w:hAnsi="Arial"/>
                <w:sz w:val="18"/>
                <w:szCs w:val="18"/>
                <w:color w:val="auto"/>
              </w:rPr>
              <w:t>Deferred tax asset:</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operating loss carryovers (1)</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559,181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Claims reserve discount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901,585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838,030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Unearned premium</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3,783,502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3,880,275</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Deferred ceding commission revenue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19,597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19,639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608,485</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648,691</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5,872,350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5,386,635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in KICO (2)</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759,543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759,543</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Deferred acquisition costs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9"/>
              </w:rPr>
              <w:t>4,063,918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4,229,928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105,000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908,157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954,446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unrealized gains of securities - available-for-sale</w:t>
            </w: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3,173,963</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3,494,631</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Total deferred tax liabilities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9,010,581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9,543,548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Net deferred income tax liability</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w w:val="93"/>
              </w:rPr>
              <w:t>(3,138,231)</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(4,156,913)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6"/>
            <w:vMerge w:val="restart"/>
          </w:tcPr>
          <w:p>
            <w:pPr>
              <w:jc w:val="right"/>
              <w:spacing w:after="0"/>
              <w:rPr>
                <w:sz w:val="20"/>
                <w:szCs w:val="20"/>
                <w:color w:val="auto"/>
              </w:rPr>
            </w:pPr>
            <w:r>
              <w:rPr>
                <w:rFonts w:ascii="Arial" w:cs="Arial" w:eastAsia="Arial" w:hAnsi="Arial"/>
                <w:sz w:val="18"/>
                <w:szCs w:val="18"/>
                <w:color w:val="auto"/>
                <w:w w:val="92"/>
              </w:rPr>
              <w:t>(1)   The deferred tax assets from net operating loss carryovers (“NOL”) are as follows:</w:t>
            </w: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gridSpan w:val="6"/>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28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8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6"/>
              </w:rPr>
              <w:t>December</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0" w:type="dxa"/>
            <w:vAlign w:val="bottom"/>
          </w:tcPr>
          <w:p>
            <w:pPr>
              <w:ind w:left="1760"/>
              <w:spacing w:after="0"/>
              <w:rPr>
                <w:sz w:val="20"/>
                <w:szCs w:val="20"/>
                <w:color w:val="auto"/>
              </w:rPr>
            </w:pPr>
            <w:r>
              <w:rPr>
                <w:rFonts w:ascii="Arial" w:cs="Arial" w:eastAsia="Arial" w:hAnsi="Arial"/>
                <w:sz w:val="18"/>
                <w:szCs w:val="18"/>
                <w:b w:val="1"/>
                <w:bCs w:val="1"/>
                <w:color w:val="auto"/>
              </w:rPr>
              <w:t>Type of NOL</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Expiration</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only, current year (A)</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559,181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1,200,056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NOL carried back</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(1,200,056)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only, current year</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559,181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None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gridSpan w:val="6"/>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only (B)</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1,931,884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1,815,546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w w:val="97"/>
              </w:rPr>
              <w:t>December 31, 2040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(1,931,884)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(1,815,546)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 w:type="dxa"/>
            <w:vAlign w:val="bottom"/>
            <w:vMerge w:val="continue"/>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Total deferred tax asset from net operating loss carryovers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559,181</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20" w:hanging="5"/>
        <w:spacing w:after="0" w:line="259" w:lineRule="auto"/>
        <w:tabs>
          <w:tab w:leader="none" w:pos="915"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27, 2020, the Coronavirus Aid, Relief, and Economic Security (CARES) Act was signed into law, allowing for a five year carryback of 2020 and 2019 NOLs. The Company elected on its 2019 federal income tax return to carry back the 2019 NOL to tax years 2014 and 2015. The Company will elect on its 2020 federal income tax return to carry back the 2020 NOL to tax year 2015. The corporate tax rate in 2014 and 2015 was 34%, compared to the corporate tax rate of 21% in 2020 and 2019.</w:t>
      </w:r>
    </w:p>
    <w:p>
      <w:pPr>
        <w:spacing w:after="0" w:line="186" w:lineRule="exact"/>
        <w:rPr>
          <w:rFonts w:ascii="Arial" w:cs="Arial" w:eastAsia="Arial" w:hAnsi="Arial"/>
          <w:sz w:val="18"/>
          <w:szCs w:val="18"/>
          <w:color w:val="auto"/>
        </w:rPr>
      </w:pPr>
    </w:p>
    <w:p>
      <w:pPr>
        <w:jc w:val="both"/>
        <w:ind w:left="620" w:hanging="5"/>
        <w:spacing w:after="0" w:line="301" w:lineRule="auto"/>
        <w:tabs>
          <w:tab w:leader="none" w:pos="906" w:val="left"/>
        </w:tabs>
        <w:numPr>
          <w:ilvl w:val="0"/>
          <w:numId w:val="7"/>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March 31, 2021 and December 31, 2020 was approximately $29,721,000 and $27,931,000, respectively. KICO, the Company’s insurance underwriting subsidiary, is not subject to state income taxes. KICO’s state tax obligations are paid through a gross premiums tax, which is included in the consolidated statements of operations and comprehensive loss within other underwriting expenses. Kingstone has recorded a valuation allowance due to the uncertainty of</w:t>
      </w:r>
    </w:p>
    <w:p>
      <w:pPr>
        <w:sectPr>
          <w:pgSz w:w="11900" w:h="16838" w:orient="portrait"/>
          <w:cols w:equalWidth="0" w:num="1">
            <w:col w:w="11240"/>
          </w:cols>
          <w:pgMar w:left="320" w:top="125" w:right="339" w:bottom="0" w:gutter="0" w:footer="0" w:header="0"/>
        </w:sectPr>
      </w:pPr>
    </w:p>
    <w:bookmarkStart w:id="20" w:name="page21"/>
    <w:bookmarkEnd w:id="20"/>
    <w:p>
      <w:pPr>
        <w:jc w:val="both"/>
        <w:ind w:left="620"/>
        <w:spacing w:after="0" w:line="277" w:lineRule="auto"/>
        <w:rPr>
          <w:sz w:val="20"/>
          <w:szCs w:val="20"/>
          <w:color w:val="auto"/>
        </w:rPr>
      </w:pPr>
      <w:r>
        <w:rPr>
          <w:rFonts w:ascii="Arial" w:cs="Arial" w:eastAsia="Arial" w:hAnsi="Arial"/>
          <w:sz w:val="18"/>
          <w:szCs w:val="18"/>
          <w:color w:val="auto"/>
        </w:rPr>
        <w:t>generating enough state taxable income to utilize 100% of the available state NOLs over their remaining lives, which expire between 2027 and 2041.</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 Deferred tax liability – Investment in KICO</w:t>
      </w:r>
    </w:p>
    <w:p>
      <w:pPr>
        <w:spacing w:after="0" w:line="225"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2021 and 2020. If any had been recognized these would have been reported in income tax expense.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2017 through December 31, 2019 remain subject to 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earnings/(loss) per common share is computed by dividing income/(loss) available to common shareholders by the weighted-average number of shares of Common Stock outstanding. Diluted earnings/(loss) per common share reflect, in periods in which they have a dilutive effect, the impact of common shares issuable upon exercise of stock options as well as non-vested restricted stock awards. The computation of diluted earnings/(loss) per common share excludes those options with an exercise price in excess of the average market price of the Company’s Common Stock during the periods presented.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computation of diluted earnings/(loss) per common share excludes outstanding options in periods where the exercise of such options would be anti-dilutive. For the three months ended March 31, 2021, no options were included in the computation of diluted earnings (loss) per common share as they would have been anti-dilutive for the relevant periods and, as a result, the weighted average number of shares of Common Stock used in the calculation of diluted earnings per common share has not been adjusted for the effect of such options.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reconciliation of the weighted average number of shares of Common Stock used in the calculation of basic and diluted earnings (loss) per common share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10,676,298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10,807,841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for computing diluted earnings per share</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10,676,298</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10,807,841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1">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has a term of seven years and two months expiring December 31,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Three months</w:t>
            </w:r>
          </w:p>
        </w:tc>
        <w:tc>
          <w:tcPr>
            <w:tcW w:w="6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7440" w:type="dxa"/>
            <w:vAlign w:val="bottom"/>
            <w:gridSpan w:val="2"/>
          </w:tcPr>
          <w:p>
            <w:pPr>
              <w:ind w:left="860"/>
              <w:spacing w:after="0"/>
              <w:rPr>
                <w:sz w:val="20"/>
                <w:szCs w:val="20"/>
                <w:color w:val="auto"/>
              </w:rPr>
            </w:pPr>
            <w:r>
              <w:rPr>
                <w:rFonts w:ascii="Arial" w:cs="Arial" w:eastAsia="Arial" w:hAnsi="Arial"/>
                <w:sz w:val="18"/>
                <w:szCs w:val="18"/>
                <w:b w:val="1"/>
                <w:bCs w:val="1"/>
                <w:color w:val="auto"/>
              </w:rPr>
              <w:t>Lease cost</w:t>
            </w:r>
          </w:p>
        </w:tc>
        <w:tc>
          <w:tcPr>
            <w:tcW w:w="8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2021</w:t>
            </w:r>
          </w:p>
        </w:tc>
        <w:tc>
          <w:tcPr>
            <w:tcW w:w="6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March 31, 2020</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6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Short-term leases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cost (1)</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60" w:type="dxa"/>
            <w:vAlign w:val="bottom"/>
            <w:vMerge w:val="restart"/>
          </w:tcPr>
          <w:p>
            <w:pPr>
              <w:spacing w:after="0"/>
              <w:rPr>
                <w:sz w:val="17"/>
                <w:szCs w:val="17"/>
                <w:color w:val="auto"/>
              </w:rPr>
            </w:pPr>
          </w:p>
        </w:tc>
        <w:tc>
          <w:tcPr>
            <w:tcW w:w="6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6580" w:type="dxa"/>
            <w:vAlign w:val="bottom"/>
          </w:tcPr>
          <w:p>
            <w:pPr>
              <w:spacing w:after="0" w:line="201" w:lineRule="exact"/>
              <w:rPr>
                <w:sz w:val="20"/>
                <w:szCs w:val="20"/>
                <w:color w:val="auto"/>
              </w:rPr>
            </w:pPr>
            <w:r>
              <w:rPr>
                <w:rFonts w:ascii="Arial" w:cs="Arial" w:eastAsia="Arial" w:hAnsi="Arial"/>
                <w:sz w:val="18"/>
                <w:szCs w:val="18"/>
                <w:color w:val="auto"/>
                <w:w w:val="93"/>
              </w:rPr>
              <w:t>Cash payments included in the measurement of lease liability reported in operating cash</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860"/>
              <w:spacing w:after="0"/>
              <w:rPr>
                <w:sz w:val="20"/>
                <w:szCs w:val="20"/>
                <w:color w:val="auto"/>
              </w:rPr>
            </w:pPr>
            <w:r>
              <w:rPr>
                <w:rFonts w:ascii="Arial" w:cs="Arial" w:eastAsia="Arial" w:hAnsi="Arial"/>
                <w:sz w:val="18"/>
                <w:szCs w:val="18"/>
                <w:color w:val="auto"/>
              </w:rPr>
              <w:t>flows</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64,979</w:t>
            </w:r>
          </w:p>
        </w:tc>
        <w:tc>
          <w:tcPr>
            <w:tcW w:w="200" w:type="dxa"/>
            <w:vAlign w:val="bottom"/>
          </w:tcPr>
          <w:p>
            <w:pPr>
              <w:spacing w:after="0"/>
              <w:rPr>
                <w:sz w:val="20"/>
                <w:szCs w:val="20"/>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82,736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Remaining lease term in years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5.75 years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6.75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00" w:right="320" w:hanging="447"/>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the condensed consolidated statements of operations and comprehensive loss within other underwriting expenses for KICO and within other operating expenses for Cosi.</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March 31, 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8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220,245</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273,831</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283,415</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140,739</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94,799</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1,111,146</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156,672</w:t>
            </w:r>
          </w:p>
        </w:tc>
        <w:tc>
          <w:tcPr>
            <w:tcW w:w="10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liability</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954,474</w:t>
            </w:r>
          </w:p>
        </w:tc>
        <w:tc>
          <w:tcPr>
            <w:tcW w:w="100" w:type="dxa"/>
            <w:vAlign w:val="bottom"/>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8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Rent expense for the three months ended March 31, 2021 and 2020 amounted to $60,518 and $81,251, respectively. Rent expense is included in the accompanying condensed consolidated statements of operations and comprehensive loss within other underwriting expenses.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14, 2019, the Company and Barry B. Goldstein, the Company’s President, Chief Executive Officer and Executive Chairman of the Board, entered into a Second Amended and Restated Employment Agreement (the “Amended Employment Agreement”). The Amended Employment Agreement is effective as of January 1, 2020 and expires on December 31, 2022. The Amended Employment Agreement extends the expiration date of the employment agreement in effect for Mr. Goldstein from December 31, 2021 to December 31, 2022.</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Amended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(“LTC”) award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w:t>
      </w:r>
    </w:p>
    <w:p>
      <w:pPr>
        <w:sectPr>
          <w:pgSz w:w="11900" w:h="16838" w:orient="portrait"/>
          <w:cols w:equalWidth="0" w:num="1">
            <w:col w:w="11240"/>
          </w:cols>
          <w:pgMar w:left="320" w:top="341" w:right="339" w:bottom="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times his then annual salary, the target LTC payment of $1,890,000 and his accrued 6% bonus in the event of the termination of his employment within eighteen months following a change of control of the Company.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Amended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the first anniversary of the grant date and will vest with respect to one-third of the award on each of the second anniversary of the grant date and December 31, 2022 based on the continued provision of services through the applicable vesting date. Also pursuant to the Amended Employment Agreement, Mr. Goldstein received a grant, under the terms of the 2014 Plan, during January 2021, of 230,769 shares of restricted stock determined by dividing $1,500,000 by the fair market value of the Company’s Common Stock on the date of grant. This 2021 grant will vest with respect to one-half of the award on each of the first anniversary of the grant date and on December 31, 2022 based on the continued provision of services through the applicable vesting date. Further, pursuant to the Amended Employment Agreement, Mr. Goldstein received in 2020 and 2021, and will be entitled to receive during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the first anniversary of the grant date and will vest with respect to one-third of the award on each of the second anniversary of the grant date and on December 31, 2022 based on the continued provision of services through the applicable vesting date. In January 2021, Mr. Goldstein was granted 21,000 shares of restricted stock pursuant to the provision. This grant will vest with respect to one-half of the award on each of the first anniversary of the grant date and on December 31, 2022 based on the continued provision of services through the applicable vesting date. The 2022 grant will vest on December 31, 2022 based on the continued provision of services through such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19, 2019 (the “Separation Date”), Dale A. Thatcher retired and resigned his positions as Chief Executive Officer and President of the Company and KICO.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his separation from employment, each of the Company and KICO entered into an Agreement and General Release (the “Separation Agreement”) with Mr. Thatcher. Pursuant to the Separation Agreement, the Company and KICO provided the following payments and benefits to Mr. Thatcher in full satisfaction of all payments and benefits and other amounts due to him under the terms of the existing employment agreements upon his separation from employment: (i) $381,111 (representing the amount of base salary he would have received had he remained employed through March 31, 2020), (ii) $5,000 in full satisfaction for any bonus payments payable under the existing employment agreements, (iii) continuing group health coverage commencing on the Separation Date and ending on March 31, 2020, and (iv) continued vesting of all stock awards previously granted to Mr. Thatcher in his capacity as an executive officer but which were unvested as of the Separation Date (the “Shares”) (Mr. Thatcher shall not be entitled to any further grants of stock awards after the Separation Date). Effective January 27, 2021, the Company entered into an agreement (the “Relinquishment Agreement”) with Mr. Thatcher. Pursuant to the Relinquishment Agreement, Mr. Thatcher relinquished his right to receive 14,077 unissued Shares which vested on January 1, 2021, the right to receive 11,905 Shares which were scheduled to vest on March 14, 2021 and the right to receive 14,076 Shares which were scheduled to vest on January 1, 2022 in full consideration of the payment by the Company of an aggregate of $280,406.</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and KICO agreed to provide Mr. Thatcher with a severance payment of $20,000 in consideration for a release. Pursuant to the Separation Agreement, Mr. Thatcher agreed that, for a period of three years following the Separation Date, he shall not accept any operating executive role with another property and casualty insurance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16, 2019, the Company and Meryl Golden entered into an employment agreement (the “Golden Employment Agreement”) pursuant to which Ms. Golden serves as the Company’s Chief Operating Officer. Ms. Golden also serves KICO’s Chief Operating Officer. The Golden Employment Agreement became effective as of September 25, 2019 (amended on December 24, 2020) and now expires on December 31, 2022.</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Golden Employment Agreement, Ms. Golden is entitled to receive an annual salary of $500,000. The Golden Employment also provides for the grant on the effective date of a five year option for the purchase of 50,000 shares of the Company’s Common Stock pursuant to the 2014 Plan. The options granted vest in four equal installments, with the first installment vesting on the grant date, and the remaining installments vesting on the first, second, and third anniversaries of the grant date, subject to the terms of the stock option agreement between the Company and Ms. Golden. In January 2021, pursuant to the Golden Employment Agreement as amended, Ms. Golden was granted 30,000 shares of restricted Common Stock pursuant to the 2014 Plan and will be entitled to receive in January 2022 an additional grant of 30,000 shares of restricted Common Stock pursuant to the 2014 Plan. Each such grant will vest in three equal installments on each of the first, second and third anniversaries of the grant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outbreak of the coronavirus, also known as “COVID-19”, has spread across the globe and is impacting worldwide economic activity. Conditions surrounding the coronavirus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The extent to which COVID-19 may impact the Company’s business activities will depend on future developments, such as the ultimate geographic spread of the disease, the duration of the outbreak, travel restrictions, business disruptions, and the</w:t>
      </w:r>
    </w:p>
    <w:p>
      <w:pPr>
        <w:sectPr>
          <w:pgSz w:w="11900" w:h="16838" w:orient="portrait"/>
          <w:cols w:equalWidth="0" w:num="1">
            <w:col w:w="11240"/>
          </w:cols>
          <w:pgMar w:left="320" w:top="125" w:right="339" w:bottom="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effectiveness of actions taken in the United States and other countries to contain, prevent and treat the disease. These events are highly uncertain and, as such, the Company cannot determine their financial impact at this time. No adjustments have been made to the amounts reported in these condensed consolidated financial statements as a result of this matter.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Deferred Compensation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March 31, 2021 and December 31, 2020 amounted to $835,302 and $763,789, respectively, and is recorded in accounts payable, accrued expenses and other liabilities in the accompanying condensed consolidated balance sheets. The Company did not make any voluntary contributions for the three months ended March 31, 2021 and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evaluated events that occurred subsequent to March 31, 2021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3, 2021, the Company’s Board of Directors approved a quarterly dividend of $0.04 per share payable in cash on June 15, 2021 to stockholders of record as of the close of business on May 28, 2021 (see Note 8 – Stockholders’ Equity).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 Connecticut, Massachusetts, Pennsylvania, Maine, and New Hampshire. For the three months ended March 31, 2021, 72.3% of KICO’s direct written premiums came from the New York policies.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through our subsidiary, Cosi Agency, Inc. (“Cosi”), a multi-state licensed general agency, we access alternative distribution channels. Through Cosi, we have the opportunity to partner with name-brand carriers and access nationwide insurance agencies. See “Distribution Channels” below for a discussion of our distribution channels. Cosi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and Cosi-related operating expenses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employment, occupancy and consulting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ectPr>
          <w:pgSz w:w="11900" w:h="16838" w:orient="portrait"/>
          <w:cols w:equalWidth="0" w:num="1">
            <w:col w:w="11240"/>
          </w:cols>
          <w:pgMar w:left="320" w:top="125" w:right="339" w:bottom="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24" w:name="page25"/>
    <w:bookmarkEnd w:id="24"/>
    <w:p>
      <w:pPr>
        <w:spacing w:after="0" w:line="5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March 31, 2021 there are no commercial liability policies in-force. As of March 31, 2021, these expired policies represent approximately 29.5% of loss and LAE reserves net of reinsurance recoverables. See discussion below under “Additional Financial Information”.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the ratio of net losses and LAE incurred to net premiums earned.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Channels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2019, we initiated an alternative distribution program through Cosi (“Alternative Distribution”). The goal of this program is to enhance our personal lines distribution channel to include nationally recognized name-brand carriers along with nationwide call center and digital insurance agencies. While still in early stages of development, the impact of this initiative can be measured by the amount of new premiums written compared to total premiums written, which includes renewals from our independent agency network. The table below shows premiums written by distribution channel for our homeowners and dwelling fire components of personal lines.</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4"/>
          </w:tcPr>
          <w:p>
            <w:pPr>
              <w:jc w:val="right"/>
              <w:ind w:right="560"/>
              <w:spacing w:after="0"/>
              <w:rPr>
                <w:sz w:val="20"/>
                <w:szCs w:val="20"/>
                <w:color w:val="auto"/>
              </w:rPr>
            </w:pPr>
            <w:r>
              <w:rPr>
                <w:rFonts w:ascii="Arial" w:cs="Arial" w:eastAsia="Arial" w:hAnsi="Arial"/>
                <w:sz w:val="18"/>
                <w:szCs w:val="18"/>
                <w:color w:val="auto"/>
                <w:w w:val="97"/>
              </w:rPr>
              <w:t>Three months ended</w:t>
            </w:r>
          </w:p>
        </w:tc>
        <w:tc>
          <w:tcPr>
            <w:tcW w:w="120" w:type="dxa"/>
            <w:vAlign w:val="bottom"/>
          </w:tcPr>
          <w:p>
            <w:pPr>
              <w:spacing w:after="0"/>
              <w:rPr>
                <w:sz w:val="18"/>
                <w:szCs w:val="18"/>
                <w:color w:val="auto"/>
              </w:rPr>
            </w:pPr>
          </w:p>
        </w:tc>
        <w:tc>
          <w:tcPr>
            <w:tcW w:w="2120" w:type="dxa"/>
            <w:vAlign w:val="bottom"/>
            <w:gridSpan w:val="4"/>
          </w:tcPr>
          <w:p>
            <w:pPr>
              <w:jc w:val="right"/>
              <w:ind w:right="480"/>
              <w:spacing w:after="0"/>
              <w:rPr>
                <w:sz w:val="20"/>
                <w:szCs w:val="20"/>
                <w:color w:val="auto"/>
              </w:rPr>
            </w:pPr>
            <w:r>
              <w:rPr>
                <w:rFonts w:ascii="Arial" w:cs="Arial" w:eastAsia="Arial" w:hAnsi="Arial"/>
                <w:sz w:val="18"/>
                <w:szCs w:val="18"/>
                <w:color w:val="auto"/>
                <w:w w:val="97"/>
              </w:rPr>
              <w:t>Three months ended</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 in thousands)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March 31, 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March 31, 2020</w:t>
            </w:r>
          </w:p>
        </w:tc>
        <w:tc>
          <w:tcPr>
            <w:tcW w:w="160" w:type="dxa"/>
            <w:vAlign w:val="bottom"/>
          </w:tcPr>
          <w:p>
            <w:pPr>
              <w:spacing w:after="0"/>
              <w:rPr>
                <w:sz w:val="20"/>
                <w:szCs w:val="20"/>
                <w:color w:val="auto"/>
              </w:rPr>
            </w:pPr>
          </w:p>
        </w:tc>
      </w:tr>
      <w:tr>
        <w:trPr>
          <w:trHeight w:val="425"/>
        </w:trPr>
        <w:tc>
          <w:tcPr>
            <w:tcW w:w="4880" w:type="dxa"/>
            <w:vAlign w:val="bottom"/>
          </w:tcPr>
          <w:p>
            <w:pPr>
              <w:spacing w:after="0"/>
              <w:rPr>
                <w:sz w:val="20"/>
                <w:szCs w:val="20"/>
                <w:color w:val="auto"/>
              </w:rPr>
            </w:pPr>
            <w:r>
              <w:rPr>
                <w:rFonts w:ascii="Arial" w:cs="Arial" w:eastAsia="Arial" w:hAnsi="Arial"/>
                <w:sz w:val="18"/>
                <w:szCs w:val="18"/>
                <w:color w:val="auto"/>
              </w:rPr>
              <w:t>Direct Written Pemiums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9"/>
              </w:rPr>
              <w:t>Amount</w:t>
            </w: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Percent</w:t>
            </w:r>
          </w:p>
        </w:tc>
      </w:tr>
      <w:tr>
        <w:trPr>
          <w:trHeight w:val="209"/>
        </w:trPr>
        <w:tc>
          <w:tcPr>
            <w:tcW w:w="4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Core Independent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27,979</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27,145</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r>
      <w:tr>
        <w:trPr>
          <w:trHeight w:val="216"/>
        </w:trPr>
        <w:tc>
          <w:tcPr>
            <w:tcW w:w="4880" w:type="dxa"/>
            <w:vAlign w:val="bottom"/>
          </w:tcPr>
          <w:p>
            <w:pPr>
              <w:ind w:left="160"/>
              <w:spacing w:after="0"/>
              <w:rPr>
                <w:sz w:val="20"/>
                <w:szCs w:val="20"/>
                <w:color w:val="auto"/>
              </w:rPr>
            </w:pPr>
            <w:r>
              <w:rPr>
                <w:rFonts w:ascii="Arial" w:cs="Arial" w:eastAsia="Arial" w:hAnsi="Arial"/>
                <w:sz w:val="18"/>
                <w:szCs w:val="18"/>
                <w:color w:val="auto"/>
              </w:rPr>
              <w:t>Expansion Independent (1)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6,179</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5,242</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r>
      <w:tr>
        <w:trPr>
          <w:trHeight w:val="216"/>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Alternative Distribution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through Cosi</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r>
        <w:trPr>
          <w:trHeight w:val="20"/>
        </w:trPr>
        <w:tc>
          <w:tcPr>
            <w:tcW w:w="4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88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36,080</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34,366</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Outside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three months ended March 31, 2021 and 2020, Alternative Distribution made up 5.3% and 5.8%, respectively, of direct written premiums for our homeowners and dwelling fire components of personal lines. On July 10, 2020, KICO’s A.M. Best Financial Strength Rating was downgraded from A- (Excellent) to B++ (Good). This action has resulted in and will continue to result in a decrease in the business from Cosi, a multi-state licensed general agent that had partnered with name-brand carriers, some of which require an A.M. Best rating of A- (Excellent) from its partners.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w:t>
      </w:r>
    </w:p>
    <w:p>
      <w:pPr>
        <w:sectPr>
          <w:pgSz w:w="11900" w:h="16890" w:orient="portrait"/>
          <w:cols w:equalWidth="0" w:num="1">
            <w:col w:w="11240"/>
          </w:cols>
          <w:pgMar w:left="320" w:top="125" w:right="339" w:bottom="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8"/>
              </w:rPr>
              <w:t>Three months ended March 31,</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38,129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36,697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quota share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50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(6,176)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30,799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7,608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Ceded to quota share treaties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2,154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41,918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42,602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7,648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Ceding commission revenue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3,831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(3,832)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gains (losses) on investments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2,960</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(6,444)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9,404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13,249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23,156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21,971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1,185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Losses from catastrophes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1,133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Losses from catastrophes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22,332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16,187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6,145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Losses from catastrophes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6,176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Commission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8,223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7,856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26" w:name="page27"/>
    <w:bookmarkEnd w:id="26"/>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taxes</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(7,130)</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(1,686)</w:t>
            </w:r>
          </w:p>
        </w:tc>
        <w:tc>
          <w:tcPr>
            <w:tcW w:w="4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1,618</w:t>
            </w:r>
          </w:p>
        </w:tc>
        <w:tc>
          <w:tcPr>
            <w:tcW w:w="104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0"/>
        </w:trPr>
        <w:tc>
          <w:tcPr>
            <w:tcW w:w="5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(5,444)</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5,133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three months ended March 31, 2021 and 2020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100" w:type="dxa"/>
            <w:vAlign w:val="bottom"/>
          </w:tcPr>
          <w:p>
            <w:pPr>
              <w:ind w:left="260"/>
              <w:spacing w:after="0" w:line="191"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Point Change</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426"/>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0"/>
        </w:trPr>
        <w:tc>
          <w:tcPr>
            <w:tcW w:w="12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combined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Direct written premiums during the three months ended March 31, 2021 (“Three Months 2021”) were $38,129,000 compared to $36,697,000 during the three months ended March 31, 2020 (“Three Months 2020”). The increase of $1,432,000, or 3.9%, was primarily due an increase in premiums from our personal lines business. Direct written premiums from our personal lines business for Three Months 2021 were $36,158,000, an increase of $1,724,000, or 5.0%, from $34,435,000 in Three Months 2020.</w:t>
      </w:r>
    </w:p>
    <w:p>
      <w:pPr>
        <w:spacing w:after="0" w:line="187"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$10,569,000 in Three Months 2021 compared to $6,335,000 in Three Months 2020. Direct written premiums from our Core business were $27,560,000 in Three Months 2021 compared to $30,362,000 in Three Months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7"/>
          <w:szCs w:val="17"/>
          <w:color w:val="auto"/>
        </w:rPr>
        <w:t>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 In addition to the 2019/2020 Treaty, our personal lines quota share reinsurance treaty in effect for Three Months 2020 also included the run-off of the personal lines quota share treaty (“2018/2019 Treaty”) that expired on June 30, 2019. The run-off covered the period from July 1, 2019 through June 30, 2020 (“2019/2020 Run-Off”). The following table describes the quota share reinsurance ceding rates in effect during Three Months 2021 and Three Months 2020. This table should be referred to in conjunction with the discussions for net written premiums, net premiums earned, ceding commission revenue and net loss and loss adjustment expenses that follow.</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34"/>
        </w:trPr>
        <w:tc>
          <w:tcPr>
            <w:tcW w:w="690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32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411"/>
        </w:trPr>
        <w:tc>
          <w:tcPr>
            <w:tcW w:w="6900" w:type="dxa"/>
            <w:vAlign w:val="bottom"/>
          </w:tcPr>
          <w:p>
            <w:pPr>
              <w:spacing w:after="0"/>
              <w:rPr>
                <w:sz w:val="20"/>
                <w:szCs w:val="20"/>
                <w:color w:val="auto"/>
              </w:rPr>
            </w:pPr>
            <w:r>
              <w:rPr>
                <w:rFonts w:ascii="Arial" w:cs="Arial" w:eastAsia="Arial" w:hAnsi="Arial"/>
                <w:sz w:val="18"/>
                <w:szCs w:val="18"/>
                <w:b w:val="1"/>
                <w:bCs w:val="1"/>
                <w:color w:val="auto"/>
              </w:rPr>
              <w:t>Quota share reinsurance rates</w:t>
            </w:r>
          </w:p>
        </w:tc>
        <w:tc>
          <w:tcPr>
            <w:tcW w:w="1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Personal lines</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2019/2020 Treaty</w:t>
            </w:r>
          </w:p>
        </w:tc>
        <w:tc>
          <w:tcPr>
            <w:tcW w:w="1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25% (1)</w:t>
            </w:r>
          </w:p>
        </w:tc>
        <w:tc>
          <w:tcPr>
            <w:tcW w:w="100" w:type="dxa"/>
            <w:vAlign w:val="bottom"/>
            <w:shd w:val="clear" w:color="auto" w:fill="CCEEFF"/>
          </w:tcPr>
          <w:p>
            <w:pPr>
              <w:spacing w:after="0"/>
              <w:rPr>
                <w:sz w:val="18"/>
                <w:szCs w:val="18"/>
                <w:color w:val="auto"/>
              </w:rPr>
            </w:pPr>
          </w:p>
        </w:tc>
      </w:tr>
      <w:tr>
        <w:trPr>
          <w:trHeight w:val="230"/>
        </w:trPr>
        <w:tc>
          <w:tcPr>
            <w:tcW w:w="6900" w:type="dxa"/>
            <w:vAlign w:val="bottom"/>
          </w:tcPr>
          <w:p>
            <w:pPr>
              <w:ind w:left="160"/>
              <w:spacing w:after="0"/>
              <w:rPr>
                <w:sz w:val="20"/>
                <w:szCs w:val="20"/>
                <w:color w:val="auto"/>
              </w:rPr>
            </w:pPr>
            <w:r>
              <w:rPr>
                <w:rFonts w:ascii="Arial" w:cs="Arial" w:eastAsia="Arial" w:hAnsi="Arial"/>
                <w:sz w:val="18"/>
                <w:szCs w:val="18"/>
                <w:color w:val="auto"/>
              </w:rPr>
              <w:t>2018/2019 Treaty</w:t>
            </w:r>
          </w:p>
        </w:tc>
        <w:tc>
          <w:tcPr>
            <w:tcW w:w="1220" w:type="dxa"/>
            <w:vAlign w:val="bottom"/>
          </w:tcPr>
          <w:p>
            <w:pPr>
              <w:ind w:left="54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10 % (2)</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2019/2020 Treaty was effective from December 15, 2019 through December 30, 2020 with a quota share reinsurance rate of 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2018/2019 Treaty expired on a run-off basis from July 1, 2019 through June 30,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Net written premiums increased $7,608,000, or 32.8%, to $30,799,000 in Three Months 2021 from $23,191,000 in Three Months 2020. Net written premiums include direct and assumed premiums, less the amount of written premiums ceded under our reinsurance treaties (quota share, excess of loss, and catastrophe). The increase in net written premiums in Three Months 2021 was attributable to the expiration of the 2019/2020 Treaty on December 30, 2020 on a cut-off basis (see table above). In Three Months 2021, our premiums ceded under quota share treaties decreased by $6,960,000 in comparison to ceded premiums in Three Months 2020. Our personal lines business was subject to the 2019/2020 Treaty from December 15, 2019 through December 30, 2020. Our personal lines business was subject to the 2018/2019 Treaty through June 30, 2019. Following June 30, 2019, any earned premium and associated claims for policies still in force continued to be ceded under the 10% quota share rate until such policies expired (run-off) over the next year. The 2019/2020 run-off period was from July 1, 2019 through June 30, 2020 and there was no return of unearned premiums under this arrangement.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An increase in written premiums will increase the premiums ceded under our excess of loss treaties. In Three Months 2021, our ceded excess of loss reinsurance premiums increased by $29,000 over the comparable ceded premiums for Three Months 2020. The increase was due to an increase in</w:t>
      </w:r>
    </w:p>
    <w:p>
      <w:pPr>
        <w:sectPr>
          <w:pgSz w:w="11900" w:h="16983" w:orient="portrait"/>
          <w:cols w:equalWidth="0" w:num="1">
            <w:col w:w="11240"/>
          </w:cols>
          <w:pgMar w:left="320" w:top="355" w:right="339" w:bottom="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premiums subject to excess of loss reinsurance.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Three Months 2021, our premiums ceded under catastrophe treaties increased by $755,000 over the comparable ceded premiums in Three Months 2020. The change was due to an increase in reinsurance rates effective July 1, 2020, partially offset by a decrease in our limit effective July 1, 2020. Through June 30, 2020, our ceded catastrophe premiums were paid based on the total direct written premiums subject to the catastrophe reinsurance treaty. Effective July 1, 2020, and continuing through June 30, 2021, our ceded catastrophe premiums will be paid based on the total insured value of our risks calculated as of August 31, 2021.</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Net premiums earned increased $7,648,000, or 28.4%, to $34,589,000 in Three Months 2021 from $26,941,000 in Three Months 2020. The increase was due to the expiration of both the 2019/2020 Treaty on December 30, 2020 on a cut-off basis and the 2019/2020 Run-Off as of June 30, 2020.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b w:val="1"/>
                <w:bCs w:val="1"/>
                <w:color w:val="auto"/>
                <w:w w:val="91"/>
              </w:rPr>
              <w:t>Three Months ended March 31,</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Change</w:t>
            </w: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ceding commission revenue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3,831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(3,832)</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Ceding commission revenue was $(1,000) in Three Months 2021 compared to $3,831,000 in Three Months 2020. The decrease of $3,832,000 was due to a decrease in both provisional ceding commissions earned and contingent ceding commissions earned. See below for discussion of provisional ceding commissions earned and contingent ceding commissions earned.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Through December 30, 2020, we received a provisional ceding commission based on ceded written premiums. The $3,675,000 decrease in provisional ceding commissions earned was due to the expiration of both the 2019/2020 Treaty on December 30, 2020 on a cut-off basis and the 2019/2020 Run-Off as of June 30,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structure of the 2019/2020 Treaty and 2019/2020 Run-Off called for a higher upfront provisional ceding commission and there was not an opportunity to earn additional contingent ceding commissions under those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investment income was $1,783,000 in Three Months 2021 compared to $1,666,000 in Three Months 2020, an increase of $117,000, or 7.0%.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average yield on invested assets was 3.52% as of March 31, 2021 compared to 3.77% as of March 31,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invested assets were $220,726,000 as of March 31, 2021 compared to $201,649,000 as of March 31, 2020. The $19,077,000 increase in cash and invested assets was primarily attributable to the return of premiums ceded, net of ceding commissions, at the expiration of the 2019/2020 Treaty and by an increase in unrealized gains during the periods after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gains on investments were $2,960,000 in Three Months 2021 compared to net losses of $6,444,000 in Three Months 2020. Unrealized gains on our equity securities and other investments in Three Months 2021 were $1,833,000, compared to unrealized losses of $6,719,000 in Three Months 2020. Realized gains on sales of investments were $1,127,000 in Three Months 2021 compared to a gain of $275,000 in Three Months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ectPr>
          <w:pgSz w:w="11900" w:h="16838" w:orient="portrait"/>
          <w:cols w:equalWidth="0" w:num="1">
            <w:col w:w="11240"/>
          </w:cols>
          <w:pgMar w:left="320" w:top="125" w:right="339" w:bottom="92" w:gutter="0" w:footer="0" w:header="0"/>
        </w:sectPr>
      </w:pPr>
    </w:p>
    <w:bookmarkStart w:id="28" w:name="page29"/>
    <w:bookmarkEnd w:id="28"/>
    <w:p>
      <w:pPr>
        <w:spacing w:after="0" w:line="52" w:lineRule="exact"/>
        <w:rPr>
          <w:sz w:val="20"/>
          <w:szCs w:val="20"/>
          <w:color w:val="auto"/>
        </w:rPr>
      </w:pPr>
    </w:p>
    <w:p>
      <w:pPr>
        <w:jc w:val="both"/>
        <w:ind w:firstLine="545"/>
        <w:spacing w:after="0" w:line="263" w:lineRule="auto"/>
        <w:rPr>
          <w:sz w:val="20"/>
          <w:szCs w:val="20"/>
          <w:color w:val="auto"/>
        </w:rPr>
      </w:pPr>
      <w:r>
        <w:rPr>
          <w:rFonts w:ascii="Arial" w:cs="Arial" w:eastAsia="Arial" w:hAnsi="Arial"/>
          <w:sz w:val="18"/>
          <w:szCs w:val="18"/>
          <w:color w:val="auto"/>
        </w:rPr>
        <w:t>Other income was $172,000 in Three Months 2021 compared to $260,000 in Three Months 2020. The decrease of $88,000, or 33.8%, was primarily due to the elimination of fees in our commercial lines business that was in run-off in Three Months 2020, a result of our decision in July 2019 to no longer underwrite this line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and LAE was $22,561,000 for Three Months 2021 compared to $16,385,000 for Three Months 2020. The net loss ratio was 65.2% in Three Months 2021 compared to 60.8% in Three Months 2020, an increase of 4.4 percentage points.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257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7177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Three Months 2021, the loss ratio was higher than Three Months 2020 mainly due to a higher frequency of non-weather water damage property claims as well as large fire losses. Although there were more water claims reported in Three Months 2021 compared to the prior year period, the observed activity was close to an average winter. There were also two severe fire claims reported during Three Month 2021. The combination of the two added approximately 4 points to the loss ratio.</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impact of catastrophes, similar to Three Months 2020, was low for Three Months 2021 due to a mild winter season this year. There were only three minor winter events classified as a catastrophe this quarter. The estimated net catastrophe losses were $229,000, which contributed 0.7 point to the loss ratio.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year development continued to be stable for Three Months 2021; there was an overall favorable development of $11,000, which had marginal impact on the loss ratio.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Commission expense was $8,223,000 in Three Months 2021 or 19.6% of direct earned premiums. Commission expense was $7,856,000 in Three Months 2020 or 18.4% of direct earned premiums. The increase of $367,000 is primarily due to an increase in the estimate for annual contingent commissions for Three Months 2021 as compared to Three Months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underwriting expenses were $6,467,000 in Three Months 2021 compared to $6,762,000 in Three Months 2020. The decrease of $295,000, or 4.4%, was primarily due to an initiative to reduce expenses with the use of technology.</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$2,539,000 in Three Months 2021 compared to $2,740,000 in Three Months 2020. The decrease of $202,000, or 7.4%, was less than the 5% increase in personal lines direct written premiums. The decrease in employment costs was attributable to staff reductions.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net underwriting expense ratio in Three Months 2021 was 42.0% compared to 39.1% in Three Months 2020. The following table shows the individual components of our net underwriting expense ratio for the periods indicated: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Three months ended</w:t>
      </w:r>
    </w:p>
    <w:p>
      <w:pPr>
        <w:sectPr>
          <w:pgSz w:w="11900" w:h="16891" w:orient="portrait"/>
          <w:cols w:equalWidth="0" w:num="1">
            <w:col w:w="11240"/>
          </w:cols>
          <w:pgMar w:left="320" w:top="125" w:right="339" w:bottom="0" w:gutter="0" w:footer="0" w:header="0"/>
        </w:sectPr>
      </w:pPr>
    </w:p>
    <w:bookmarkStart w:id="29" w:name="page30"/>
    <w:bookmarkEnd w:id="29"/>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3"/>
              </w:rPr>
              <w:t>March 31,</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Percentage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Point</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9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w w:val="84"/>
              </w:rPr>
              <w:t>2020</w:t>
            </w:r>
          </w:p>
        </w:tc>
        <w:tc>
          <w:tcPr>
            <w:tcW w:w="26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980" w:type="dxa"/>
            <w:vAlign w:val="bottom"/>
            <w:gridSpan w:val="2"/>
          </w:tcPr>
          <w:p>
            <w:pPr>
              <w:ind w:left="860"/>
              <w:spacing w:after="0"/>
              <w:rPr>
                <w:sz w:val="20"/>
                <w:szCs w:val="20"/>
                <w:color w:val="auto"/>
              </w:rPr>
            </w:pPr>
            <w:r>
              <w:rPr>
                <w:rFonts w:ascii="Arial" w:cs="Arial" w:eastAsia="Arial" w:hAnsi="Arial"/>
                <w:sz w:val="18"/>
                <w:szCs w:val="18"/>
                <w:color w:val="auto"/>
              </w:rPr>
              <w:t>Other underwriting expenses</w:t>
            </w:r>
          </w:p>
        </w:tc>
        <w:tc>
          <w:tcPr>
            <w:tcW w:w="19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Employment costs</w:t>
            </w:r>
          </w:p>
        </w:tc>
        <w:tc>
          <w:tcPr>
            <w:tcW w:w="3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Underwriting fees (inspections/data services)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IT expenses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Other expenses</w:t>
            </w:r>
          </w:p>
        </w:tc>
        <w:tc>
          <w:tcPr>
            <w:tcW w:w="1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underwriting expenses</w:t>
            </w:r>
          </w:p>
        </w:tc>
        <w:tc>
          <w:tcPr>
            <w:tcW w:w="1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Commission expense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Ceding commission revenue</w:t>
            </w:r>
          </w:p>
        </w:tc>
        <w:tc>
          <w:tcPr>
            <w:tcW w:w="1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Provisional</w:t>
            </w:r>
          </w:p>
        </w:tc>
        <w:tc>
          <w:tcPr>
            <w:tcW w:w="318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w:t>
            </w:r>
          </w:p>
        </w:tc>
        <w:tc>
          <w:tcPr>
            <w:tcW w:w="1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Total ceding commission revenue</w:t>
            </w:r>
          </w:p>
        </w:tc>
        <w:tc>
          <w:tcPr>
            <w:tcW w:w="1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income</w:t>
            </w:r>
          </w:p>
        </w:tc>
        <w:tc>
          <w:tcPr>
            <w:tcW w:w="318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underwriting expense ratio</w:t>
            </w:r>
          </w:p>
        </w:tc>
        <w:tc>
          <w:tcPr>
            <w:tcW w:w="3180" w:type="dxa"/>
            <w:vAlign w:val="bottom"/>
            <w:gridSpan w:val="3"/>
          </w:tcPr>
          <w:p>
            <w:pPr>
              <w:jc w:val="right"/>
              <w:ind w:right="120"/>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80" w:type="dxa"/>
            <w:vAlign w:val="bottom"/>
            <w:vMerge w:val="restart"/>
          </w:tcPr>
          <w:p>
            <w:pPr>
              <w:jc w:val="right"/>
              <w:ind w:right="1150"/>
              <w:spacing w:after="0"/>
              <w:rPr>
                <w:sz w:val="20"/>
                <w:szCs w:val="20"/>
                <w:color w:val="auto"/>
              </w:rPr>
            </w:pPr>
            <w:r>
              <w:rPr>
                <w:rFonts w:ascii="Arial" w:cs="Arial" w:eastAsia="Arial" w:hAnsi="Arial"/>
                <w:sz w:val="18"/>
                <w:szCs w:val="18"/>
                <w:color w:val="auto"/>
              </w:rPr>
              <w:t>43</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overall 14.2 percentage point decrease in the benefit from ceding commissions was driven by the reduction in provisional ceding commission revenue due to the expiration of the 2019/2020 Treaty on December 30, 2020. The components of our net underwriting expense ratio related to other underwriting expenses and commissions decreased in all categories due to more retention after the expiration of the 2019/2020 Treaty on December 30 2020, resulting in an 11.7 percentage point decrease in these components of the net underwriting expense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Other operating expenses, related to the expenses of our holding company and Cosi, were $1,352,000 for Three Months 2021 compared to $1,237,000 for Three Months 2020. The increase in Three Months 2021 of $115,000, or 9.3%, as compared to Three Months 2020 was primarily due to an increase in employment costs due to fluctuations in deferred compensation liability related to changes in the underlying invested portfolio and compensation paid pursuant to a relinquishment agreement with Dale A. Thatcher, our former Chef Executive Officer (see Note 11 to the condensed consolidated financial statements). The increase in employment costs was partially offset by a decrease in professional fees.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and amortization was $822,000 in Three Months 2021 compared to $687,000 in Three Months 2020. The increase of $135,000, or 19.7%, in depreciation and amortization was primarily due to depreciation of new system platforms for policy and claims management and newly purchased assets used to upgrade our other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was $457,000 for both Three Months 2021 and Three Months 2020.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Income tax benefit in Three Months 2021 was $68,000, which resulted in an effective tax expense rate of 18.0%. Income tax benefit in Three Months 2020 was $1,686,000, which resulted in an effective tax expense rate of 23.6%. Loss before taxes was $379,000 in Three Months 2021 compared to loss before taxes of $7,130,000 in Three Months 2020. On March 27, 2020, the Coronavirus Aid, Relief, and Economic Security (CARES) Act was signed into law, allowing for a five year carryback of 2020 NOLs. We will elect on our 2020 federal income tax return to carry back the entire annual 2020 NOL of $5,715,000 to tax year 2015. The corporate tax rate in 2015 was 34%, compared to the corporate tax rate of 21%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loss was $311,000 in Three Months 2021 compared to $5,444,000 in Three Months 2020. The decrease in net loss of $5,133,000 was due to the circumstances described above, which caused the increases in our net premiums earned, net investment income, net gains on investments and decreases in other underwriting expenses, partially offset by the increases in net loss ratio, commission expense, other operating expenses, depreciation and amortization, income tax benefit and a decrease in other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ectPr>
          <w:pgSz w:w="11900" w:h="16941" w:orient="portrait"/>
          <w:cols w:equalWidth="0" w:num="1">
            <w:col w:w="11240"/>
          </w:cols>
          <w:pgMar w:left="320" w:top="121" w:right="339" w:bottom="0" w:gutter="0" w:footer="0" w:header="0"/>
        </w:sectPr>
      </w:pPr>
    </w:p>
    <w:bookmarkStart w:id="30" w:name="page31"/>
    <w:bookmarkEnd w:id="30"/>
    <w:p>
      <w:pPr>
        <w:spacing w:after="0" w:line="6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9"/>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Gross premiums written:</w:t>
            </w:r>
          </w:p>
        </w:tc>
        <w:tc>
          <w:tcPr>
            <w:tcW w:w="1740" w:type="dxa"/>
            <w:vAlign w:val="bottom"/>
          </w:tcPr>
          <w:p>
            <w:pPr>
              <w:spacing w:after="0"/>
              <w:rPr>
                <w:sz w:val="18"/>
                <w:szCs w:val="18"/>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$ 36,158,493</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$ 34,434,836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1,903,992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2,314,401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Other(1)</w:t>
            </w:r>
          </w:p>
        </w:tc>
        <w:tc>
          <w:tcPr>
            <w:tcW w:w="17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67,107</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Total without commercial lines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38,129,592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36,824,092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7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Total gross premiums written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$ 38,129,117</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$ 36,696,929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Net premiums written:</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$ 28,829,812</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$ 21,211,481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1,903,992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2,314,401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Other(1)</w:t>
            </w:r>
          </w:p>
        </w:tc>
        <w:tc>
          <w:tcPr>
            <w:tcW w:w="17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Total without commercial lines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30,800,085</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23,584,461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7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Total net premiums written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$ 30,799,610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$ 23,190,674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Net premiums earned:</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$ 32,765,087</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$ 22,599,634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1,765,276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2,606,579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Other(1)</w:t>
            </w:r>
          </w:p>
        </w:tc>
        <w:tc>
          <w:tcPr>
            <w:tcW w:w="17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59,330</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Total without commercial lines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34,589,693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25,256,362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7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Total net premiums earned</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$ 34,589,218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$ 26,941,450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Net loss and loss adjustment expenses(4):</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$ 20,756,653</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$ 12,514,568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687,412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780,570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30,349</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Unallocated loss adjustment expenses</w:t>
            </w:r>
          </w:p>
        </w:tc>
        <w:tc>
          <w:tcPr>
            <w:tcW w:w="17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1,006,281</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769,812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without commercial lines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22,480,695</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14,113,747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17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79,977</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net loss and loss adjustment expenses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$ 22,560,672</w:t>
            </w:r>
          </w:p>
        </w:tc>
        <w:tc>
          <w:tcPr>
            <w:tcW w:w="26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$ 16,385,821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ratio(4):</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Personal lines</w:t>
            </w:r>
          </w:p>
        </w:tc>
        <w:tc>
          <w:tcPr>
            <w:tcW w:w="2940" w:type="dxa"/>
            <w:vAlign w:val="bottom"/>
            <w:gridSpan w:val="3"/>
          </w:tcPr>
          <w:p>
            <w:pPr>
              <w:jc w:val="right"/>
              <w:ind w:right="120"/>
              <w:spacing w:after="0"/>
              <w:rPr>
                <w:sz w:val="20"/>
                <w:szCs w:val="20"/>
                <w:color w:val="auto"/>
              </w:rPr>
            </w:pPr>
            <w:r>
              <w:rPr>
                <w:rFonts w:ascii="Arial" w:cs="Arial" w:eastAsia="Arial" w:hAnsi="Arial"/>
                <w:sz w:val="18"/>
                <w:szCs w:val="18"/>
                <w:color w:val="auto"/>
              </w:rPr>
              <w:t>63.3%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29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Other(1)</w:t>
            </w:r>
          </w:p>
        </w:tc>
        <w:tc>
          <w:tcPr>
            <w:tcW w:w="2940" w:type="dxa"/>
            <w:vAlign w:val="bottom"/>
            <w:gridSpan w:val="3"/>
          </w:tcPr>
          <w:p>
            <w:pPr>
              <w:jc w:val="right"/>
              <w:ind w:right="120"/>
              <w:spacing w:after="0"/>
              <w:rPr>
                <w:sz w:val="20"/>
                <w:szCs w:val="20"/>
                <w:color w:val="auto"/>
              </w:rPr>
            </w:pPr>
            <w:r>
              <w:rPr>
                <w:rFonts w:ascii="Arial" w:cs="Arial" w:eastAsia="Arial" w:hAnsi="Arial"/>
                <w:sz w:val="18"/>
                <w:szCs w:val="18"/>
                <w:color w:val="auto"/>
              </w:rPr>
              <w:t>51.2%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without commercial lines</w:t>
            </w:r>
          </w:p>
        </w:tc>
        <w:tc>
          <w:tcPr>
            <w:tcW w:w="29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7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Total</w:t>
            </w:r>
          </w:p>
        </w:tc>
        <w:tc>
          <w:tcPr>
            <w:tcW w:w="2940" w:type="dxa"/>
            <w:vAlign w:val="bottom"/>
            <w:gridSpan w:val="3"/>
          </w:tcPr>
          <w:p>
            <w:pPr>
              <w:jc w:val="right"/>
              <w:ind w:right="120"/>
              <w:spacing w:after="0"/>
              <w:rPr>
                <w:sz w:val="20"/>
                <w:szCs w:val="20"/>
                <w:color w:val="auto"/>
              </w:rPr>
            </w:pPr>
            <w:r>
              <w:rPr>
                <w:rFonts w:ascii="Arial" w:cs="Arial" w:eastAsia="Arial" w:hAnsi="Arial"/>
                <w:sz w:val="18"/>
                <w:szCs w:val="18"/>
                <w:color w:val="auto"/>
              </w:rPr>
              <w:t>65.2%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20" w:hanging="452"/>
        <w:spacing w:after="0" w:line="25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discussion above with regard to “Net Written Premiums and Net Premiums Earned”, as to changes in quota share ceding rates, effective December 31, 2020, December 15, 2019 and July 1, 2019.</w:t>
      </w: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discussion above with regard to “Net Loss and LAE”, as to catastrophe losses in the three months ended March 31, 2021 and 2020.</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9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w:t>
            </w:r>
          </w:p>
        </w:tc>
      </w:tr>
      <w:tr>
        <w:trPr>
          <w:trHeight w:val="209"/>
        </w:trPr>
        <w:tc>
          <w:tcPr>
            <w:tcW w:w="4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426"/>
        </w:trPr>
        <w:tc>
          <w:tcPr>
            <w:tcW w:w="49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3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$ 34,589,218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$ 26,941,450</w:t>
            </w: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Ceding commission revenue</w:t>
            </w:r>
          </w:p>
        </w:tc>
        <w:tc>
          <w:tcPr>
            <w:tcW w:w="3440" w:type="dxa"/>
            <w:vAlign w:val="bottom"/>
            <w:gridSpan w:val="3"/>
          </w:tcPr>
          <w:p>
            <w:pPr>
              <w:jc w:val="right"/>
              <w:ind w:right="100"/>
              <w:spacing w:after="0"/>
              <w:rPr>
                <w:sz w:val="20"/>
                <w:szCs w:val="20"/>
                <w:color w:val="auto"/>
              </w:rPr>
            </w:pPr>
            <w:r>
              <w:rPr>
                <w:rFonts w:ascii="Arial" w:cs="Arial" w:eastAsia="Arial" w:hAnsi="Arial"/>
                <w:sz w:val="18"/>
                <w:szCs w:val="18"/>
                <w:color w:val="auto"/>
              </w:rPr>
              <w:t>(1,065)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3,831,099</w:t>
            </w: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1,783,196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1,665,393</w:t>
            </w: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Net gains (losses) on investments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2,912,525</w:t>
            </w:r>
          </w:p>
        </w:tc>
        <w:tc>
          <w:tcPr>
            <w:tcW w:w="1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(6,309,184)</w:t>
            </w:r>
          </w:p>
        </w:tc>
      </w:tr>
      <w:tr>
        <w:trPr>
          <w:trHeight w:val="216"/>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3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170,309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2"/>
        </w:trPr>
        <w:tc>
          <w:tcPr>
            <w:tcW w:w="4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23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39,454,183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26,373,732</w:t>
            </w:r>
          </w:p>
        </w:tc>
        <w:tc>
          <w:tcPr>
            <w:tcW w:w="160" w:type="dxa"/>
            <w:vAlign w:val="bottom"/>
            <w:tcBorders>
              <w:bottom w:val="single" w:sz="8" w:color="CCEEFF"/>
            </w:tcBorders>
          </w:tcPr>
          <w:p>
            <w:pPr>
              <w:spacing w:after="0"/>
              <w:rPr>
                <w:sz w:val="18"/>
                <w:szCs w:val="18"/>
                <w:color w:val="auto"/>
              </w:rPr>
            </w:pPr>
          </w:p>
        </w:tc>
      </w:tr>
    </w:tbl>
    <w:p>
      <w:pPr>
        <w:sectPr>
          <w:pgSz w:w="11900" w:h="16900" w:orient="portrait"/>
          <w:cols w:equalWidth="0" w:num="1">
            <w:col w:w="11240"/>
          </w:cols>
          <w:pgMar w:left="320" w:top="337" w:right="3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860"/>
              <w:spacing w:after="0"/>
              <w:rPr>
                <w:sz w:val="20"/>
                <w:szCs w:val="20"/>
                <w:color w:val="auto"/>
              </w:rPr>
            </w:pPr>
            <w:r>
              <w:rPr>
                <w:rFonts w:ascii="Arial" w:cs="Arial" w:eastAsia="Arial" w:hAnsi="Arial"/>
                <w:sz w:val="18"/>
                <w:szCs w:val="18"/>
                <w:b w:val="1"/>
                <w:bCs w:val="1"/>
                <w:color w:val="auto"/>
              </w:rPr>
              <w:t>Expenses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22,560,672</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16,385,821</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8,223,839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7,855,927</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6,467,042</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6,761,792</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788,835</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653,902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38,040,388</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31,657,442</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1,413,795</w:t>
            </w:r>
          </w:p>
        </w:tc>
        <w:tc>
          <w:tcPr>
            <w:tcW w:w="2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(5,283,710)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251,565</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(1,207,969)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vMerge w:val="continue"/>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1,162,230</w:t>
            </w:r>
          </w:p>
        </w:tc>
        <w:tc>
          <w:tcPr>
            <w:tcW w:w="26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(4,075,741)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vMerge w:val="restart"/>
          </w:tcPr>
          <w:p>
            <w:pPr>
              <w:spacing w:after="0"/>
              <w:rPr>
                <w:sz w:val="17"/>
                <w:szCs w:val="17"/>
                <w:color w:val="auto"/>
              </w:rPr>
            </w:pPr>
          </w:p>
        </w:tc>
        <w:tc>
          <w:tcPr>
            <w:tcW w:w="4180" w:type="dxa"/>
            <w:vAlign w:val="bottom"/>
            <w:tcBorders>
              <w:top w:val="single" w:sz="8" w:color="CCEEFF"/>
            </w:tcBorders>
          </w:tcPr>
          <w:p>
            <w:pPr>
              <w:spacing w:after="0"/>
              <w:rPr>
                <w:sz w:val="17"/>
                <w:szCs w:val="17"/>
                <w:color w:val="auto"/>
              </w:rPr>
            </w:pPr>
          </w:p>
        </w:tc>
        <w:tc>
          <w:tcPr>
            <w:tcW w:w="2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Measures: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Net loss ratio</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65.2%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Net combined ratio</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Reconciliation of net underwriting expense ratio:</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 and other</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underwriting expenses</w:t>
            </w:r>
          </w:p>
        </w:tc>
        <w:tc>
          <w:tcPr>
            <w:tcW w:w="2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14,690,881</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$ 14,617,719</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Less: Ceding commission revenue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1,065</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(3,831,099)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Other income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(170,309)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(244,974)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Net underwriting expenses</w:t>
            </w:r>
          </w:p>
        </w:tc>
        <w:tc>
          <w:tcPr>
            <w:tcW w:w="3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14,521,637</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$ 10,541,646</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3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34,589,218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$ 26,941,450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960" w:type="dxa"/>
            <w:vAlign w:val="bottom"/>
            <w:vMerge w:val="restart"/>
          </w:tcPr>
          <w:p>
            <w:pPr>
              <w:jc w:val="right"/>
              <w:ind w:right="219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Direct</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Assumed</w:t>
            </w: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Ceded</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425"/>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Written premiums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$ 38,129,117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(7,329,507)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$ 30,799,610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Change in unearned premiums</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3,789,478</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3,789,608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Earned premiums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$ 41,918,595</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(7,329,377)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$ 34,589,218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 exluding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effect of catastrophes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$ 23,155,733</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(823,856)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$ 22,331,877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Catastrophe loss</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$ 23,384,528</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(823,856)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$ 22,560,672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ratio excluding the effect of catastrophes</w:t>
            </w:r>
          </w:p>
        </w:tc>
        <w:tc>
          <w:tcPr>
            <w:tcW w:w="13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Catastrophe loss</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ratio</w:t>
            </w:r>
          </w:p>
        </w:tc>
        <w:tc>
          <w:tcPr>
            <w:tcW w:w="1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Written premiums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$ 36,696,929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(13,506,255)</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$ 23,190,674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unearned premiums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5,904,700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(2,153,924)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3,750,776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Earned premiums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$ 42,601,629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(15,660,179)</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$ 26,941,450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40"/>
              <w:spacing w:after="0" w:line="201" w:lineRule="exact"/>
              <w:rPr>
                <w:sz w:val="20"/>
                <w:szCs w:val="20"/>
                <w:color w:val="auto"/>
              </w:rPr>
            </w:pPr>
            <w:r>
              <w:rPr>
                <w:rFonts w:ascii="Arial" w:cs="Arial" w:eastAsia="Arial" w:hAnsi="Arial"/>
                <w:sz w:val="18"/>
                <w:szCs w:val="18"/>
                <w:color w:val="auto"/>
              </w:rPr>
              <w:t>Loss and loss adjustment expenses exluding</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300"/>
              <w:spacing w:after="0"/>
              <w:rPr>
                <w:sz w:val="20"/>
                <w:szCs w:val="20"/>
                <w:color w:val="auto"/>
              </w:rPr>
            </w:pPr>
            <w:r>
              <w:rPr>
                <w:rFonts w:ascii="Arial" w:cs="Arial" w:eastAsia="Arial" w:hAnsi="Arial"/>
                <w:sz w:val="18"/>
                <w:szCs w:val="18"/>
                <w:color w:val="auto"/>
              </w:rPr>
              <w:t>the effect of catastrophes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$ 21,971,351</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(5,783,990)</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$ 16,187,361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Catastrophe loss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281,368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(82,908)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$ 22,252,719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(5,866,898)</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$ 16,385,821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Loss ratio excluding the effect of catastrophes</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Catastrophe loss</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ectPr>
          <w:pgSz w:w="11900" w:h="16838" w:orient="portrait"/>
          <w:cols w:equalWidth="0" w:num="1">
            <w:col w:w="11240"/>
          </w:cols>
          <w:pgMar w:left="320" w:top="140" w:right="339" w:bottom="0" w:gutter="0" w:footer="0" w:header="0"/>
        </w:sectPr>
      </w:pPr>
    </w:p>
    <w:bookmarkStart w:id="32" w:name="page33"/>
    <w:bookmarkEnd w:id="32"/>
    <w:p>
      <w:pPr>
        <w:spacing w:after="0" w:line="7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30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8"/>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30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$ 34,589,218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26,941,450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880" w:type="dxa"/>
            <w:vAlign w:val="bottom"/>
            <w:gridSpan w:val="3"/>
          </w:tcPr>
          <w:p>
            <w:pPr>
              <w:jc w:val="right"/>
              <w:ind w:right="10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3,831,099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22,560,672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16,385,821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other underwriting expenses:</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Commission expense</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8,223,839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7,855,927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underwriting expenses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6,467,042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Total acquisition costs and other</w:t>
            </w:r>
          </w:p>
        </w:tc>
        <w:tc>
          <w:tcPr>
            <w:tcW w:w="178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underwriting expenses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14,690,881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14,617,719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Underwriting (loss) income</w:t>
            </w:r>
          </w:p>
        </w:tc>
        <w:tc>
          <w:tcPr>
            <w:tcW w:w="2880" w:type="dxa"/>
            <w:vAlign w:val="bottom"/>
            <w:gridSpan w:val="3"/>
          </w:tcPr>
          <w:p>
            <w:pPr>
              <w:jc w:val="right"/>
              <w:ind w:right="100"/>
              <w:spacing w:after="0"/>
              <w:rPr>
                <w:sz w:val="20"/>
                <w:szCs w:val="20"/>
                <w:color w:val="auto"/>
              </w:rPr>
            </w:pPr>
            <w:r>
              <w:rPr>
                <w:rFonts w:ascii="Arial" w:cs="Arial" w:eastAsia="Arial" w:hAnsi="Arial"/>
                <w:sz w:val="18"/>
                <w:szCs w:val="18"/>
                <w:color w:val="auto"/>
              </w:rPr>
              <w:t>$ (2,493,091)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Key Measures: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ratio excluding the effect of catastrophes</w:t>
            </w:r>
          </w:p>
        </w:tc>
        <w:tc>
          <w:tcPr>
            <w:tcW w:w="13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Effect of catastrophe loss on net loss ratio (1)</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r>
      <w:tr>
        <w:trPr>
          <w:trHeight w:val="209"/>
        </w:trPr>
        <w:tc>
          <w:tcPr>
            <w:tcW w:w="7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 excluding the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catastrophes</w:t>
            </w:r>
          </w:p>
        </w:tc>
        <w:tc>
          <w:tcPr>
            <w:tcW w:w="13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r>
      <w:tr>
        <w:trPr>
          <w:trHeight w:val="202"/>
        </w:trPr>
        <w:tc>
          <w:tcPr>
            <w:tcW w:w="7140" w:type="dxa"/>
            <w:vAlign w:val="bottom"/>
          </w:tcPr>
          <w:p>
            <w:pPr>
              <w:ind w:left="180"/>
              <w:spacing w:after="0" w:line="201" w:lineRule="exact"/>
              <w:rPr>
                <w:sz w:val="20"/>
                <w:szCs w:val="20"/>
                <w:color w:val="auto"/>
              </w:rPr>
            </w:pPr>
            <w:r>
              <w:rPr>
                <w:rFonts w:ascii="Arial" w:cs="Arial" w:eastAsia="Arial" w:hAnsi="Arial"/>
                <w:sz w:val="18"/>
                <w:szCs w:val="18"/>
                <w:color w:val="auto"/>
              </w:rPr>
              <w:t>Effect of catastrophe loss on net underwriting</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7140" w:type="dxa"/>
            <w:vAlign w:val="bottom"/>
          </w:tcPr>
          <w:p>
            <w:pPr>
              <w:ind w:left="360"/>
              <w:spacing w:after="0"/>
              <w:rPr>
                <w:sz w:val="20"/>
                <w:szCs w:val="20"/>
                <w:color w:val="auto"/>
              </w:rPr>
            </w:pPr>
            <w:r>
              <w:rPr>
                <w:rFonts w:ascii="Arial" w:cs="Arial" w:eastAsia="Arial" w:hAnsi="Arial"/>
                <w:sz w:val="18"/>
                <w:szCs w:val="18"/>
                <w:color w:val="auto"/>
              </w:rPr>
              <w:t>expense ratio</w:t>
            </w:r>
          </w:p>
        </w:tc>
        <w:tc>
          <w:tcPr>
            <w:tcW w:w="1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r>
      <w:tr>
        <w:trPr>
          <w:trHeight w:val="210"/>
        </w:trPr>
        <w:tc>
          <w:tcPr>
            <w:tcW w:w="7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combined ratio excluding the effect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catastrophes</w:t>
            </w:r>
          </w:p>
        </w:tc>
        <w:tc>
          <w:tcPr>
            <w:tcW w:w="13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99.2%</w:t>
            </w:r>
          </w:p>
        </w:tc>
      </w:tr>
      <w:tr>
        <w:trPr>
          <w:trHeight w:val="202"/>
        </w:trPr>
        <w:tc>
          <w:tcPr>
            <w:tcW w:w="7140" w:type="dxa"/>
            <w:vAlign w:val="bottom"/>
          </w:tcPr>
          <w:p>
            <w:pPr>
              <w:ind w:left="180"/>
              <w:spacing w:after="0" w:line="201" w:lineRule="exact"/>
              <w:rPr>
                <w:sz w:val="20"/>
                <w:szCs w:val="20"/>
                <w:color w:val="auto"/>
              </w:rPr>
            </w:pPr>
            <w:r>
              <w:rPr>
                <w:rFonts w:ascii="Arial" w:cs="Arial" w:eastAsia="Arial" w:hAnsi="Arial"/>
                <w:sz w:val="18"/>
                <w:szCs w:val="18"/>
                <w:color w:val="auto"/>
              </w:rPr>
              <w:t>Effect of catastrophe loss on net combined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7140" w:type="dxa"/>
            <w:vAlign w:val="bottom"/>
          </w:tcPr>
          <w:p>
            <w:pPr>
              <w:ind w:left="360"/>
              <w:spacing w:after="0"/>
              <w:rPr>
                <w:sz w:val="20"/>
                <w:szCs w:val="20"/>
                <w:color w:val="auto"/>
              </w:rPr>
            </w:pPr>
            <w:r>
              <w:rPr>
                <w:rFonts w:ascii="Arial" w:cs="Arial" w:eastAsia="Arial" w:hAnsi="Arial"/>
                <w:sz w:val="18"/>
                <w:szCs w:val="18"/>
                <w:color w:val="auto"/>
              </w:rPr>
              <w:t>ratio (1)</w:t>
            </w:r>
          </w:p>
        </w:tc>
        <w:tc>
          <w:tcPr>
            <w:tcW w:w="1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combined ratio</w:t>
            </w:r>
          </w:p>
        </w:tc>
        <w:tc>
          <w:tcPr>
            <w:tcW w:w="1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w:t>
            </w:r>
          </w:p>
        </w:tc>
      </w:tr>
      <w:tr>
        <w:trPr>
          <w:trHeight w:val="196"/>
        </w:trPr>
        <w:tc>
          <w:tcPr>
            <w:tcW w:w="7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Reconciliation of net underwriting expense ratio:</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7140" w:type="dxa"/>
            <w:vAlign w:val="bottom"/>
          </w:tcPr>
          <w:p>
            <w:pPr>
              <w:ind w:left="180"/>
              <w:spacing w:after="0" w:line="201" w:lineRule="exact"/>
              <w:rPr>
                <w:sz w:val="20"/>
                <w:szCs w:val="20"/>
                <w:color w:val="auto"/>
              </w:rPr>
            </w:pPr>
            <w:r>
              <w:rPr>
                <w:rFonts w:ascii="Arial" w:cs="Arial" w:eastAsia="Arial" w:hAnsi="Arial"/>
                <w:sz w:val="18"/>
                <w:szCs w:val="18"/>
                <w:color w:val="auto"/>
              </w:rPr>
              <w:t>Acquisition costs and other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7140" w:type="dxa"/>
            <w:vAlign w:val="bottom"/>
          </w:tcPr>
          <w:p>
            <w:pPr>
              <w:ind w:left="360"/>
              <w:spacing w:after="0"/>
              <w:rPr>
                <w:sz w:val="20"/>
                <w:szCs w:val="20"/>
                <w:color w:val="auto"/>
              </w:rPr>
            </w:pPr>
            <w:r>
              <w:rPr>
                <w:rFonts w:ascii="Arial" w:cs="Arial" w:eastAsia="Arial" w:hAnsi="Arial"/>
                <w:sz w:val="18"/>
                <w:szCs w:val="18"/>
                <w:color w:val="auto"/>
              </w:rPr>
              <w:t>underwriting expenses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$ 14,690,881</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$ 14,617,719</w:t>
            </w:r>
          </w:p>
        </w:tc>
        <w:tc>
          <w:tcPr>
            <w:tcW w:w="160" w:type="dxa"/>
            <w:vAlign w:val="bottom"/>
          </w:tcPr>
          <w:p>
            <w:pPr>
              <w:spacing w:after="0"/>
              <w:rPr>
                <w:sz w:val="20"/>
                <w:szCs w:val="20"/>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Ceding commission revenue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(3,831,099)</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Less: Other income</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(170,309)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(244,974)</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7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$ 14,521,637</w:t>
            </w:r>
          </w:p>
        </w:tc>
        <w:tc>
          <w:tcPr>
            <w:tcW w:w="26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$ 10,541,646</w:t>
            </w:r>
          </w:p>
        </w:tc>
        <w:tc>
          <w:tcPr>
            <w:tcW w:w="160" w:type="dxa"/>
            <w:vAlign w:val="bottom"/>
            <w:shd w:val="clear" w:color="auto" w:fill="CCEEFF"/>
          </w:tcPr>
          <w:p>
            <w:pPr>
              <w:spacing w:after="0"/>
              <w:rPr>
                <w:sz w:val="21"/>
                <w:szCs w:val="21"/>
                <w:color w:val="auto"/>
              </w:rPr>
            </w:pPr>
          </w:p>
        </w:tc>
      </w:tr>
      <w:tr>
        <w:trPr>
          <w:trHeight w:val="196"/>
        </w:trPr>
        <w:tc>
          <w:tcPr>
            <w:tcW w:w="7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earned premium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$ 34,589,218</w:t>
            </w:r>
          </w:p>
        </w:tc>
        <w:tc>
          <w:tcPr>
            <w:tcW w:w="260" w:type="dxa"/>
            <w:vAlign w:val="bottom"/>
            <w:tcBorders>
              <w:right w:val="single" w:sz="8" w:color="CCEEFF"/>
            </w:tcBorders>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$ 26,941,450</w:t>
            </w:r>
          </w:p>
        </w:tc>
        <w:tc>
          <w:tcPr>
            <w:tcW w:w="160" w:type="dxa"/>
            <w:vAlign w:val="bottom"/>
            <w:shd w:val="clear" w:color="auto" w:fill="CCEEFF"/>
          </w:tcPr>
          <w:p>
            <w:pPr>
              <w:spacing w:after="0"/>
              <w:rPr>
                <w:sz w:val="22"/>
                <w:szCs w:val="22"/>
                <w:color w:val="auto"/>
              </w:rPr>
            </w:pPr>
          </w:p>
        </w:tc>
      </w:tr>
      <w:tr>
        <w:trPr>
          <w:trHeight w:val="196"/>
        </w:trPr>
        <w:tc>
          <w:tcPr>
            <w:tcW w:w="7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10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60" w:right="44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three months ended March 31, 2021 and 2020, includes the sum of net catastrophe losses and loss adjustment expenses of $228,795 and $198,460,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estimated fair value, and unrealized gains and losses of our investments in fixed-maturity securities classified as available-for-sale as of March 31,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 2021</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407"/>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Gross Unrealized</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7"/>
              </w:rPr>
              <w:t>More</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5"/>
              </w:rPr>
              <w:t>Less than</w:t>
            </w: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than</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10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12</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U.S. Treasury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62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62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obligations of U.S. government</w:t>
      </w:r>
    </w:p>
    <w:p>
      <w:pPr>
        <w:sectPr>
          <w:pgSz w:w="11900" w:h="16909" w:orient="portrait"/>
          <w:cols w:equalWidth="0" w:num="1">
            <w:col w:w="11240"/>
          </w:cols>
          <w:pgMar w:left="320" w:top="337" w:right="3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2,014,895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2,034,680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8,606,088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173,655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8,693,236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104,774,373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7,791,664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112,487,968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23,904,337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566,540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(92,731)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24,369,921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92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139,299,693</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8,551,644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(172,801)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(92,731)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147,585,805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membership in the Federal Home Loan Bank of New York ("FHLBNY") (see Note 7 to the condensed consolidated financial statements). The eligible collateral would be pledged to FHLBNY if KICO draws an advance from the FHLBNY credit line. As of March 31, 2021, the estimated fair value of the eligible investments was approximately $10,962,000. KICO will retain all rights regarding all securities if pledged as collateral. As of March 31, 2021, there was no outstanding balance on the FHLBNY credit 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8"/>
                <w:szCs w:val="18"/>
                <w:b w:val="1"/>
                <w:bCs w:val="1"/>
                <w:color w:val="auto"/>
                <w:w w:val="98"/>
              </w:rPr>
              <w:t>December 31, 2020</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88"/>
              </w:rPr>
              <w:t>Gross Unrealized Losses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Amortized</w:t>
            </w:r>
          </w:p>
        </w:tc>
        <w:tc>
          <w:tcPr>
            <w:tcW w:w="112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1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Less than 12</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Gains</w:t>
            </w: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Months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Months</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128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3,020,710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29,190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3,049,900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5,287,561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355,541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5,643,102</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108,573,422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11,634,123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120,194,329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28,163,891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617,368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28,661,941</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0"/>
        </w:trPr>
        <w:tc>
          <w:tcPr>
            <w:tcW w:w="12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Total fixed-maturity securities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145,045,584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12,636,222</w:t>
            </w:r>
          </w:p>
        </w:tc>
        <w:tc>
          <w:tcPr>
            <w:tcW w:w="2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(20,587)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(111,947)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157,549,272</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KICO placed certain residential mortgage backed securities as eligible collateral in a designated custodian account related to its membership in the Federal Home Loan Bank of New York ("FHLBNY") (see Note 7 to the condensed consolidated financial statements). The eligible collateral would be pledged to FHLBNY if KICO draws an advance from the FHLBNY credit line. As of December 31, 2020, the estimated fair value of the eligible investments was approximately $11,391,000. KICO will retain all rights regarding all securities if pledged as collateral. As of December 31, 2020, there was no outstanding balance on the FHLBNY credit line.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and losses on, investments in equity securities as of March 31,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March 31, 2021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19,827,370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1,207,776</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(221,142)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20,814,004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mutual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12,823,973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1,810,617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(17,791)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14,616,799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32,651,343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3,018,393</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35,430,803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18,097,942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853,277</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(426,942)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18,524,277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mutual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14,473,224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1,820,512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(404,700)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15,889,036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32,571,166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2,673,789</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(831,642)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34,413,313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140" w:right="339" w:bottom="55"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on, our other investments as of March 31,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5"/>
              </w:rPr>
              <w:t>March 31, 2021</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191"/>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Gross</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425"/>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fund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$ 3,999,381</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$ 2,199,209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$ 6,198,590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$ 1,999,381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$ 3,368,626</w:t>
            </w:r>
          </w:p>
        </w:tc>
      </w:tr>
      <w:tr>
        <w:trPr>
          <w:trHeight w:val="216"/>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0"/>
        </w:trPr>
        <w:tc>
          <w:tcPr>
            <w:tcW w:w="4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$ 4,149,381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$ 2,199,209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$ 6,348,590</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$ 2,149,381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$ 3,518,626</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and estimated fair value of, and gross unrealized gains and losses on, investments in held-to-maturity securities as of March 31,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5"/>
        </w:trPr>
        <w:tc>
          <w:tcPr>
            <w:tcW w:w="1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5"/>
              </w:rPr>
              <w:t>Cost or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Gross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88"/>
              </w:rPr>
              <w:t>Gross Unrealized Losses</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12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w w:val="96"/>
              </w:rPr>
              <w:t>Unrealized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w w:val="97"/>
              </w:rPr>
              <w:t>Less than 12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Gains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Months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128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340" w:type="dxa"/>
            <w:vAlign w:val="bottom"/>
            <w:gridSpan w:val="4"/>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729,606</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210,129</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939,735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998,382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42,508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1,040,890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1,812,762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28,106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(5,897)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1,834,971</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2"/>
              </w:rPr>
              <w:t>5,640,036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242,695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(134,272)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5,748,459</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60.1%</w:t>
            </w:r>
          </w:p>
        </w:tc>
      </w:tr>
      <w:tr>
        <w:trPr>
          <w:trHeight w:val="210"/>
        </w:trPr>
        <w:tc>
          <w:tcPr>
            <w:tcW w:w="12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$ 9,180,786</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523,438</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(140,169)</w:t>
            </w:r>
          </w:p>
        </w:tc>
        <w:tc>
          <w:tcPr>
            <w:tcW w:w="1020" w:type="dxa"/>
            <w:vAlign w:val="bottom"/>
            <w:gridSpan w:val="3"/>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$ 9,564,055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371"/>
        </w:trPr>
        <w:tc>
          <w:tcPr>
            <w:tcW w:w="448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w w:val="98"/>
              </w:rPr>
              <w:t>December 31, 2020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5"/>
        </w:trPr>
        <w:tc>
          <w:tcPr>
            <w:tcW w:w="1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4"/>
          </w:tcPr>
          <w:p>
            <w:pPr>
              <w:ind w:left="20"/>
              <w:spacing w:after="0"/>
              <w:rPr>
                <w:sz w:val="20"/>
                <w:szCs w:val="20"/>
                <w:color w:val="auto"/>
              </w:rPr>
            </w:pPr>
            <w:r>
              <w:rPr>
                <w:rFonts w:ascii="Arial" w:cs="Arial" w:eastAsia="Arial" w:hAnsi="Arial"/>
                <w:sz w:val="18"/>
                <w:szCs w:val="18"/>
                <w:b w:val="1"/>
                <w:bCs w:val="1"/>
                <w:color w:val="auto"/>
              </w:rPr>
              <w:t>Cost or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89"/>
              </w:rPr>
              <w:t>Gross Unrealized Losses</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12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6"/>
          </w:tcPr>
          <w:p>
            <w:pPr>
              <w:jc w:val="right"/>
              <w:ind w:right="140"/>
              <w:spacing w:after="0" w:line="191" w:lineRule="exact"/>
              <w:rPr>
                <w:sz w:val="20"/>
                <w:szCs w:val="20"/>
                <w:color w:val="auto"/>
              </w:rPr>
            </w:pPr>
            <w:r>
              <w:rPr>
                <w:rFonts w:ascii="Arial" w:cs="Arial" w:eastAsia="Arial" w:hAnsi="Arial"/>
                <w:sz w:val="18"/>
                <w:szCs w:val="18"/>
                <w:b w:val="1"/>
                <w:bCs w:val="1"/>
                <w:color w:val="auto"/>
                <w:w w:val="95"/>
              </w:rPr>
              <w:t>Amortized</w:t>
            </w:r>
          </w:p>
        </w:tc>
        <w:tc>
          <w:tcPr>
            <w:tcW w:w="80" w:type="dxa"/>
            <w:vAlign w:val="bottom"/>
          </w:tcPr>
          <w:p>
            <w:pPr>
              <w:spacing w:after="0"/>
              <w:rPr>
                <w:sz w:val="16"/>
                <w:szCs w:val="16"/>
                <w:color w:val="auto"/>
              </w:rPr>
            </w:pPr>
          </w:p>
        </w:tc>
        <w:tc>
          <w:tcPr>
            <w:tcW w:w="1020" w:type="dxa"/>
            <w:vAlign w:val="bottom"/>
            <w:gridSpan w:val="5"/>
          </w:tcPr>
          <w:p>
            <w:pPr>
              <w:jc w:val="right"/>
              <w:ind w:right="140"/>
              <w:spacing w:after="0" w:line="191" w:lineRule="exact"/>
              <w:rPr>
                <w:sz w:val="20"/>
                <w:szCs w:val="20"/>
                <w:color w:val="auto"/>
              </w:rPr>
            </w:pPr>
            <w:r>
              <w:rPr>
                <w:rFonts w:ascii="Arial" w:cs="Arial" w:eastAsia="Arial" w:hAnsi="Arial"/>
                <w:sz w:val="18"/>
                <w:szCs w:val="18"/>
                <w:b w:val="1"/>
                <w:bCs w:val="1"/>
                <w:color w:val="auto"/>
                <w:w w:val="94"/>
              </w:rPr>
              <w:t>Unrealized</w:t>
            </w:r>
          </w:p>
        </w:tc>
        <w:tc>
          <w:tcPr>
            <w:tcW w:w="60" w:type="dxa"/>
            <w:vAlign w:val="bottom"/>
          </w:tcPr>
          <w:p>
            <w:pPr>
              <w:spacing w:after="0"/>
              <w:rPr>
                <w:sz w:val="16"/>
                <w:szCs w:val="16"/>
                <w:color w:val="auto"/>
              </w:rPr>
            </w:pPr>
          </w:p>
        </w:tc>
        <w:tc>
          <w:tcPr>
            <w:tcW w:w="1160" w:type="dxa"/>
            <w:vAlign w:val="bottom"/>
            <w:gridSpan w:val="5"/>
          </w:tcPr>
          <w:p>
            <w:pPr>
              <w:jc w:val="right"/>
              <w:ind w:right="160"/>
              <w:spacing w:after="0" w:line="191" w:lineRule="exact"/>
              <w:rPr>
                <w:sz w:val="20"/>
                <w:szCs w:val="20"/>
                <w:color w:val="auto"/>
              </w:rPr>
            </w:pPr>
            <w:r>
              <w:rPr>
                <w:rFonts w:ascii="Arial" w:cs="Arial" w:eastAsia="Arial" w:hAnsi="Arial"/>
                <w:sz w:val="18"/>
                <w:szCs w:val="18"/>
                <w:b w:val="1"/>
                <w:bCs w:val="1"/>
                <w:color w:val="auto"/>
                <w:w w:val="89"/>
              </w:rPr>
              <w:t>Less than 12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80"/>
              <w:spacing w:after="0" w:line="191" w:lineRule="exact"/>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84"/>
              </w:rPr>
              <w:t>Cost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Gains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Months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128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729,595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319,714</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$ 1,049,309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998,428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1,049,345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5,640,792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455,378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6,096,170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74.4%</w:t>
            </w:r>
          </w:p>
        </w:tc>
      </w:tr>
      <w:tr>
        <w:trPr>
          <w:trHeight w:val="210"/>
        </w:trPr>
        <w:tc>
          <w:tcPr>
            <w:tcW w:w="12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gridSpan w:val="4"/>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w w:val="98"/>
              </w:rPr>
              <w:t>$ 7,368,815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826,009</w:t>
            </w:r>
          </w:p>
        </w:tc>
        <w:tc>
          <w:tcPr>
            <w:tcW w:w="80" w:type="dxa"/>
            <w:vAlign w:val="bottom"/>
          </w:tcPr>
          <w:p>
            <w:pPr>
              <w:spacing w:after="0"/>
              <w:rPr>
                <w:sz w:val="18"/>
                <w:szCs w:val="18"/>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$ 8,194,824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fair value of our investments in held-to-maturity securities by contractual maturity as of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24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December 31, 2020</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4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500,639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512,985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125" w:right="339" w:bottom="0" w:gutter="0" w:footer="0" w:header="0"/>
        </w:sectPr>
      </w:pPr>
    </w:p>
    <w:bookmarkStart w:id="35" w:name="page36"/>
    <w:bookmarkEnd w:id="3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2,098,011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2,244,083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2,598,193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2,777,936</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1,505,366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1,639,444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1,502,603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1,727,316</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5,076,770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5,167,543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3,268,019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3,689,572</w:t>
            </w:r>
          </w:p>
        </w:tc>
      </w:tr>
      <w:tr>
        <w:trPr>
          <w:trHeight w:val="20"/>
        </w:trPr>
        <w:tc>
          <w:tcPr>
            <w:tcW w:w="1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9,180,786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9,564,055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7,368,815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8,194,824</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2600" w:type="dxa"/>
            <w:vAlign w:val="bottom"/>
            <w:tcBorders>
              <w:top w:val="single" w:sz="8" w:color="CCEEFF"/>
              <w:bottom w:val="single" w:sz="8" w:color="auto"/>
            </w:tcBorders>
          </w:tcPr>
          <w:p>
            <w:pPr>
              <w:jc w:val="right"/>
              <w:ind w:right="250"/>
              <w:spacing w:after="0"/>
              <w:rPr>
                <w:sz w:val="20"/>
                <w:szCs w:val="20"/>
                <w:color w:val="auto"/>
              </w:rPr>
            </w:pPr>
            <w:r>
              <w:rPr>
                <w:rFonts w:ascii="Arial" w:cs="Arial" w:eastAsia="Arial" w:hAnsi="Arial"/>
                <w:sz w:val="18"/>
                <w:szCs w:val="18"/>
                <w:color w:val="auto"/>
              </w:rPr>
              <w:t>52</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2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March 31, 2021 and December 31, 2020 as rated by Standard &amp; Poor’s (or, if unavailable from Standard &amp; Poor’s, then Moody’s or Fitch):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Pr>
          <w:p>
            <w:pPr>
              <w:spacing w:after="0"/>
              <w:rPr>
                <w:sz w:val="20"/>
                <w:szCs w:val="20"/>
                <w:color w:val="auto"/>
              </w:rPr>
            </w:pPr>
          </w:p>
        </w:tc>
        <w:tc>
          <w:tcPr>
            <w:tcW w:w="25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Fair Market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Fair Market</w:t>
            </w:r>
          </w:p>
        </w:tc>
        <w:tc>
          <w:tcPr>
            <w:tcW w:w="1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Fair Market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Fair Market</w:t>
            </w:r>
          </w:p>
        </w:tc>
      </w:tr>
      <w:tr>
        <w:trPr>
          <w:trHeight w:val="234"/>
        </w:trPr>
        <w:tc>
          <w:tcPr>
            <w:tcW w:w="5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r>
      <w:tr>
        <w:trPr>
          <w:trHeight w:val="425"/>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Rating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2,034,680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3,049,900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AAA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2,455,660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1,453,924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5,675,825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3,572,164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23,310,110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23,989,619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88,743,195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95,814,824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Non rated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996,415</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1,006,901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corporate and municipal bonds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121,181,205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125,837,432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AAA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2,000,079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5,467,075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18,227,333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18,865,749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2,463,278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2,451,635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47,719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CCC</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889,007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960,042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60,710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62,029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64,944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Non rated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616,850</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670,829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residential mortgage backed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24,369,920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28,661,940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147,585,805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157,549,272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average yield by type of fixed-maturity security as of March 31,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March 31,</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December</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gridSpan w:val="2"/>
          </w:tcPr>
          <w:p>
            <w:pPr>
              <w:ind w:left="860"/>
              <w:spacing w:after="0"/>
              <w:rPr>
                <w:sz w:val="20"/>
                <w:szCs w:val="20"/>
                <w:color w:val="auto"/>
              </w:rPr>
            </w:pPr>
            <w:r>
              <w:rPr>
                <w:rFonts w:ascii="Arial" w:cs="Arial" w:eastAsia="Arial" w:hAnsi="Arial"/>
                <w:sz w:val="18"/>
                <w:szCs w:val="18"/>
                <w:b w:val="1"/>
                <w:bCs w:val="1"/>
                <w:color w:val="auto"/>
              </w:rPr>
              <w:t>Category</w:t>
            </w:r>
          </w:p>
        </w:tc>
        <w:tc>
          <w:tcPr>
            <w:tcW w:w="44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31, 2020</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3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34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4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4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34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4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4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0.76%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4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lists the weighted average maturity and effective duration in years on our fixed-maturity securities as of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83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31, 2020</w:t>
            </w:r>
          </w:p>
        </w:tc>
        <w:tc>
          <w:tcPr>
            <w:tcW w:w="100" w:type="dxa"/>
            <w:vAlign w:val="bottom"/>
          </w:tcPr>
          <w:p>
            <w:pPr>
              <w:spacing w:after="0"/>
              <w:rPr>
                <w:sz w:val="20"/>
                <w:szCs w:val="20"/>
                <w:color w:val="auto"/>
              </w:rPr>
            </w:pPr>
          </w:p>
        </w:tc>
      </w:tr>
      <w:tr>
        <w:trPr>
          <w:trHeight w:val="138"/>
        </w:trPr>
        <w:tc>
          <w:tcPr>
            <w:tcW w:w="7360" w:type="dxa"/>
            <w:vAlign w:val="bottom"/>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240"/>
          </w:cols>
          <w:pgMar w:left="320" w:top="125" w:right="339" w:bottom="0" w:gutter="0" w:footer="0" w:header="0"/>
        </w:sectPr>
      </w:pPr>
    </w:p>
    <w:bookmarkStart w:id="36" w:name="page37"/>
    <w:bookmarkEnd w:id="36"/>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3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5.2</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3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6.6</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3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4.7</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2021 and December 31, 2020, 81% of the investment portfolio recorded at fair value was priced based upon quoted market prices.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March 31, 2021 and December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220"/>
              <w:spacing w:after="0"/>
              <w:rPr>
                <w:sz w:val="20"/>
                <w:szCs w:val="20"/>
                <w:color w:val="auto"/>
              </w:rPr>
            </w:pPr>
            <w:r>
              <w:rPr>
                <w:rFonts w:ascii="Arial" w:cs="Arial" w:eastAsia="Arial" w:hAnsi="Arial"/>
                <w:sz w:val="18"/>
                <w:szCs w:val="18"/>
                <w:b w:val="1"/>
                <w:bCs w:val="1"/>
                <w:color w:val="auto"/>
              </w:rPr>
              <w:t>March 31, 2021</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9"/>
          </w:tcPr>
          <w:p>
            <w:pPr>
              <w:ind w:left="52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8"/>
          </w:tcPr>
          <w:p>
            <w:pPr>
              <w:ind w:left="58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ind w:left="64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auto"/>
            </w:tcBorders>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425"/>
        </w:trPr>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agencies</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4,236,366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(86,507)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4,236,366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(86,507)</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4,991,204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(78,069)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4,991,204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(78,069)</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3,512,982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3,477,111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(92,731)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6,990,093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(100,956)</w:t>
            </w:r>
          </w:p>
        </w:tc>
      </w:tr>
      <w:tr>
        <w:trPr>
          <w:trHeight w:val="209"/>
        </w:trPr>
        <w:tc>
          <w:tcPr>
            <w:tcW w:w="1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11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12,740,552</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(172,801)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6"/>
              </w:rPr>
              <w:t>$ 3,477,111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(92,731)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16,217,663</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(265,532)</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284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December 31, 2020</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9"/>
          </w:tcPr>
          <w:p>
            <w:pPr>
              <w:ind w:left="54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8"/>
          </w:tcPr>
          <w:p>
            <w:pPr>
              <w:ind w:left="58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ind w:left="64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top w:val="single" w:sz="8" w:color="auto"/>
            </w:tcBorders>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425"/>
        </w:trPr>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government corporations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agencies</w:t>
            </w:r>
          </w:p>
        </w:tc>
        <w:tc>
          <w:tcPr>
            <w:tcW w:w="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1,006,901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1,006,901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37" w:name="page38"/>
    <w:bookmarkEnd w:id="37"/>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6,137,522</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(7,371)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3,735,732</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(111,947)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9,873,254</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(119,318)</w:t>
            </w:r>
          </w:p>
        </w:tc>
      </w:tr>
      <w:tr>
        <w:trPr>
          <w:trHeight w:val="209"/>
        </w:trPr>
        <w:tc>
          <w:tcPr>
            <w:tcW w:w="1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$ 7,144,423</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(20,587)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$ 3,735,732</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(111,947)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10,880,155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(132,534)</w:t>
            </w: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were 20 securities at March 31, 2021 that accounted for the gross unrealized loss of our fixed-maturity securities available-for-sale, none of which were deemed by us to be other than temporarily impaired. There were 16 securities at December 31, 2020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2021, the primary source of cash flow for our holding company was the dividends received from KICO, subject to statutory restrictions. For the three months ended March 31, 2021, KICO paid dividends of $1,000,000 to us.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condensed consolidated financial statements – Investments, for eligible collateral held in a designated custodian account available for future advances. Advances are limited to 5% of KICO’s net admitted assets as of the end of the previous quarter, which is December 31, 2020, and are due and payable within 90 days of borrowing. The maximum allowable advance as of March 31, 2021, based on the net admitted assets as of December 31, 2020, was approximately $12,751,000. Advances are limited to 85% of the amount of available collateral, which was approximately $9,318,000 as of March 31, 2021. There were no borrowings under this facility during the three months ended March 31, 2021.</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March 31, 2021, invested assets and cash in our holding company totaled approximately $3,555,000. If the aforementioned sources of cash flow currently available are insufficient to cover our holding company cash requirements, we will seek to obtain additional financing.</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Arial" w:cs="Arial" w:eastAsia="Arial" w:hAnsi="Arial"/>
                <w:sz w:val="18"/>
                <w:szCs w:val="18"/>
                <w:i w:val="1"/>
                <w:iCs w:val="1"/>
                <w:color w:val="auto"/>
              </w:rPr>
              <w:t>Three Months Ended March 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1,392,800</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$(15,256,414)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1,963,156</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9,458,356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(639,738)</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(1,006,638)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2,716,218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(6,804,696)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19,463,742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32,391,485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22,179,960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$ 25,586,789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$1,393,000 in Three Months 2021 as compared to $15,256,000 used in operating activities in Three Months 2020. The $16,649,000 increase in cash flows provided by operating activities in Three Months 2021 was primarily the result of an increase in cash arising from net fluctuations in assets and liabilities, partially offset by a decrease in net loss (adjusted for non-cash items) of $4,709,000. The net fluctuations in assets and liabilities are related to operating activities of KICO as affected by growth or declines in its operations, payments on claims and other changes, which are described above.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investing activities was $1,963,000 in Three Months 2021 compared to $9,458,000 provided by investing activities in Three Months 2020. The $7,495,000 decrease in net cash provided by investing activities was the result of an $8,803,000 increase in the acquisition of invested assets, partially offset by a $1,909,000 increase in disposals of invested assets in Three Months 2021.</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cash used in financing activities was $640,000 in Three Months 2021 compared to $1,007,000 used in Three Months 2020. The $367,000 decrease in net cash used in financing activities was attributable to a $249,000 reduction in dividends paid and a $177,000 decrease in purchases of treasury</w:t>
      </w:r>
    </w:p>
    <w:p>
      <w:pPr>
        <w:sectPr>
          <w:pgSz w:w="11900" w:h="16969" w:orient="portrait"/>
          <w:cols w:equalWidth="0" w:num="1">
            <w:col w:w="11240"/>
          </w:cols>
          <w:pgMar w:left="320" w:top="140" w:right="339" w:bottom="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stock in Three Months 2021 compared to Three Months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 In addition to the 2019/2020 Treaty, our personal lines quota share reinsurance treaty in effect for Three Months 2020 also included the run-off of the personal lines quota share treaty (“2018/2019 Treaty”) that expired on June 30, 2019. The run-off covered the period from July 1, 2019 through June 30, 2020 (“2019/2020 Run-off”). Material terms for our reinsurance treaties in effect for the treaty years shown below are as follows: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3"/>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Treaty Year</w:t>
            </w: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December 15,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to</w:t>
            </w: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December 30,</w:t>
            </w:r>
          </w:p>
        </w:tc>
      </w:tr>
      <w:tr>
        <w:trPr>
          <w:trHeight w:val="234"/>
        </w:trPr>
        <w:tc>
          <w:tcPr>
            <w:tcW w:w="6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5"/>
        </w:trPr>
        <w:tc>
          <w:tcPr>
            <w:tcW w:w="626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260" w:type="dxa"/>
            <w:vAlign w:val="bottom"/>
            <w:gridSpan w:val="3"/>
          </w:tcPr>
          <w:p>
            <w:pPr>
              <w:spacing w:after="0"/>
              <w:rPr>
                <w:sz w:val="20"/>
                <w:szCs w:val="20"/>
                <w:color w:val="auto"/>
              </w:rPr>
            </w:pPr>
            <w:r>
              <w:rPr>
                <w:rFonts w:ascii="Arial" w:cs="Arial" w:eastAsia="Arial" w:hAnsi="Arial"/>
                <w:sz w:val="18"/>
                <w:szCs w:val="18"/>
                <w:color w:val="auto"/>
              </w:rPr>
              <w:t>Homeowners, dwelling fire and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260" w:type="dxa"/>
            <w:vAlign w:val="bottom"/>
            <w:gridSpan w:val="3"/>
          </w:tcPr>
          <w:p>
            <w:pPr>
              <w:ind w:left="160"/>
              <w:spacing w:after="0"/>
              <w:rPr>
                <w:sz w:val="20"/>
                <w:szCs w:val="20"/>
                <w:color w:val="auto"/>
              </w:rPr>
            </w:pPr>
            <w:r>
              <w:rPr>
                <w:rFonts w:ascii="Arial" w:cs="Arial" w:eastAsia="Arial" w:hAnsi="Arial"/>
                <w:sz w:val="18"/>
                <w:szCs w:val="18"/>
                <w:color w:val="auto"/>
              </w:rPr>
              <w:t>and canine legal liability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60" w:type="dxa"/>
            <w:vAlign w:val="bottom"/>
            <w:gridSpan w:val="3"/>
          </w:tcPr>
          <w:p>
            <w:pPr>
              <w:ind w:left="20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Percent ceded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432"/>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1"/>
              </w:rPr>
              <w:t>Treaty Year</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December 15,</w:t>
            </w:r>
          </w:p>
        </w:tc>
        <w:tc>
          <w:tcPr>
            <w:tcW w:w="100" w:type="dxa"/>
            <w:vAlign w:val="bottom"/>
          </w:tcPr>
          <w:p>
            <w:pPr>
              <w:spacing w:after="0"/>
              <w:rPr>
                <w:sz w:val="16"/>
                <w:szCs w:val="16"/>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July 1, 2020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16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2"/>
              </w:rPr>
              <w:t>to</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2"/>
              </w:rPr>
              <w:t>to</w:t>
            </w: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June 30, 2020</w:t>
            </w:r>
          </w:p>
        </w:tc>
      </w:tr>
      <w:tr>
        <w:trPr>
          <w:trHeight w:val="385"/>
        </w:trPr>
        <w:tc>
          <w:tcPr>
            <w:tcW w:w="6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260" w:type="dxa"/>
            <w:vAlign w:val="bottom"/>
            <w:gridSpan w:val="3"/>
          </w:tcPr>
          <w:p>
            <w:pPr>
              <w:spacing w:after="0"/>
              <w:rPr>
                <w:sz w:val="20"/>
                <w:szCs w:val="20"/>
                <w:color w:val="auto"/>
              </w:rPr>
            </w:pPr>
            <w:r>
              <w:rPr>
                <w:rFonts w:ascii="Arial" w:cs="Arial" w:eastAsia="Arial" w:hAnsi="Arial"/>
                <w:sz w:val="18"/>
                <w:szCs w:val="18"/>
                <w:color w:val="auto"/>
              </w:rPr>
              <w:t>Homeowners, dwelling fire and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260" w:type="dxa"/>
            <w:vAlign w:val="bottom"/>
            <w:gridSpan w:val="3"/>
          </w:tcPr>
          <w:p>
            <w:pPr>
              <w:ind w:left="160"/>
              <w:spacing w:after="0"/>
              <w:rPr>
                <w:sz w:val="20"/>
                <w:szCs w:val="20"/>
                <w:color w:val="auto"/>
              </w:rPr>
            </w:pPr>
            <w:r>
              <w:rPr>
                <w:rFonts w:ascii="Arial" w:cs="Arial" w:eastAsia="Arial" w:hAnsi="Arial"/>
                <w:sz w:val="18"/>
                <w:szCs w:val="18"/>
                <w:color w:val="auto"/>
              </w:rPr>
              <w:t>and canine legal liability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60" w:type="dxa"/>
            <w:vAlign w:val="bottom"/>
            <w:gridSpan w:val="3"/>
          </w:tcPr>
          <w:p>
            <w:pPr>
              <w:ind w:left="20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Risk retained on intial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$1,000,000 of losses (6)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02"/>
        </w:trPr>
        <w:tc>
          <w:tcPr>
            <w:tcW w:w="62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to quota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reinsurance coverage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None (6)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62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6"/>
              </w:rPr>
              <w:t>NA (6)</w:t>
            </w:r>
          </w:p>
        </w:tc>
        <w:tc>
          <w:tcPr>
            <w:tcW w:w="162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30, 2020</w:t>
            </w:r>
          </w:p>
        </w:tc>
        <w:tc>
          <w:tcPr>
            <w:tcW w:w="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9"/>
              </w:rPr>
              <w:t>December 30, 2020</w:t>
            </w:r>
          </w:p>
        </w:tc>
      </w:tr>
      <w:tr>
        <w:trPr>
          <w:trHeight w:val="202"/>
        </w:trPr>
        <w:tc>
          <w:tcPr>
            <w:tcW w:w="62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Excess of loss coverage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facultative facility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coverage (1)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8,000,000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9,000,000</w:t>
            </w: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 excess of</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0"/>
              </w:rPr>
              <w:t>in excess of</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in excess of</w:t>
            </w: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6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reinsurance coverage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 occurrence (6)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8,250,000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9,250,000</w:t>
            </w:r>
          </w:p>
        </w:tc>
      </w:tr>
      <w:tr>
        <w:trPr>
          <w:trHeight w:val="202"/>
        </w:trPr>
        <w:tc>
          <w:tcPr>
            <w:tcW w:w="62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to reinsurance coverage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9,000,000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10,000,000</w:t>
            </w:r>
          </w:p>
        </w:tc>
      </w:tr>
      <w:tr>
        <w:trPr>
          <w:trHeight w:val="216"/>
        </w:trPr>
        <w:tc>
          <w:tcPr>
            <w:tcW w:w="62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Expiration date (6)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June 30, 2021</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June 30, 2021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June 30, 2020</w:t>
            </w: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Catastrophe Reinsurance: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2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Initial loss subject to personal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lines quota share treaty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None (6)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7,500,000</w:t>
            </w:r>
          </w:p>
        </w:tc>
      </w:tr>
      <w:tr>
        <w:trPr>
          <w:trHeight w:val="216"/>
        </w:trPr>
        <w:tc>
          <w:tcPr>
            <w:tcW w:w="6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Risk retained per catastrophe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occurrence (2) (6)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8,125,000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5,625,000</w:t>
            </w:r>
          </w:p>
        </w:tc>
      </w:tr>
      <w:tr>
        <w:trPr>
          <w:trHeight w:val="202"/>
        </w:trPr>
        <w:tc>
          <w:tcPr>
            <w:tcW w:w="62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Catastrophe loss coverage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60" w:type="dxa"/>
            <w:vAlign w:val="bottom"/>
            <w:gridSpan w:val="3"/>
          </w:tcPr>
          <w:p>
            <w:pPr>
              <w:ind w:left="340"/>
              <w:spacing w:after="0"/>
              <w:rPr>
                <w:sz w:val="20"/>
                <w:szCs w:val="20"/>
                <w:color w:val="auto"/>
              </w:rPr>
            </w:pPr>
            <w:r>
              <w:rPr>
                <w:rFonts w:ascii="Arial" w:cs="Arial" w:eastAsia="Arial" w:hAnsi="Arial"/>
                <w:sz w:val="18"/>
                <w:szCs w:val="18"/>
                <w:color w:val="auto"/>
              </w:rPr>
              <w:t>quota share coverage (3) (6)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475,000,000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475,000,000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602,500,000</w:t>
            </w:r>
          </w:p>
        </w:tc>
      </w:tr>
      <w:tr>
        <w:trPr>
          <w:trHeight w:val="216"/>
        </w:trPr>
        <w:tc>
          <w:tcPr>
            <w:tcW w:w="6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Reinstatement premium</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protection (4) (5)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3"/>
              </w:rPr>
              <w:t>Yes</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3"/>
              </w:rPr>
              <w:t>Yes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3"/>
              </w:rPr>
              <w:t>Yes</w:t>
            </w:r>
          </w:p>
        </w:tc>
      </w:tr>
    </w:tbl>
    <w:p>
      <w:pPr>
        <w:spacing w:after="0" w:line="202" w:lineRule="exact"/>
        <w:rPr>
          <w:sz w:val="20"/>
          <w:szCs w:val="20"/>
          <w:color w:val="auto"/>
        </w:rPr>
      </w:pPr>
    </w:p>
    <w:p>
      <w:pPr>
        <w:ind w:left="460" w:right="2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Plus losses in excess of catastrophe coverage. For the period July 1, 2020 through December 30, 2020, there was no reinsurance coverage for the $2,500,000 gap between quota share limit of $7,500,000 and first $10,000,000 layer of catastrophe coverage (see note (6) below).</w:t>
      </w: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period July 1, 2019 through June 30, 2020, reinstatement premium protection for $292,500,000 of catastrophe coverage in excess of $7,500,000.</w:t>
      </w: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the period July 1, 2020 through June 30, 2021, reinstatement premium protection for $70,000,000 of catastrophe coverage in excess of</w:t>
      </w:r>
    </w:p>
    <w:p>
      <w:pPr>
        <w:sectPr>
          <w:pgSz w:w="11900" w:h="16838" w:orient="portrait"/>
          <w:cols w:equalWidth="0" w:num="1">
            <w:col w:w="11240"/>
          </w:cols>
          <w:pgMar w:left="320" w:top="125" w:right="339" w:bottom="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t>$10,000,000.</w:t>
      </w:r>
    </w:p>
    <w:p>
      <w:pPr>
        <w:spacing w:after="0" w:line="23" w:lineRule="exact"/>
        <w:rPr>
          <w:sz w:val="20"/>
          <w:szCs w:val="20"/>
          <w:color w:val="auto"/>
        </w:rPr>
      </w:pPr>
    </w:p>
    <w:p>
      <w:pPr>
        <w:ind w:left="460" w:hanging="452"/>
        <w:spacing w:after="0" w:line="26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June 30, 2021 is only for excess of loss and catastrophe reinsurance.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Treaty Year</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July 1, 2020</w:t>
            </w:r>
          </w:p>
        </w:tc>
        <w:tc>
          <w:tcPr>
            <w:tcW w:w="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0"/>
              </w:rPr>
              <w:t>July 1, 2019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71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7140" w:type="dxa"/>
            <w:vAlign w:val="bottom"/>
            <w:gridSpan w:val="5"/>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60" w:type="dxa"/>
            <w:vAlign w:val="bottom"/>
          </w:tcPr>
          <w:p>
            <w:pPr>
              <w:spacing w:after="0"/>
              <w:rPr>
                <w:sz w:val="24"/>
                <w:szCs w:val="24"/>
                <w:color w:val="auto"/>
              </w:rPr>
            </w:pPr>
          </w:p>
        </w:tc>
        <w:tc>
          <w:tcPr>
            <w:tcW w:w="7140" w:type="dxa"/>
            <w:vAlign w:val="bottom"/>
            <w:gridSpan w:val="5"/>
          </w:tcPr>
          <w:p>
            <w:pPr>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4"/>
          </w:tcPr>
          <w:p>
            <w:pPr>
              <w:ind w:left="1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Percent ceded - excess of $1,000,000 of coverage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 retained</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Total reinsurance coverage per occurrence</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4,700,000</w:t>
            </w:r>
          </w:p>
        </w:tc>
        <w:tc>
          <w:tcPr>
            <w:tcW w:w="2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gridSpan w:val="4"/>
          </w:tcPr>
          <w:p>
            <w:pPr>
              <w:ind w:left="120"/>
              <w:spacing w:after="0" w:line="201" w:lineRule="exact"/>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June 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7120" w:type="dxa"/>
            <w:vAlign w:val="bottom"/>
            <w:gridSpan w:val="4"/>
          </w:tcPr>
          <w:p>
            <w:pPr>
              <w:spacing w:after="0" w:line="176" w:lineRule="exact"/>
              <w:rPr>
                <w:sz w:val="20"/>
                <w:szCs w:val="20"/>
                <w:color w:val="auto"/>
              </w:rPr>
            </w:pPr>
            <w:r>
              <w:rPr>
                <w:rFonts w:ascii="Arial" w:cs="Arial" w:eastAsia="Arial" w:hAnsi="Arial"/>
                <w:sz w:val="18"/>
                <w:szCs w:val="18"/>
                <w:color w:val="auto"/>
              </w:rPr>
              <w:t>Commercial Lines: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liability commercial policies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20" w:type="dxa"/>
            <w:vAlign w:val="bottom"/>
            <w:gridSpan w:val="4"/>
          </w:tcPr>
          <w:p>
            <w:pPr>
              <w:ind w:left="1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Risk retained</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20" w:type="dxa"/>
            <w:vAlign w:val="bottom"/>
            <w:gridSpan w:val="4"/>
          </w:tcPr>
          <w:p>
            <w:pPr>
              <w:ind w:left="120"/>
              <w:spacing w:after="0"/>
              <w:rPr>
                <w:sz w:val="20"/>
                <w:szCs w:val="20"/>
                <w:color w:val="auto"/>
              </w:rPr>
            </w:pPr>
            <w:r>
              <w:rPr>
                <w:rFonts w:ascii="Arial" w:cs="Arial" w:eastAsia="Arial" w:hAnsi="Arial"/>
                <w:sz w:val="18"/>
                <w:szCs w:val="18"/>
                <w:color w:val="auto"/>
              </w:rPr>
              <w:t>Excess of loss coverage above risk retained</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3,750,000</w:t>
            </w:r>
          </w:p>
        </w:tc>
        <w:tc>
          <w:tcPr>
            <w:tcW w:w="2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in excess of</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in excess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Total reinsurance coverage per occurrence</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20" w:type="dxa"/>
            <w:vAlign w:val="bottom"/>
            <w:gridSpan w:val="4"/>
          </w:tcPr>
          <w:p>
            <w:pPr>
              <w:ind w:left="120"/>
              <w:spacing w:after="0"/>
              <w:rPr>
                <w:sz w:val="20"/>
                <w:szCs w:val="20"/>
                <w:color w:val="auto"/>
              </w:rPr>
            </w:pPr>
            <w:r>
              <w:rPr>
                <w:rFonts w:ascii="Arial" w:cs="Arial" w:eastAsia="Arial" w:hAnsi="Arial"/>
                <w:sz w:val="18"/>
                <w:szCs w:val="18"/>
                <w:color w:val="auto"/>
              </w:rPr>
              <w:t>Losses per occurrence subject to reinsurance coverage</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4,500,000</w:t>
            </w:r>
          </w:p>
        </w:tc>
        <w:tc>
          <w:tcPr>
            <w:tcW w:w="2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Commercial Umbrella</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Quota share treaty: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07"/>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The impacts of COVID-19 and related economic conditions on our results are highly uncertain and outside our control. The scope, duration and magnitude of the direct and indirect effects of COVID-19 are evolving rapidly and in ways that are difficult or impossible to anticipate. The impact of COVID-19 on our results for the period ended March 31, 2021 may not be indicative of its impact on our results for the remainder of 2021. For additional information on the risks posed by COVID-19, see “The impact of COVID-19 and related risks could materially affect our results of operations, financial position and/or liquidity” included in Part II, Item 1A— “Risk Factors” in this Quarterly Report.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07"/>
        <w:spacing w:after="0" w:line="291" w:lineRule="auto"/>
        <w:rPr>
          <w:sz w:val="20"/>
          <w:szCs w:val="20"/>
          <w:color w:val="auto"/>
        </w:rPr>
      </w:pPr>
      <w:r>
        <w:rPr>
          <w:rFonts w:ascii="Arial" w:cs="Arial" w:eastAsia="Arial" w:hAnsi="Arial"/>
          <w:sz w:val="16"/>
          <w:szCs w:val="16"/>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rapidly deteriorated. The decreased levels of economic activity have negatively impacted, and may continue to negatively impact, premium volumes generated by new business. We began to experience this impact in March 2020 and it became more significant in the second and third quarters of 2020. We also expect this impact will further persist but to a lesser extent for the remainder of 2021, but the degree of the impact will depend on the extent and duration of the economic contraction and could be material. We have also made underwriting changes to</w:t>
      </w:r>
    </w:p>
    <w:p>
      <w:pPr>
        <w:sectPr>
          <w:pgSz w:w="11900" w:h="16838" w:orient="portrait"/>
          <w:cols w:equalWidth="0" w:num="1">
            <w:col w:w="11240"/>
          </w:cols>
          <w:pgMar w:left="320" w:top="125" w:right="339" w:bottom="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emphasize profitability over growth and have culled out the type of risks that do not generate an acceptable level of return. This action has led, and may continue to lead, to a slowdown in premium growth, particularly in new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March 31, 2021,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March 31,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Effectiveness of Controls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2" w:lineRule="exact"/>
        <w:rPr>
          <w:sz w:val="20"/>
          <w:szCs w:val="20"/>
          <w:color w:val="auto"/>
        </w:rPr>
      </w:pPr>
    </w:p>
    <w:p>
      <w:pPr>
        <w:jc w:val="both"/>
        <w:ind w:firstLine="8"/>
        <w:spacing w:after="0" w:line="295" w:lineRule="auto"/>
        <w:tabs>
          <w:tab w:leader="none" w:pos="2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1"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a discussion of the Company’s potential risks and uncertainties, see Part I, Item 1A— “Risk Factors” and Part II, Item 7— “Management’s Discussion and Analysis of Financial Condition and Results of Operations” in the Company’s 2020 Annual Report filed with the SEC, and Part I, Item 2 —“Management’s Discussion and Analysis of Financial Condition and Results of Operations” herein, in each case as updated by the Company's periodic filings with the SEC. There have been no material changes to the risk factors disclosed in Part I, Item 1A of the Company’s 2020 Annual Report.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ectPr>
          <w:pgSz w:w="11900" w:h="16838" w:orient="portrait"/>
          <w:cols w:equalWidth="0" w:num="1">
            <w:col w:w="11240"/>
          </w:cols>
          <w:pgMar w:left="320" w:top="125" w:right="339" w:bottom="0" w:gutter="0" w:footer="0" w:header="0"/>
        </w:sectPr>
      </w:pPr>
    </w:p>
    <w:bookmarkStart w:id="41" w:name="page42"/>
    <w:bookmarkEnd w:id="41"/>
    <w:p>
      <w:pPr>
        <w:ind w:left="860" w:hanging="245"/>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265"/>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860" w:hanging="245"/>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table sets forth certain information with respect to purchases of common stock made by us during the quarter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Part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May Be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Price Paid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5940" w:type="dxa"/>
            <w:vAlign w:val="bottom"/>
          </w:tcPr>
          <w:p>
            <w:pPr>
              <w:ind w:left="272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Purchased(1)</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per 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Programs(2)</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Programs(2)</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1/1/21 – 1/31/21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2/1/21 – 2/28/21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3/1/21 – 3/31/21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1,162,925</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8,035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1,162,925</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Purchases were made by us in open market transactions.</w:t>
      </w:r>
    </w:p>
    <w:p>
      <w:pPr>
        <w:spacing w:after="0" w:line="23" w:lineRule="exact"/>
        <w:rPr>
          <w:rFonts w:ascii="Arial" w:cs="Arial" w:eastAsia="Arial" w:hAnsi="Arial"/>
          <w:sz w:val="18"/>
          <w:szCs w:val="18"/>
          <w:color w:val="auto"/>
        </w:rPr>
      </w:pPr>
    </w:p>
    <w:p>
      <w:pPr>
        <w:ind w:left="900" w:right="40" w:hanging="447"/>
        <w:spacing w:after="0" w:line="180" w:lineRule="auto"/>
        <w:tabs>
          <w:tab w:leader="none" w:pos="900" w:val="left"/>
        </w:tabs>
        <w:numPr>
          <w:ilvl w:val="0"/>
          <w:numId w:val="19"/>
        </w:numPr>
        <w:rPr>
          <w:rFonts w:ascii="Arial" w:cs="Arial" w:eastAsia="Arial" w:hAnsi="Arial"/>
          <w:sz w:val="33"/>
          <w:szCs w:val="33"/>
          <w:color w:val="auto"/>
          <w:vertAlign w:val="subscript"/>
        </w:rPr>
      </w:pPr>
      <w:r>
        <w:rPr>
          <w:rFonts w:ascii="Arial" w:cs="Arial" w:eastAsia="Arial" w:hAnsi="Arial"/>
          <w:sz w:val="17"/>
          <w:szCs w:val="17"/>
          <w:color w:val="auto"/>
        </w:rPr>
        <w:t>Up to $10,000,000 of common stock may be purchased pursuant to our repurchase plan; the maximum number of shares shown is based on the March 31, 2021 closing stock price.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u w:val="single" w:color="auto"/>
          <w:color w:val="auto"/>
        </w:rPr>
        <w:t>Mine Safety Disclosures</w:t>
      </w:r>
      <w:r>
        <w:rPr>
          <w:rFonts w:ascii="Arial" w:cs="Arial" w:eastAsia="Arial" w:hAnsi="Arial"/>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0"/>
              <w:spacing w:after="0"/>
              <w:rPr>
                <w:rFonts w:ascii="Arial" w:cs="Arial" w:eastAsia="Arial" w:hAnsi="Arial"/>
                <w:sz w:val="18"/>
                <w:szCs w:val="18"/>
                <w:color w:val="0000EE"/>
                <w:w w:val="87"/>
              </w:rPr>
            </w:pPr>
            <w:hyperlink r:id="rId88">
              <w:r>
                <w:rPr>
                  <w:rFonts w:ascii="Arial" w:cs="Arial" w:eastAsia="Arial" w:hAnsi="Arial"/>
                  <w:sz w:val="18"/>
                  <w:szCs w:val="18"/>
                  <w:color w:val="0000EE"/>
                  <w:w w:val="87"/>
                </w:rPr>
                <w:t>3(a)</w:t>
              </w:r>
            </w:hyperlink>
          </w:p>
        </w:tc>
        <w:tc>
          <w:tcPr>
            <w:tcW w:w="10060" w:type="dxa"/>
            <w:vAlign w:val="bottom"/>
            <w:gridSpan w:val="7"/>
            <w:shd w:val="clear" w:color="auto" w:fill="CCEEFF"/>
          </w:tcPr>
          <w:p>
            <w:pPr>
              <w:ind w:left="160"/>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Restated Certificate of Incorporation, as amended (incorporated by reference to Exhibit 3(a) to the Company’s Quarterly Report on Form</w:t>
              </w:r>
            </w:hyperlink>
          </w:p>
        </w:tc>
      </w:tr>
      <w:tr>
        <w:trPr>
          <w:trHeight w:val="217"/>
        </w:trPr>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10-Q for the period ended March 31, 2014 filed on May 15, 2014).</w:t>
              </w:r>
            </w:hyperlink>
          </w:p>
        </w:tc>
      </w:tr>
      <w:tr>
        <w:trPr>
          <w:trHeight w:val="216"/>
        </w:trPr>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60"/>
              <w:spacing w:after="0" w:line="176" w:lineRule="exact"/>
              <w:rPr>
                <w:rFonts w:ascii="Arial" w:cs="Arial" w:eastAsia="Arial" w:hAnsi="Arial"/>
                <w:sz w:val="18"/>
                <w:szCs w:val="18"/>
                <w:color w:val="0000EE"/>
                <w:w w:val="87"/>
              </w:rPr>
            </w:pPr>
            <w:hyperlink r:id="rId89">
              <w:r>
                <w:rPr>
                  <w:rFonts w:ascii="Arial" w:cs="Arial" w:eastAsia="Arial" w:hAnsi="Arial"/>
                  <w:sz w:val="18"/>
                  <w:szCs w:val="18"/>
                  <w:color w:val="0000EE"/>
                  <w:w w:val="87"/>
                </w:rPr>
                <w:t>3(b)</w:t>
              </w:r>
            </w:hyperlink>
          </w:p>
        </w:tc>
        <w:tc>
          <w:tcPr>
            <w:tcW w:w="10060" w:type="dxa"/>
            <w:vAlign w:val="bottom"/>
            <w:gridSpan w:val="7"/>
            <w:shd w:val="clear" w:color="auto" w:fill="CCEEFF"/>
          </w:tcPr>
          <w:p>
            <w:pPr>
              <w:ind w:left="160"/>
              <w:spacing w:after="0" w:line="17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By-laws, as amended (incorporated by reference to Exhibit 3.1 to the Company’s Current Report on Form 8-K filed on November 9,</w:t>
              </w:r>
            </w:hyperlink>
          </w:p>
        </w:tc>
      </w:tr>
      <w:tr>
        <w:trPr>
          <w:trHeight w:val="217"/>
        </w:trPr>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2009).</w:t>
              </w:r>
            </w:hyperlink>
          </w:p>
        </w:tc>
        <w:tc>
          <w:tcPr>
            <w:tcW w:w="1980" w:type="dxa"/>
            <w:vAlign w:val="bottom"/>
            <w:tcBorders>
              <w:top w:val="single" w:sz="8" w:color="0000EE"/>
            </w:tcBorders>
            <w:shd w:val="clear" w:color="auto" w:fill="CCEEFF"/>
          </w:tcPr>
          <w:p>
            <w:pPr>
              <w:spacing w:after="0"/>
              <w:rPr>
                <w:sz w:val="18"/>
                <w:szCs w:val="18"/>
                <w:color w:val="auto"/>
              </w:rPr>
            </w:pPr>
          </w:p>
        </w:tc>
        <w:tc>
          <w:tcPr>
            <w:tcW w:w="50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4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ind w:right="60"/>
              <w:spacing w:after="0" w:line="176"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31(a)</w:t>
              </w:r>
            </w:hyperlink>
          </w:p>
        </w:tc>
        <w:tc>
          <w:tcPr>
            <w:tcW w:w="10060" w:type="dxa"/>
            <w:vAlign w:val="bottom"/>
            <w:gridSpan w:val="7"/>
            <w:shd w:val="clear" w:color="auto" w:fill="CCEEFF"/>
          </w:tcPr>
          <w:p>
            <w:pPr>
              <w:ind w:left="160"/>
              <w:spacing w:after="0" w:line="17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Rule 13a-14(a)/15d-14(a) Certification of Chief Executive Officer as adopted pursuant to Section 302 of the Sarbanes-Oxley Act of 2002</w:t>
              </w:r>
            </w:hyperlink>
          </w:p>
        </w:tc>
      </w:tr>
      <w:tr>
        <w:trPr>
          <w:trHeight w:val="216"/>
        </w:trPr>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80" w:type="dxa"/>
            <w:vAlign w:val="bottom"/>
            <w:gridSpan w:val="5"/>
            <w:shd w:val="clear" w:color="auto" w:fill="CCEEFF"/>
          </w:tcPr>
          <w:p>
            <w:pPr>
              <w:jc w:val="right"/>
              <w:ind w:righ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31(b)</w:t>
              </w:r>
            </w:hyperlink>
          </w:p>
        </w:tc>
        <w:tc>
          <w:tcPr>
            <w:tcW w:w="10060" w:type="dxa"/>
            <w:vAlign w:val="bottom"/>
            <w:gridSpan w:val="7"/>
            <w:shd w:val="clear" w:color="auto" w:fill="CCEEFF"/>
          </w:tcPr>
          <w:p>
            <w:pPr>
              <w:ind w:left="160"/>
              <w:spacing w:after="0" w:line="17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Rule 13a-14(a)/15d-14(a) Certification of Chief Financial Officer as adopted pursuant to Section 302 of the Sarbanes-Oxley Act of 2002</w:t>
              </w:r>
            </w:hyperlink>
          </w:p>
        </w:tc>
      </w:tr>
      <w:tr>
        <w:trPr>
          <w:trHeight w:val="216"/>
        </w:trPr>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840" w:type="dxa"/>
            <w:vAlign w:val="bottom"/>
            <w:gridSpan w:val="3"/>
            <w:shd w:val="clear" w:color="auto" w:fill="CCEEFF"/>
          </w:tcPr>
          <w:p>
            <w:pPr>
              <w:spacing w:after="0"/>
              <w:rPr>
                <w:sz w:val="15"/>
                <w:szCs w:val="15"/>
                <w:color w:val="auto"/>
              </w:rPr>
            </w:pPr>
          </w:p>
        </w:tc>
        <w:tc>
          <w:tcPr>
            <w:tcW w:w="340" w:type="dxa"/>
            <w:vAlign w:val="bottom"/>
            <w:gridSpan w:val="2"/>
            <w:shd w:val="clear" w:color="auto" w:fill="CCEEFF"/>
          </w:tcPr>
          <w:p>
            <w:pPr>
              <w:jc w:val="right"/>
              <w:ind w:right="60"/>
              <w:spacing w:after="0" w:line="17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32+</w:t>
              </w:r>
            </w:hyperlink>
          </w:p>
        </w:tc>
        <w:tc>
          <w:tcPr>
            <w:tcW w:w="10060" w:type="dxa"/>
            <w:vAlign w:val="bottom"/>
            <w:gridSpan w:val="7"/>
            <w:shd w:val="clear" w:color="auto" w:fill="CCEEFF"/>
          </w:tcPr>
          <w:p>
            <w:pPr>
              <w:ind w:left="160"/>
              <w:spacing w:after="0" w:line="17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Chief Executive Officer and Chief Financial Officer Pursuant to 18 U.S.C. Section 1350, as Adopted Pursuant to Section</w:t>
              </w:r>
            </w:hyperlink>
          </w:p>
        </w:tc>
      </w:tr>
      <w:tr>
        <w:trPr>
          <w:trHeight w:val="216"/>
        </w:trPr>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906 of the Sarbanes-Oxley Act of 2002</w:t>
              </w:r>
            </w:hyperlink>
          </w:p>
        </w:tc>
      </w:tr>
      <w:tr>
        <w:trPr>
          <w:trHeight w:val="216"/>
        </w:trPr>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101.INS</w:t>
            </w:r>
          </w:p>
        </w:tc>
        <w:tc>
          <w:tcPr>
            <w:tcW w:w="100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XBRL Instance Document</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101.SCH</w:t>
            </w:r>
          </w:p>
        </w:tc>
        <w:tc>
          <w:tcPr>
            <w:tcW w:w="100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101.SCH XBRL Taxonomy Extension Schema.</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101.CAL</w:t>
            </w:r>
          </w:p>
        </w:tc>
        <w:tc>
          <w:tcPr>
            <w:tcW w:w="100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101.CAL XBRL Taxonomy Extension Calculation Linkbase.</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101.DEF</w:t>
            </w:r>
          </w:p>
        </w:tc>
        <w:tc>
          <w:tcPr>
            <w:tcW w:w="100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101.DEF XBRL Taxonomy Extension Definition Linkbase.</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101.LAB</w:t>
            </w:r>
          </w:p>
        </w:tc>
        <w:tc>
          <w:tcPr>
            <w:tcW w:w="100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101.LAB XBRL Taxonomy Extension Label Linkbase.</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101.PRE</w:t>
            </w:r>
          </w:p>
        </w:tc>
        <w:tc>
          <w:tcPr>
            <w:tcW w:w="100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101.PRE XBRL Taxonomy Extension Presentation Linkbase.</w:t>
            </w:r>
          </w:p>
        </w:tc>
      </w:tr>
    </w:tbl>
    <w:p>
      <w:pPr>
        <w:spacing w:after="0" w:line="202" w:lineRule="exact"/>
        <w:rPr>
          <w:sz w:val="20"/>
          <w:szCs w:val="20"/>
          <w:color w:val="auto"/>
        </w:rPr>
      </w:pPr>
    </w:p>
    <w:p>
      <w:pPr>
        <w:jc w:val="both"/>
        <w:ind w:left="1340" w:hanging="313"/>
        <w:spacing w:after="0" w:line="263"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60" w:type="dxa"/>
            <w:vAlign w:val="bottom"/>
            <w:gridSpan w:val="2"/>
          </w:tcPr>
          <w:p>
            <w:pPr>
              <w:ind w:left="2100"/>
              <w:spacing w:after="0"/>
              <w:rPr>
                <w:sz w:val="20"/>
                <w:szCs w:val="20"/>
                <w:color w:val="auto"/>
              </w:rPr>
            </w:pPr>
            <w:r>
              <w:rPr>
                <w:rFonts w:ascii="Arial" w:cs="Arial" w:eastAsia="Arial" w:hAnsi="Arial"/>
                <w:sz w:val="18"/>
                <w:szCs w:val="18"/>
                <w:b w:val="1"/>
                <w:bCs w:val="1"/>
                <w:color w:val="auto"/>
              </w:rPr>
              <w:t>KINGSTONE COMPANIES, INC.</w:t>
            </w:r>
          </w:p>
        </w:tc>
        <w:tc>
          <w:tcPr>
            <w:tcW w:w="13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17, 2021</w:t>
            </w:r>
          </w:p>
        </w:tc>
        <w:tc>
          <w:tcPr>
            <w:tcW w:w="6360" w:type="dxa"/>
            <w:vAlign w:val="bottom"/>
            <w:gridSpan w:val="2"/>
          </w:tcPr>
          <w:p>
            <w:pPr>
              <w:ind w:left="2100"/>
              <w:spacing w:after="0"/>
              <w:rPr>
                <w:sz w:val="20"/>
                <w:szCs w:val="20"/>
                <w:color w:val="auto"/>
              </w:rPr>
            </w:pPr>
            <w:r>
              <w:rPr>
                <w:rFonts w:ascii="Arial" w:cs="Arial" w:eastAsia="Arial" w:hAnsi="Arial"/>
                <w:sz w:val="18"/>
                <w:szCs w:val="18"/>
                <w:color w:val="auto"/>
              </w:rPr>
              <w:t>By: /s/ Barry B. Goldstein</w:t>
            </w:r>
          </w:p>
        </w:tc>
        <w:tc>
          <w:tcPr>
            <w:tcW w:w="13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B. Goldstein</w:t>
            </w:r>
          </w:p>
        </w:tc>
        <w:tc>
          <w:tcPr>
            <w:tcW w:w="13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17, 2021</w:t>
            </w:r>
          </w:p>
        </w:tc>
        <w:tc>
          <w:tcPr>
            <w:tcW w:w="6360" w:type="dxa"/>
            <w:vAlign w:val="bottom"/>
            <w:gridSpan w:val="2"/>
          </w:tcPr>
          <w:p>
            <w:pPr>
              <w:ind w:left="2100"/>
              <w:spacing w:after="0"/>
              <w:rPr>
                <w:sz w:val="20"/>
                <w:szCs w:val="20"/>
                <w:color w:val="auto"/>
              </w:rPr>
            </w:pPr>
            <w:r>
              <w:rPr>
                <w:rFonts w:ascii="Arial" w:cs="Arial" w:eastAsia="Arial" w:hAnsi="Arial"/>
                <w:sz w:val="18"/>
                <w:szCs w:val="18"/>
                <w:color w:val="auto"/>
              </w:rPr>
              <w:t>By: /s/ Scott Van Pelt</w:t>
            </w:r>
          </w:p>
        </w:tc>
        <w:tc>
          <w:tcPr>
            <w:tcW w:w="13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Van Pelt</w:t>
            </w:r>
          </w:p>
        </w:tc>
        <w:tc>
          <w:tcPr>
            <w:tcW w:w="13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40" w:type="dxa"/>
            <w:vAlign w:val="bottom"/>
          </w:tcPr>
          <w:p>
            <w:pPr>
              <w:spacing w:after="0"/>
              <w:rPr>
                <w:sz w:val="20"/>
                <w:szCs w:val="20"/>
                <w:color w:val="auto"/>
              </w:rPr>
            </w:pPr>
          </w:p>
        </w:tc>
      </w:tr>
      <w:tr>
        <w:trPr>
          <w:trHeight w:val="648"/>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66</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Van Pelt, certify that:</w:t>
      </w:r>
    </w:p>
    <w:p>
      <w:pPr>
        <w:spacing w:after="0" w:line="22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Scott Van Pelt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Scott Van Pelt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5" w:name="page46"/>
    <w:bookmarkEnd w:id="45"/>
    <w:p>
      <w:pPr>
        <w:ind w:left="1020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07"/>
        <w:spacing w:after="0" w:line="301"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2021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Dated: May 17,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Van Pelt</w:t>
            </w:r>
          </w:p>
        </w:tc>
      </w:tr>
      <w:tr>
        <w:trPr>
          <w:trHeight w:val="195"/>
        </w:trPr>
        <w:tc>
          <w:tcPr>
            <w:tcW w:w="59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Scott Van Pelt</w:t>
            </w:r>
          </w:p>
        </w:tc>
      </w:tr>
      <w:tr>
        <w:trPr>
          <w:trHeight w:val="230"/>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upperLetter"/>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6"/>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88" Type="http://schemas.openxmlformats.org/officeDocument/2006/relationships/hyperlink" Target="http://www.sec.gov/Archives/edgar/data/33992/000135448814002619/kins_ex3a.htm" TargetMode="External"/><Relationship Id="rId89"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2021-05-17T16:09:47Z</dcterms:created>
  <dcterms:modified xsi:type="dcterms:W3CDTF">2021-05-17T16:09:47Z</dcterms:modified>
</cp:coreProperties>
</file>