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ectPr>
          <w:pgSz w:w="11900" w:h="16838" w:orient="portrait"/>
          <w:cols w:equalWidth="0" w:num="1">
            <w:col w:w="11420"/>
          </w:cols>
          <w:pgMar w:left="240" w:top="472" w:right="239" w:bottom="1440" w:gutter="0" w:footer="0" w:header="0"/>
        </w:sect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4280" w:space="720"/>
            <w:col w:w="6420"/>
          </w:cols>
          <w:pgMar w:left="240" w:top="472"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420"/>
          </w:cols>
          <w:pgMar w:left="240" w:top="472" w:right="23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31" w:lineRule="exact"/>
        <w:rPr>
          <w:sz w:val="24"/>
          <w:szCs w:val="24"/>
          <w:color w:val="auto"/>
        </w:rPr>
      </w:pPr>
    </w:p>
    <w:p>
      <w:pPr>
        <w:sectPr>
          <w:pgSz w:w="11900" w:h="16838" w:orient="portrait"/>
          <w:cols w:equalWidth="0" w:num="2">
            <w:col w:w="280" w:space="720"/>
            <w:col w:w="10420"/>
          </w:cols>
          <w:pgMar w:left="240" w:top="472" w:right="239" w:bottom="1440" w:gutter="0" w:footer="0" w:header="0"/>
          <w:type w:val="continuous"/>
        </w:sectPr>
      </w:pPr>
    </w:p>
    <w:p>
      <w:pPr>
        <w:ind w:left="1000" w:hanging="992"/>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420"/>
          </w:cols>
          <w:pgMar w:left="240" w:top="472"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Section 240.14a-12</w:t>
      </w:r>
    </w:p>
    <w:p>
      <w:pPr>
        <w:spacing w:after="0" w:line="222" w:lineRule="exact"/>
        <w:rPr>
          <w:sz w:val="24"/>
          <w:szCs w:val="24"/>
          <w:color w:val="auto"/>
        </w:rPr>
      </w:pPr>
    </w:p>
    <w:p>
      <w:pPr>
        <w:sectPr>
          <w:pgSz w:w="11900" w:h="16838" w:orient="portrait"/>
          <w:cols w:equalWidth="0" w:num="2">
            <w:col w:w="280" w:space="720"/>
            <w:col w:w="10420"/>
          </w:cols>
          <w:pgMar w:left="240" w:top="472" w:right="239" w:bottom="1440" w:gutter="0" w:footer="0" w:header="0"/>
          <w:type w:val="continuous"/>
        </w:sectPr>
      </w:pP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KINGSTONE COMPANIES,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of Registrant as Specified in its Charter)</w:t>
      </w:r>
    </w:p>
    <w:p>
      <w:pPr>
        <w:sectPr>
          <w:pgSz w:w="11900" w:h="16838" w:orient="portrait"/>
          <w:cols w:equalWidth="0" w:num="1">
            <w:col w:w="11420"/>
          </w:cols>
          <w:pgMar w:left="240" w:top="472" w:right="2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880" w:hanging="87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14a-6(i)(1) and 0-11.</w:t>
      </w:r>
    </w:p>
    <w:p>
      <w:pPr>
        <w:spacing w:after="0" w:line="225" w:lineRule="exact"/>
        <w:rPr>
          <w:sz w:val="24"/>
          <w:szCs w:val="24"/>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880" w:hanging="87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ind w:left="880" w:hanging="872"/>
        <w:spacing w:after="0" w:line="308" w:lineRule="auto"/>
        <w:tabs>
          <w:tab w:leader="none" w:pos="197"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sz w:val="20"/>
          <w:szCs w:val="20"/>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880" w:hanging="87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 Joys Lane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 New York 12401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BE HELD ON AUGUST 8,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Kingstone Companies, Inc.:</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Stockholders of Kingstone Companies, Inc., a Delaware corporation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held on August 8, 2018 at 15 Joys Lane, Kingston, New York 12401, at 9:00 a.m., for the following purposes:</w:t>
      </w:r>
    </w:p>
    <w:p>
      <w:pPr>
        <w:spacing w:after="0" w:line="193"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seven directors for the coming year.</w:t>
      </w:r>
    </w:p>
    <w:p>
      <w:pPr>
        <w:spacing w:after="0" w:line="25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Marcum LLP as the Company's independent registered public accounting firm for the fiscal year ending December 31, 2018.</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Only stockholders of record at the close of business on June 13, 2018 are entitled to notice of and to vote at the meeting or at any adjournment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w:t>
      </w:r>
      <w:r>
        <w:rPr>
          <w:rFonts w:ascii="Arial" w:cs="Arial" w:eastAsia="Arial" w:hAnsi="Arial"/>
          <w:sz w:val="18"/>
          <w:szCs w:val="18"/>
          <w:color w:val="auto"/>
        </w:rPr>
        <w:t>The proxy statement and the Company's Annual Report on Form 10-K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year ended December 31, 2017 are available electronically to the Company's stockholders of record as of the close of business on June 13, 2018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Floyd R. Tupper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Kingston,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WHETHER OR NOT YOU PLAN TO ATTEND THE MEETING, PLEASE SUBMIT YOUR PROXY OR VOTING INSTRUCTIONS AS SOON AS POSSIBLE. FOR SPECIFIC INSTRUCTIONS ON HOW TO VOTE YOUR SHARES, PLEASE REFER TO THE INSTRUCTIONS ON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IN PERSON. THOSE VOTING BY INTERNET OR BY TELEPHONE MAY ALSO REVOKE THEIR PROXY BY VOTING IN PERSON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 Joys Lane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 New York 12401</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SOLICITING, VOTING AND REVOCABILITY OF PROXY</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proxy statement is being made available to all stockholders of record at the close of business on June 13, 2018 in connection with the solicitation by the Board of Directors of proxies to be voted at the Annual Meeting of Stockholders to be held on August 8, 2018 at 9:00 a.m., local time, or any adjournment thereof. Proxy materials for the Annual Meeting of Stockholders were made available to stockholders on or about June 21, 2018.</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166"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nominees named in the proxy to our Board of Directors.</w:t>
      </w:r>
    </w:p>
    <w:p>
      <w:pPr>
        <w:spacing w:after="0" w:line="252" w:lineRule="exact"/>
        <w:rPr>
          <w:rFonts w:ascii="Arial" w:cs="Arial" w:eastAsia="Arial" w:hAnsi="Arial"/>
          <w:sz w:val="18"/>
          <w:szCs w:val="18"/>
          <w:b w:val="1"/>
          <w:bCs w:val="1"/>
          <w:color w:val="auto"/>
        </w:rPr>
      </w:pPr>
    </w:p>
    <w:p>
      <w:pPr>
        <w:ind w:left="1300" w:hanging="320"/>
        <w:spacing w:after="0" w:line="282" w:lineRule="auto"/>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Marcum LLP as our independent registered public accounting firm for the fiscal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2018.</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is considered a "non-routine" matter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his best judgment.</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total number of shares of common stock outstanding and entitled to vote as of the close of business on June 13, 2018 was 10,660,185. Our common stock is the only class of securities entitled to vote on matters presented to our stockholders, each share being entitled to one vote. A majority of the shares of common stock outstanding and entitled to vote as of the close of business on June 13, 2018, 5,330,093 or shares of common stock, must be present at the meeting in person or by proxy in order to constitute a quorum for the transaction of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firstLine="648"/>
        <w:spacing w:after="0" w:line="271" w:lineRule="auto"/>
        <w:rPr>
          <w:sz w:val="20"/>
          <w:szCs w:val="20"/>
          <w:color w:val="auto"/>
        </w:rPr>
      </w:pPr>
      <w:r>
        <w:rPr>
          <w:rFonts w:ascii="Arial" w:cs="Arial" w:eastAsia="Arial" w:hAnsi="Arial"/>
          <w:sz w:val="17"/>
          <w:szCs w:val="17"/>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(seven) multiplied by the number of shares he is entitled to vote. A stockholder may therefore cast his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13, 2018 will be entitled to vote. With regard to the election of directors, votes may be cast in favor or withheld. The directors shall be elected by a plurality of the votes cast in favor. Accordingly, based upon there being seven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Stockholders may expressly abstain from voting on Proposal 2 by so indicating on the proxy. Abstentions are counted as present in the tabulation of votes on Proposal 2. Since Proposal 2 requires the affirmative approval of a majority of the shares of common stock present in person or represented by proxy at the meeting and entitled to vote (assuming a quorum is present at the meeting), abstentions will have the effect of a negative vote while broker non-votes will have no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in person while in attendance at the meeting. However, a stockholder who attends the meeting need not revoke a proxy given and vote in person unless the stockholder wishes to do so. Written revocations or amended proxies should be sent to us at 15 Joys Lane, Kingston, New York 12401, Attention: Corporate Secretary. Those voting by Internet or by telephone may also revoke their proxy by voting in person at the meeting or by voting and submitting their proxy at a later time by Internet or by telephone.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list of stockholders entitled to vote at the meeting will be available for examination by any stockholder for any purpose germane to the meeting, during ordinary business hours, for ten days prior to the meeting, at our offices located at 15 Joys Lane, Kingston, New York 12401, and also during the whole time of the meeting for inspection by any stockholder who is present. To contact us, stockholders should call (845) 802-7900.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for the fiscal years ended December 31, 2017 and 2016 for certain executive officers, including our Chief Executive Officer: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Non-Equity</w:t>
            </w: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60"/>
              <w:spacing w:after="0"/>
              <w:rPr>
                <w:sz w:val="20"/>
                <w:szCs w:val="20"/>
                <w:color w:val="auto"/>
              </w:rPr>
            </w:pPr>
            <w:r>
              <w:rPr>
                <w:rFonts w:ascii="Arial" w:cs="Arial" w:eastAsia="Arial" w:hAnsi="Arial"/>
                <w:sz w:val="18"/>
                <w:szCs w:val="18"/>
                <w:b w:val="1"/>
                <w:bCs w:val="1"/>
                <w:color w:val="auto"/>
              </w:rPr>
              <w:t>Name and Principal</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Incentive Plan</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12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8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Position</w:t>
            </w: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Bonus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Awards(1)</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Awards(1)</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Compensation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1860" w:type="dxa"/>
            <w:vAlign w:val="bottom"/>
          </w:tcPr>
          <w:p>
            <w:pPr>
              <w:spacing w:after="0" w:line="201" w:lineRule="exact"/>
              <w:rPr>
                <w:sz w:val="20"/>
                <w:szCs w:val="20"/>
                <w:color w:val="auto"/>
              </w:rPr>
            </w:pPr>
            <w:r>
              <w:rPr>
                <w:rFonts w:ascii="Arial" w:cs="Arial" w:eastAsia="Arial" w:hAnsi="Arial"/>
                <w:sz w:val="18"/>
                <w:szCs w:val="18"/>
                <w:color w:val="auto"/>
              </w:rPr>
              <w:t>Barry B. Goldstein</w:t>
            </w:r>
          </w:p>
        </w:tc>
        <w:tc>
          <w:tcPr>
            <w:tcW w:w="720" w:type="dxa"/>
            <w:vAlign w:val="bottom"/>
          </w:tcPr>
          <w:p>
            <w:pPr>
              <w:ind w:left="180"/>
              <w:spacing w:after="0" w:line="201" w:lineRule="exact"/>
              <w:rPr>
                <w:sz w:val="20"/>
                <w:szCs w:val="20"/>
                <w:color w:val="auto"/>
              </w:rPr>
            </w:pPr>
            <w:r>
              <w:rPr>
                <w:rFonts w:ascii="Arial" w:cs="Arial" w:eastAsia="Arial" w:hAnsi="Arial"/>
                <w:sz w:val="18"/>
                <w:szCs w:val="18"/>
                <w:color w:val="auto"/>
              </w:rPr>
              <w:t>2017</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0"/>
              </w:rPr>
              <w:t>$630,000</w:t>
            </w:r>
          </w:p>
        </w:tc>
        <w:tc>
          <w:tcPr>
            <w:tcW w:w="78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10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 -</w:t>
            </w:r>
          </w:p>
        </w:tc>
        <w:tc>
          <w:tcPr>
            <w:tcW w:w="130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 -</w:t>
            </w:r>
          </w:p>
        </w:tc>
        <w:tc>
          <w:tcPr>
            <w:tcW w:w="15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$1,670,111 (3)</w:t>
            </w:r>
          </w:p>
        </w:tc>
        <w:tc>
          <w:tcPr>
            <w:tcW w:w="1580" w:type="dxa"/>
            <w:vAlign w:val="bottom"/>
          </w:tcPr>
          <w:p>
            <w:pPr>
              <w:jc w:val="center"/>
              <w:spacing w:after="0" w:line="201" w:lineRule="exact"/>
              <w:rPr>
                <w:sz w:val="20"/>
                <w:szCs w:val="20"/>
                <w:color w:val="auto"/>
              </w:rPr>
            </w:pPr>
            <w:r>
              <w:rPr>
                <w:rFonts w:ascii="Arial" w:cs="Arial" w:eastAsia="Arial" w:hAnsi="Arial"/>
                <w:sz w:val="18"/>
                <w:szCs w:val="18"/>
                <w:color w:val="auto"/>
                <w:w w:val="92"/>
              </w:rPr>
              <w:t>$24,152</w:t>
            </w:r>
          </w:p>
        </w:tc>
        <w:tc>
          <w:tcPr>
            <w:tcW w:w="12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$2,324,263</w:t>
            </w:r>
          </w:p>
        </w:tc>
      </w:tr>
      <w:tr>
        <w:trPr>
          <w:trHeight w:val="216"/>
        </w:trPr>
        <w:tc>
          <w:tcPr>
            <w:tcW w:w="2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Chief Executive</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Officer</w:t>
            </w:r>
          </w:p>
        </w:tc>
        <w:tc>
          <w:tcPr>
            <w:tcW w:w="720" w:type="dxa"/>
            <w:vAlign w:val="bottom"/>
          </w:tcPr>
          <w:p>
            <w:pPr>
              <w:ind w:left="180"/>
              <w:spacing w:after="0"/>
              <w:rPr>
                <w:sz w:val="20"/>
                <w:szCs w:val="20"/>
                <w:color w:val="auto"/>
              </w:rPr>
            </w:pPr>
            <w:r>
              <w:rPr>
                <w:rFonts w:ascii="Arial" w:cs="Arial" w:eastAsia="Arial" w:hAnsi="Arial"/>
                <w:sz w:val="18"/>
                <w:szCs w:val="18"/>
                <w:color w:val="auto"/>
              </w:rPr>
              <w:t>2016</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$575,000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$200,000</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$653,221 (4)</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$36,723</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$1,464,944</w:t>
            </w:r>
          </w:p>
        </w:tc>
      </w:tr>
      <w:tr>
        <w:trPr>
          <w:trHeight w:val="634"/>
        </w:trPr>
        <w:tc>
          <w:tcPr>
            <w:tcW w:w="1880" w:type="dxa"/>
            <w:vAlign w:val="bottom"/>
            <w:gridSpan w:val="2"/>
          </w:tcPr>
          <w:p>
            <w:pPr>
              <w:spacing w:after="0"/>
              <w:rPr>
                <w:sz w:val="20"/>
                <w:szCs w:val="20"/>
                <w:color w:val="auto"/>
              </w:rPr>
            </w:pPr>
            <w:r>
              <w:rPr>
                <w:rFonts w:ascii="Arial" w:cs="Arial" w:eastAsia="Arial" w:hAnsi="Arial"/>
                <w:sz w:val="18"/>
                <w:szCs w:val="18"/>
                <w:color w:val="auto"/>
              </w:rPr>
              <w:t>Victor J. Brodsky</w:t>
            </w:r>
          </w:p>
        </w:tc>
        <w:tc>
          <w:tcPr>
            <w:tcW w:w="720" w:type="dxa"/>
            <w:vAlign w:val="bottom"/>
          </w:tcPr>
          <w:p>
            <w:pPr>
              <w:ind w:left="180"/>
              <w:spacing w:after="0"/>
              <w:rPr>
                <w:sz w:val="20"/>
                <w:szCs w:val="20"/>
                <w:color w:val="auto"/>
              </w:rPr>
            </w:pPr>
            <w:r>
              <w:rPr>
                <w:rFonts w:ascii="Arial" w:cs="Arial" w:eastAsia="Arial" w:hAnsi="Arial"/>
                <w:sz w:val="18"/>
                <w:szCs w:val="18"/>
                <w:color w:val="auto"/>
              </w:rPr>
              <w:t>2017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$320,000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$149,500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$49,832 (5)</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$24,500</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$573,832</w:t>
            </w:r>
          </w:p>
        </w:tc>
      </w:tr>
      <w:tr>
        <w:trPr>
          <w:trHeight w:val="216"/>
        </w:trPr>
        <w:tc>
          <w:tcPr>
            <w:tcW w:w="2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Chief Financial</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60" w:type="dxa"/>
            <w:vAlign w:val="bottom"/>
          </w:tcPr>
          <w:p>
            <w:pPr>
              <w:ind w:left="80"/>
              <w:spacing w:after="0"/>
              <w:rPr>
                <w:sz w:val="20"/>
                <w:szCs w:val="20"/>
                <w:color w:val="auto"/>
              </w:rPr>
            </w:pPr>
            <w:r>
              <w:rPr>
                <w:rFonts w:ascii="Arial" w:cs="Arial" w:eastAsia="Arial" w:hAnsi="Arial"/>
                <w:sz w:val="18"/>
                <w:szCs w:val="18"/>
                <w:color w:val="auto"/>
              </w:rPr>
              <w:t>Officer</w:t>
            </w:r>
          </w:p>
        </w:tc>
        <w:tc>
          <w:tcPr>
            <w:tcW w:w="720" w:type="dxa"/>
            <w:vAlign w:val="bottom"/>
          </w:tcPr>
          <w:p>
            <w:pPr>
              <w:ind w:left="180"/>
              <w:spacing w:after="0"/>
              <w:rPr>
                <w:sz w:val="20"/>
                <w:szCs w:val="20"/>
                <w:color w:val="auto"/>
              </w:rPr>
            </w:pPr>
            <w:r>
              <w:rPr>
                <w:rFonts w:ascii="Arial" w:cs="Arial" w:eastAsia="Arial" w:hAnsi="Arial"/>
                <w:sz w:val="18"/>
                <w:szCs w:val="18"/>
                <w:color w:val="auto"/>
              </w:rPr>
              <w:t>2016</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$294,420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$34,553</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$36,295 (6)</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$20,592</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$385,860</w:t>
            </w:r>
          </w:p>
        </w:tc>
      </w:tr>
      <w:tr>
        <w:trPr>
          <w:trHeight w:val="634"/>
        </w:trPr>
        <w:tc>
          <w:tcPr>
            <w:tcW w:w="1880" w:type="dxa"/>
            <w:vAlign w:val="bottom"/>
            <w:gridSpan w:val="2"/>
          </w:tcPr>
          <w:p>
            <w:pPr>
              <w:spacing w:after="0"/>
              <w:rPr>
                <w:sz w:val="20"/>
                <w:szCs w:val="20"/>
                <w:color w:val="auto"/>
              </w:rPr>
            </w:pPr>
            <w:r>
              <w:rPr>
                <w:rFonts w:ascii="Arial" w:cs="Arial" w:eastAsia="Arial" w:hAnsi="Arial"/>
                <w:sz w:val="18"/>
                <w:szCs w:val="18"/>
                <w:color w:val="auto"/>
              </w:rPr>
              <w:t>Benjamin Walden</w:t>
            </w:r>
          </w:p>
        </w:tc>
        <w:tc>
          <w:tcPr>
            <w:tcW w:w="720" w:type="dxa"/>
            <w:vAlign w:val="bottom"/>
          </w:tcPr>
          <w:p>
            <w:pPr>
              <w:ind w:left="180"/>
              <w:spacing w:after="0"/>
              <w:rPr>
                <w:sz w:val="20"/>
                <w:szCs w:val="20"/>
                <w:color w:val="auto"/>
              </w:rPr>
            </w:pPr>
            <w:r>
              <w:rPr>
                <w:rFonts w:ascii="Arial" w:cs="Arial" w:eastAsia="Arial" w:hAnsi="Arial"/>
                <w:sz w:val="18"/>
                <w:szCs w:val="18"/>
                <w:color w:val="auto"/>
              </w:rPr>
              <w:t>2017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$270,000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$18,000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$89,700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$41,981 (5)</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$14,215</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$433,896</w:t>
            </w:r>
          </w:p>
        </w:tc>
      </w:tr>
      <w:tr>
        <w:trPr>
          <w:trHeight w:val="216"/>
        </w:trPr>
        <w:tc>
          <w:tcPr>
            <w:tcW w:w="2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Senior Vice</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President and</w:t>
            </w:r>
          </w:p>
        </w:tc>
        <w:tc>
          <w:tcPr>
            <w:tcW w:w="720" w:type="dxa"/>
            <w:vAlign w:val="bottom"/>
          </w:tcPr>
          <w:p>
            <w:pPr>
              <w:ind w:left="180"/>
              <w:spacing w:after="0"/>
              <w:rPr>
                <w:sz w:val="20"/>
                <w:szCs w:val="20"/>
                <w:color w:val="auto"/>
              </w:rPr>
            </w:pPr>
            <w:r>
              <w:rPr>
                <w:rFonts w:ascii="Arial" w:cs="Arial" w:eastAsia="Arial" w:hAnsi="Arial"/>
                <w:sz w:val="18"/>
                <w:szCs w:val="18"/>
                <w:color w:val="auto"/>
              </w:rPr>
              <w:t>2016</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$246,800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$28,180 (2)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$42,623 (6)</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$12,391</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$341,994</w:t>
            </w:r>
          </w:p>
        </w:tc>
      </w:tr>
      <w:tr>
        <w:trPr>
          <w:trHeight w:val="216"/>
        </w:trPr>
        <w:tc>
          <w:tcPr>
            <w:tcW w:w="2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Chief Actuary,</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Kingstone Insurance</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60"/>
              <w:spacing w:after="0"/>
              <w:rPr>
                <w:sz w:val="20"/>
                <w:szCs w:val="20"/>
                <w:color w:val="auto"/>
              </w:rPr>
            </w:pPr>
            <w:r>
              <w:rPr>
                <w:rFonts w:ascii="Arial" w:cs="Arial" w:eastAsia="Arial" w:hAnsi="Arial"/>
                <w:sz w:val="18"/>
                <w:szCs w:val="18"/>
                <w:color w:val="auto"/>
              </w:rPr>
              <w:t>Company</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02" w:lineRule="exact"/>
        <w:rPr>
          <w:sz w:val="20"/>
          <w:szCs w:val="20"/>
          <w:color w:val="auto"/>
        </w:rPr>
      </w:pPr>
    </w:p>
    <w:p>
      <w:pPr>
        <w:jc w:val="both"/>
        <w:ind w:left="660" w:right="2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year ended December 31, 2017, which accompanies this proxy statement.</w:t>
      </w:r>
    </w:p>
    <w:p>
      <w:pPr>
        <w:spacing w:after="0" w:line="213"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2016, Mr. Walden was granted an option under the 2014 Equity Participation Plan (the "2014 Plan") for the purchase of 10,000 shares of common stock at an exercise price of $7.85 per share. Such option is exercisable to the extent of 2,500 shares as of the date of grant and each of the first, second and third anniversaries of the date of grant.</w:t>
      </w:r>
    </w:p>
    <w:p>
      <w:pPr>
        <w:spacing w:after="0" w:line="208"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bonus compensation of $660,446 accrued pursuant to Mr. Goldstein's employment agreement and paid in 2018, $945,000 of long-term bonus compensation accrued pursuant to Mr. Goldstein's employment agreement and payable in 2020 if incentive goals are maintained through December 31, 2019, and $64,655 accrued pursuant to the Kingstone Insurance Company ("KICO") employee profit sharing plan and paid in 2018.</w:t>
      </w:r>
    </w:p>
    <w:p>
      <w:pPr>
        <w:spacing w:after="0" w:line="173"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bonus compensation of $583,127 accrued pursuant to Mr. Goldstein's employment agreement and paid in 2017, and $70,094 accrued pursuant to the KICO employee profit sharing plan and paid in 2017.</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accrued pursuant to the KICO employee profit sharing plan for 2017 and paid in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accrued pursuant to the KICO employee profit sharing plan for 2016 and paid in 2017.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225" w:lineRule="exact"/>
        <w:rPr>
          <w:sz w:val="20"/>
          <w:szCs w:val="20"/>
          <w:color w:val="auto"/>
        </w:rPr>
      </w:pPr>
    </w:p>
    <w:p>
      <w:pPr>
        <w:jc w:val="both"/>
        <w:ind w:firstLine="707"/>
        <w:spacing w:after="0" w:line="288" w:lineRule="auto"/>
        <w:rPr>
          <w:sz w:val="20"/>
          <w:szCs w:val="20"/>
          <w:color w:val="auto"/>
        </w:rPr>
      </w:pPr>
      <w:r>
        <w:rPr>
          <w:rFonts w:ascii="Arial" w:cs="Arial" w:eastAsia="Arial" w:hAnsi="Arial"/>
          <w:sz w:val="16"/>
          <w:szCs w:val="16"/>
          <w:color w:val="auto"/>
        </w:rPr>
        <w:t>Mr. Goldstein is employed as our President, Chairman of the Board and Chief Executive Officer pursuant to an employment agreement, dated January 20, 2017 (the "Goldstein Employment Agreement"), that expires on December 31, 2019. Pursuant to the Goldstein Employment Agreement, effective January 1, 2017, Mr. Goldstein is entitled to receive an annual base salary of $630,000 (an increase from $575,000 per annum in effect through December 31, 2016) and an annual bonus equal to 6% of the Company's consolidated income from operations before taxes, exclusive of our consolidated net investment income (loss) and net realized gains (losses) on investments (consistent with the bonus payable to Mr. Goldstein through December 31, 2016). In addition, pursuant to the Goldstein Employment Agreement, Mr. Goldstein is entitled to a long-term compensation payment ("LTC") of between $945,000 and $2,835,000 in the event our adjusted book value per share (as defined in the Goldstein Employment Agreement) has increased by at least an average of 8% per annum as of December 31, 2019 as compared to December 31, 2016 (with the maximum LTC payment being due if the average per annum increase is at least 14%). In consideration of certain accomplishments during the three year period ended December 31, 2016, we also paid Mr. Goldstein a bonus in the amount of $200,000. See "Termination of Employment and Change-in-Control Arrangements."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14, 2018, we and Dale A. Thatcher, one of our directors, entered into an employment agreement (the "Thatcher Employment Agreement") pursuant to which Mr. Thatcher will serve as our Chief Operating Officer. Mr. Thatcher is also to serve as KICO's President. The Thatcher Employment Agreement became effective as of March 15, 2018 and expires on December 31, 2018. Pursuant to the Thatcher Employment Agreement, Mr. Thatcher is entitled to receive a base salary of $500,000 per annum and a minimum bonus equal to 15% of his base salary. Concurrently with the execution of the Thatcher Employment Agreement, we granted to Mr. Thatcher 35,715 shares of restricted Common Stock under the 2014 Plan. The shares granted will vest in three equal installments on each of the three annual anniversaries following the grant date, subject to the terms of the restricted stock grant agreement between Mr. Thatcher and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unexercised options held by the above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18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Option Awards</w:t>
            </w:r>
          </w:p>
        </w:tc>
        <w:tc>
          <w:tcPr>
            <w:tcW w:w="1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Stock Awards</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Equity Incentive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Plan Awards: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Payout Value 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Shares of</w:t>
            </w:r>
          </w:p>
        </w:tc>
        <w:tc>
          <w:tcPr>
            <w:tcW w:w="12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Market Value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72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Common Stock of Common Stock</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Common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of</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Stock That</w:t>
            </w:r>
          </w:p>
        </w:tc>
        <w:tc>
          <w:tcPr>
            <w:tcW w:w="3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Common StockCommon Stock Common Stock</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Have Not</w:t>
            </w:r>
          </w:p>
        </w:tc>
        <w:tc>
          <w:tcPr>
            <w:tcW w:w="244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That Have Not That Have Not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That Have Not</w:t>
            </w:r>
          </w:p>
        </w:tc>
        <w:tc>
          <w:tcPr>
            <w:tcW w:w="0" w:type="dxa"/>
            <w:vAlign w:val="bottom"/>
          </w:tcPr>
          <w:p>
            <w:pPr>
              <w:spacing w:after="0"/>
              <w:rPr>
                <w:sz w:val="1"/>
                <w:szCs w:val="1"/>
                <w:color w:val="auto"/>
              </w:rPr>
            </w:pPr>
          </w:p>
        </w:tc>
      </w:tr>
      <w:tr>
        <w:trPr>
          <w:trHeight w:val="24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4"/>
              </w:rPr>
              <w:t>Vested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Unexercisable</w:t>
            </w: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20" w:type="dxa"/>
            <w:vAlign w:val="bottom"/>
          </w:tcPr>
          <w:p>
            <w:pPr>
              <w:spacing w:after="0"/>
              <w:rPr>
                <w:sz w:val="20"/>
                <w:szCs w:val="20"/>
                <w:color w:val="auto"/>
              </w:rPr>
            </w:pPr>
            <w:r>
              <w:rPr>
                <w:rFonts w:ascii="Arial" w:cs="Arial" w:eastAsia="Arial" w:hAnsi="Arial"/>
                <w:sz w:val="18"/>
                <w:szCs w:val="18"/>
                <w:color w:val="auto"/>
              </w:rPr>
              <w:t>Barry B. Goldstein</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$6.73</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8/12/19</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300"/>
              <w:spacing w:after="0"/>
              <w:rPr>
                <w:sz w:val="20"/>
                <w:szCs w:val="20"/>
                <w:color w:val="auto"/>
              </w:rPr>
            </w:pPr>
            <w:r>
              <w:rPr>
                <w:rFonts w:ascii="Arial" w:cs="Arial" w:eastAsia="Arial" w:hAnsi="Arial"/>
                <w:sz w:val="18"/>
                <w:szCs w:val="18"/>
                <w:color w:val="auto"/>
              </w:rPr>
              <w:t>$ -</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Victor J. Brodsky</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$5.09</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8/29/18</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7,220</w:t>
            </w:r>
          </w:p>
        </w:tc>
        <w:tc>
          <w:tcPr>
            <w:tcW w:w="1240" w:type="dxa"/>
            <w:vAlign w:val="bottom"/>
          </w:tcPr>
          <w:p>
            <w:pPr>
              <w:ind w:left="300"/>
              <w:spacing w:after="0"/>
              <w:rPr>
                <w:sz w:val="20"/>
                <w:szCs w:val="20"/>
                <w:color w:val="auto"/>
              </w:rPr>
            </w:pPr>
            <w:r>
              <w:rPr>
                <w:rFonts w:ascii="Arial" w:cs="Arial" w:eastAsia="Arial" w:hAnsi="Arial"/>
                <w:sz w:val="18"/>
                <w:szCs w:val="18"/>
                <w:color w:val="auto"/>
              </w:rPr>
              <w:t>$135,736</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Benjamin Walden</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$6.60</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12/16/18</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4,330</w:t>
            </w:r>
          </w:p>
        </w:tc>
        <w:tc>
          <w:tcPr>
            <w:tcW w:w="1240" w:type="dxa"/>
            <w:vAlign w:val="bottom"/>
          </w:tcPr>
          <w:p>
            <w:pPr>
              <w:ind w:left="300"/>
              <w:spacing w:after="0"/>
              <w:rPr>
                <w:sz w:val="20"/>
                <w:szCs w:val="20"/>
                <w:color w:val="auto"/>
              </w:rPr>
            </w:pPr>
            <w:r>
              <w:rPr>
                <w:rFonts w:ascii="Arial" w:cs="Arial" w:eastAsia="Arial" w:hAnsi="Arial"/>
                <w:sz w:val="18"/>
                <w:szCs w:val="18"/>
                <w:color w:val="auto"/>
              </w:rPr>
              <w:t>$81,404</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 -</w:t>
            </w:r>
          </w:p>
        </w:tc>
        <w:tc>
          <w:tcPr>
            <w:tcW w:w="0" w:type="dxa"/>
            <w:vAlign w:val="bottom"/>
          </w:tcPr>
          <w:p>
            <w:pPr>
              <w:spacing w:after="0"/>
              <w:rPr>
                <w:sz w:val="1"/>
                <w:szCs w:val="1"/>
                <w:color w:val="auto"/>
              </w:rPr>
            </w:pPr>
          </w:p>
        </w:tc>
      </w:tr>
      <w:tr>
        <w:trPr>
          <w:trHeight w:val="230"/>
        </w:trPr>
        <w:tc>
          <w:tcPr>
            <w:tcW w:w="1820" w:type="dxa"/>
            <w:vAlign w:val="bottom"/>
            <w:vMerge w:val="restart"/>
          </w:tcPr>
          <w:p>
            <w:pPr>
              <w:spacing w:after="0"/>
              <w:rPr>
                <w:sz w:val="20"/>
                <w:szCs w:val="20"/>
                <w:color w:val="auto"/>
              </w:rPr>
            </w:pPr>
            <w:r>
              <w:rPr>
                <w:rFonts w:ascii="Arial" w:cs="Arial" w:eastAsia="Arial" w:hAnsi="Arial"/>
                <w:sz w:val="18"/>
                <w:szCs w:val="18"/>
                <w:color w:val="auto"/>
                <w:w w:val="94"/>
              </w:rPr>
              <w:t>___________________</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5,000 (1)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$7.85</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3/11/21</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300"/>
              <w:spacing w:after="0"/>
              <w:rPr>
                <w:sz w:val="20"/>
                <w:szCs w:val="20"/>
                <w:color w:val="auto"/>
              </w:rPr>
            </w:pPr>
            <w:r>
              <w:rPr>
                <w:rFonts w:ascii="Arial" w:cs="Arial" w:eastAsia="Arial" w:hAnsi="Arial"/>
                <w:sz w:val="18"/>
                <w:szCs w:val="18"/>
                <w:color w:val="auto"/>
              </w:rPr>
              <w:t>$ -</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 -</w:t>
            </w: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options became exercisable to the extent of 2,500 shared on March 11, 2018 and will become exercisable to the extent of 2,500 shares on March 11, 2019.</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Termination of Employment and Change-in-Control Arrangements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Goldstein Employment Agreement, in the event that Mr. Goldstein's employment is terminated by us without cause or he resigns for good reason (each as defined in the Goldstein Employment Agreement), Mr. Goldstein would be entitled to receive his base salary, the 6% bonus and the LTC payment for the remainder of the term. In addition, in such event, Mr. Goldstein's vested options would remain exercisable until the first anniversary of the termination date.</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Mr. Goldstein would be entitled, under certain circumstances, to a payment equal to one and one-half times his then annual salary and the target LTC payment of $1,890,000 in the event of the termination of his employment following a change of control of the Company. Under such circumstances, Mr. Goldstein's outstanding options would become exercisable and would remain exercisable until the first anniversary of the termination date.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of our non-employee directors for the fiscal year ended December 31, 2017:</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47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DIRECTOR COMPENSATION</w:t>
            </w:r>
          </w:p>
        </w:tc>
        <w:tc>
          <w:tcPr>
            <w:tcW w:w="19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41"/>
        </w:trPr>
        <w:tc>
          <w:tcPr>
            <w:tcW w:w="2880" w:type="dxa"/>
            <w:vAlign w:val="bottom"/>
          </w:tcPr>
          <w:p>
            <w:pPr>
              <w:spacing w:after="0"/>
              <w:rPr>
                <w:sz w:val="24"/>
                <w:szCs w:val="24"/>
                <w:color w:val="auto"/>
              </w:rPr>
            </w:pPr>
          </w:p>
        </w:tc>
        <w:tc>
          <w:tcPr>
            <w:tcW w:w="268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Fees Earned</w:t>
            </w: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1"/>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6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1"/>
              </w:rPr>
              <w:t>or Paid in Cash</w:t>
            </w:r>
          </w:p>
        </w:tc>
        <w:tc>
          <w:tcPr>
            <w:tcW w:w="2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Stock Awards (4)</w:t>
            </w: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Option Awards</w:t>
            </w:r>
          </w:p>
        </w:tc>
        <w:tc>
          <w:tcPr>
            <w:tcW w:w="1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Total</w:t>
            </w:r>
          </w:p>
        </w:tc>
      </w:tr>
      <w:tr>
        <w:trPr>
          <w:trHeight w:val="431"/>
        </w:trPr>
        <w:tc>
          <w:tcPr>
            <w:tcW w:w="2880" w:type="dxa"/>
            <w:vAlign w:val="bottom"/>
          </w:tcPr>
          <w:p>
            <w:pPr>
              <w:spacing w:after="0"/>
              <w:rPr>
                <w:sz w:val="20"/>
                <w:szCs w:val="20"/>
                <w:color w:val="auto"/>
              </w:rPr>
            </w:pPr>
            <w:r>
              <w:rPr>
                <w:rFonts w:ascii="Arial" w:cs="Arial" w:eastAsia="Arial" w:hAnsi="Arial"/>
                <w:sz w:val="18"/>
                <w:szCs w:val="18"/>
                <w:color w:val="auto"/>
              </w:rPr>
              <w:t>Jay M. Haft</w:t>
            </w:r>
          </w:p>
        </w:tc>
        <w:tc>
          <w:tcPr>
            <w:tcW w:w="2680" w:type="dxa"/>
            <w:vAlign w:val="bottom"/>
          </w:tcPr>
          <w:p>
            <w:pPr>
              <w:jc w:val="center"/>
              <w:ind w:left="630"/>
              <w:spacing w:after="0"/>
              <w:rPr>
                <w:sz w:val="20"/>
                <w:szCs w:val="20"/>
                <w:color w:val="auto"/>
              </w:rPr>
            </w:pPr>
            <w:r>
              <w:rPr>
                <w:rFonts w:ascii="Arial" w:cs="Arial" w:eastAsia="Arial" w:hAnsi="Arial"/>
                <w:sz w:val="18"/>
                <w:szCs w:val="18"/>
                <w:color w:val="auto"/>
                <w:w w:val="92"/>
              </w:rPr>
              <w:t>$50,000</w:t>
            </w:r>
          </w:p>
        </w:tc>
        <w:tc>
          <w:tcPr>
            <w:tcW w:w="2100" w:type="dxa"/>
            <w:vAlign w:val="bottom"/>
          </w:tcPr>
          <w:p>
            <w:pPr>
              <w:jc w:val="right"/>
              <w:ind w:right="190"/>
              <w:spacing w:after="0"/>
              <w:rPr>
                <w:sz w:val="20"/>
                <w:szCs w:val="20"/>
                <w:color w:val="auto"/>
              </w:rPr>
            </w:pPr>
            <w:r>
              <w:rPr>
                <w:rFonts w:ascii="Arial" w:cs="Arial" w:eastAsia="Arial" w:hAnsi="Arial"/>
                <w:sz w:val="18"/>
                <w:szCs w:val="18"/>
                <w:color w:val="auto"/>
              </w:rPr>
              <w:t>$26,700</w:t>
            </w: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89"/>
              </w:rPr>
              <w:t>$76,700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Jack D. Seibald (1)</w:t>
            </w:r>
          </w:p>
        </w:tc>
        <w:tc>
          <w:tcPr>
            <w:tcW w:w="2680" w:type="dxa"/>
            <w:vAlign w:val="bottom"/>
          </w:tcPr>
          <w:p>
            <w:pPr>
              <w:jc w:val="center"/>
              <w:ind w:left="630"/>
              <w:spacing w:after="0"/>
              <w:rPr>
                <w:sz w:val="20"/>
                <w:szCs w:val="20"/>
                <w:color w:val="auto"/>
              </w:rPr>
            </w:pPr>
            <w:r>
              <w:rPr>
                <w:rFonts w:ascii="Arial" w:cs="Arial" w:eastAsia="Arial" w:hAnsi="Arial"/>
                <w:sz w:val="18"/>
                <w:szCs w:val="18"/>
                <w:color w:val="auto"/>
                <w:w w:val="92"/>
              </w:rPr>
              <w:t>$17,167</w:t>
            </w:r>
          </w:p>
        </w:tc>
        <w:tc>
          <w:tcPr>
            <w:tcW w:w="21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89"/>
              </w:rPr>
              <w:t>$17,167</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Floyd R. Tupper</w:t>
            </w:r>
          </w:p>
        </w:tc>
        <w:tc>
          <w:tcPr>
            <w:tcW w:w="2680" w:type="dxa"/>
            <w:vAlign w:val="bottom"/>
          </w:tcPr>
          <w:p>
            <w:pPr>
              <w:jc w:val="center"/>
              <w:ind w:left="630"/>
              <w:spacing w:after="0"/>
              <w:rPr>
                <w:sz w:val="20"/>
                <w:szCs w:val="20"/>
                <w:color w:val="auto"/>
              </w:rPr>
            </w:pPr>
            <w:r>
              <w:rPr>
                <w:rFonts w:ascii="Arial" w:cs="Arial" w:eastAsia="Arial" w:hAnsi="Arial"/>
                <w:sz w:val="18"/>
                <w:szCs w:val="18"/>
                <w:color w:val="auto"/>
                <w:w w:val="92"/>
              </w:rPr>
              <w:t>$51,500</w:t>
            </w:r>
          </w:p>
        </w:tc>
        <w:tc>
          <w:tcPr>
            <w:tcW w:w="2100" w:type="dxa"/>
            <w:vAlign w:val="bottom"/>
          </w:tcPr>
          <w:p>
            <w:pPr>
              <w:jc w:val="right"/>
              <w:ind w:right="190"/>
              <w:spacing w:after="0"/>
              <w:rPr>
                <w:sz w:val="20"/>
                <w:szCs w:val="20"/>
                <w:color w:val="auto"/>
              </w:rPr>
            </w:pPr>
            <w:r>
              <w:rPr>
                <w:rFonts w:ascii="Arial" w:cs="Arial" w:eastAsia="Arial" w:hAnsi="Arial"/>
                <w:sz w:val="18"/>
                <w:szCs w:val="18"/>
                <w:color w:val="auto"/>
              </w:rPr>
              <w:t>$26,700</w:t>
            </w: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89"/>
              </w:rPr>
              <w:t>$78,200</w:t>
            </w:r>
          </w:p>
        </w:tc>
      </w:tr>
      <w:tr>
        <w:trPr>
          <w:trHeight w:val="229"/>
        </w:trPr>
        <w:tc>
          <w:tcPr>
            <w:tcW w:w="2880" w:type="dxa"/>
            <w:vAlign w:val="bottom"/>
          </w:tcPr>
          <w:p>
            <w:pPr>
              <w:spacing w:after="0"/>
              <w:rPr>
                <w:sz w:val="20"/>
                <w:szCs w:val="20"/>
                <w:color w:val="auto"/>
              </w:rPr>
            </w:pPr>
            <w:r>
              <w:rPr>
                <w:rFonts w:ascii="Arial" w:cs="Arial" w:eastAsia="Arial" w:hAnsi="Arial"/>
                <w:sz w:val="18"/>
                <w:szCs w:val="18"/>
                <w:color w:val="auto"/>
              </w:rPr>
              <w:t>William L. Yankus</w:t>
            </w:r>
          </w:p>
        </w:tc>
        <w:tc>
          <w:tcPr>
            <w:tcW w:w="2680" w:type="dxa"/>
            <w:vAlign w:val="bottom"/>
          </w:tcPr>
          <w:p>
            <w:pPr>
              <w:jc w:val="center"/>
              <w:ind w:left="630"/>
              <w:spacing w:after="0"/>
              <w:rPr>
                <w:sz w:val="20"/>
                <w:szCs w:val="20"/>
                <w:color w:val="auto"/>
              </w:rPr>
            </w:pPr>
            <w:r>
              <w:rPr>
                <w:rFonts w:ascii="Arial" w:cs="Arial" w:eastAsia="Arial" w:hAnsi="Arial"/>
                <w:sz w:val="18"/>
                <w:szCs w:val="18"/>
                <w:color w:val="auto"/>
                <w:w w:val="92"/>
              </w:rPr>
              <w:t>$50,750</w:t>
            </w:r>
          </w:p>
        </w:tc>
        <w:tc>
          <w:tcPr>
            <w:tcW w:w="2100" w:type="dxa"/>
            <w:vAlign w:val="bottom"/>
          </w:tcPr>
          <w:p>
            <w:pPr>
              <w:jc w:val="right"/>
              <w:ind w:right="190"/>
              <w:spacing w:after="0"/>
              <w:rPr>
                <w:sz w:val="20"/>
                <w:szCs w:val="20"/>
                <w:color w:val="auto"/>
              </w:rPr>
            </w:pPr>
            <w:r>
              <w:rPr>
                <w:rFonts w:ascii="Arial" w:cs="Arial" w:eastAsia="Arial" w:hAnsi="Arial"/>
                <w:sz w:val="18"/>
                <w:szCs w:val="18"/>
                <w:color w:val="auto"/>
              </w:rPr>
              <w:t>$26,700</w:t>
            </w: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89"/>
              </w:rPr>
              <w:t>$77,450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Carla A. D'Andre (2)</w:t>
            </w:r>
          </w:p>
        </w:tc>
        <w:tc>
          <w:tcPr>
            <w:tcW w:w="2680" w:type="dxa"/>
            <w:vAlign w:val="bottom"/>
          </w:tcPr>
          <w:p>
            <w:pPr>
              <w:jc w:val="center"/>
              <w:ind w:left="630"/>
              <w:spacing w:after="0"/>
              <w:rPr>
                <w:sz w:val="20"/>
                <w:szCs w:val="20"/>
                <w:color w:val="auto"/>
              </w:rPr>
            </w:pPr>
            <w:r>
              <w:rPr>
                <w:rFonts w:ascii="Arial" w:cs="Arial" w:eastAsia="Arial" w:hAnsi="Arial"/>
                <w:sz w:val="18"/>
                <w:szCs w:val="18"/>
                <w:color w:val="auto"/>
                <w:w w:val="92"/>
              </w:rPr>
              <w:t>$31,250</w:t>
            </w:r>
          </w:p>
        </w:tc>
        <w:tc>
          <w:tcPr>
            <w:tcW w:w="2100" w:type="dxa"/>
            <w:vAlign w:val="bottom"/>
          </w:tcPr>
          <w:p>
            <w:pPr>
              <w:jc w:val="right"/>
              <w:ind w:right="190"/>
              <w:spacing w:after="0"/>
              <w:rPr>
                <w:sz w:val="20"/>
                <w:szCs w:val="20"/>
                <w:color w:val="auto"/>
              </w:rPr>
            </w:pPr>
            <w:r>
              <w:rPr>
                <w:rFonts w:ascii="Arial" w:cs="Arial" w:eastAsia="Arial" w:hAnsi="Arial"/>
                <w:sz w:val="18"/>
                <w:szCs w:val="18"/>
                <w:color w:val="auto"/>
              </w:rPr>
              <w:t>$17,625</w:t>
            </w: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89"/>
              </w:rPr>
              <w:t>$48,875</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Dale A. Thatcher (3)</w:t>
            </w:r>
          </w:p>
        </w:tc>
        <w:tc>
          <w:tcPr>
            <w:tcW w:w="2680" w:type="dxa"/>
            <w:vAlign w:val="bottom"/>
          </w:tcPr>
          <w:p>
            <w:pPr>
              <w:jc w:val="center"/>
              <w:ind w:left="630"/>
              <w:spacing w:after="0"/>
              <w:rPr>
                <w:sz w:val="20"/>
                <w:szCs w:val="20"/>
                <w:color w:val="auto"/>
              </w:rPr>
            </w:pPr>
            <w:r>
              <w:rPr>
                <w:rFonts w:ascii="Arial" w:cs="Arial" w:eastAsia="Arial" w:hAnsi="Arial"/>
                <w:sz w:val="18"/>
                <w:szCs w:val="18"/>
                <w:color w:val="auto"/>
                <w:w w:val="92"/>
              </w:rPr>
              <w:t>$19,464</w:t>
            </w:r>
          </w:p>
        </w:tc>
        <w:tc>
          <w:tcPr>
            <w:tcW w:w="2100" w:type="dxa"/>
            <w:vAlign w:val="bottom"/>
          </w:tcPr>
          <w:p>
            <w:pPr>
              <w:jc w:val="right"/>
              <w:ind w:right="190"/>
              <w:spacing w:after="0"/>
              <w:rPr>
                <w:sz w:val="20"/>
                <w:szCs w:val="20"/>
                <w:color w:val="auto"/>
              </w:rPr>
            </w:pPr>
            <w:r>
              <w:rPr>
                <w:rFonts w:ascii="Arial" w:cs="Arial" w:eastAsia="Arial" w:hAnsi="Arial"/>
                <w:sz w:val="18"/>
                <w:szCs w:val="18"/>
                <w:color w:val="auto"/>
              </w:rPr>
              <w:t>$12,124</w:t>
            </w: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89"/>
              </w:rPr>
              <w:t>$31,587</w:t>
            </w:r>
          </w:p>
        </w:tc>
      </w:tr>
      <w:tr>
        <w:trPr>
          <w:trHeight w:val="230"/>
        </w:trPr>
        <w:tc>
          <w:tcPr>
            <w:tcW w:w="2880" w:type="dxa"/>
            <w:vAlign w:val="bottom"/>
          </w:tcPr>
          <w:p>
            <w:pPr>
              <w:ind w:left="60"/>
              <w:spacing w:after="0"/>
              <w:rPr>
                <w:sz w:val="20"/>
                <w:szCs w:val="20"/>
                <w:color w:val="auto"/>
              </w:rPr>
            </w:pPr>
            <w:r>
              <w:rPr>
                <w:rFonts w:ascii="Arial" w:cs="Arial" w:eastAsia="Arial" w:hAnsi="Arial"/>
                <w:sz w:val="18"/>
                <w:szCs w:val="18"/>
                <w:color w:val="auto"/>
              </w:rPr>
              <w:t>___________________</w:t>
            </w: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29" w:lineRule="exact"/>
        <w:rPr>
          <w:sz w:val="20"/>
          <w:szCs w:val="20"/>
          <w:color w:val="auto"/>
        </w:rPr>
      </w:pPr>
    </w:p>
    <w:p>
      <w:pPr>
        <w:ind w:left="700" w:hanging="368"/>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Seibald resigned as a director in April 2017.</w:t>
      </w:r>
    </w:p>
    <w:p>
      <w:pPr>
        <w:spacing w:after="0" w:line="252" w:lineRule="exact"/>
        <w:rPr>
          <w:rFonts w:ascii="Arial" w:cs="Arial" w:eastAsia="Arial" w:hAnsi="Arial"/>
          <w:sz w:val="18"/>
          <w:szCs w:val="18"/>
          <w:color w:val="auto"/>
        </w:rPr>
      </w:pPr>
    </w:p>
    <w:p>
      <w:pPr>
        <w:ind w:left="700" w:hanging="368"/>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Ms. D'Andre was appointed a director in May 2017.</w:t>
      </w:r>
    </w:p>
    <w:p>
      <w:pPr>
        <w:spacing w:after="0" w:line="252" w:lineRule="exact"/>
        <w:rPr>
          <w:rFonts w:ascii="Arial" w:cs="Arial" w:eastAsia="Arial" w:hAnsi="Arial"/>
          <w:sz w:val="18"/>
          <w:szCs w:val="18"/>
          <w:color w:val="auto"/>
        </w:rPr>
      </w:pPr>
    </w:p>
    <w:p>
      <w:pPr>
        <w:ind w:left="700" w:hanging="368"/>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Thatcher was appointed a director in August 2017.</w:t>
      </w:r>
    </w:p>
    <w:p>
      <w:pPr>
        <w:spacing w:after="0" w:line="252" w:lineRule="exact"/>
        <w:rPr>
          <w:rFonts w:ascii="Arial" w:cs="Arial" w:eastAsia="Arial" w:hAnsi="Arial"/>
          <w:sz w:val="18"/>
          <w:szCs w:val="18"/>
          <w:color w:val="auto"/>
        </w:rPr>
      </w:pPr>
    </w:p>
    <w:p>
      <w:pPr>
        <w:jc w:val="both"/>
        <w:ind w:left="700" w:hanging="368"/>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of grants made in the fiscal year computed in accordance with stock-based accounting rules (FASB ASC Topic 718- Stock Compensation), excluding the effect of estimated forfeitures. Assumptions used in the calculations of these amounts are included in Note 12 to our Consolidated Financial Statements included in our Annual Report on Form 10-K for the year ended December 31, 2017, which accompanies this proxy statement.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non-employee directors are currently entitled to receive annual compensation for their services as directors as follows:</w:t>
      </w:r>
    </w:p>
    <w:p>
      <w:pPr>
        <w:spacing w:after="0" w:line="225" w:lineRule="exact"/>
        <w:rPr>
          <w:sz w:val="20"/>
          <w:szCs w:val="20"/>
          <w:color w:val="auto"/>
        </w:rPr>
      </w:pPr>
    </w:p>
    <w:p>
      <w:pPr>
        <w:ind w:left="920" w:hanging="20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$50,000 (including $6,000 for services as a director of KICO)</w:t>
      </w:r>
    </w:p>
    <w:p>
      <w:pPr>
        <w:spacing w:after="0" w:line="23" w:lineRule="exact"/>
        <w:rPr>
          <w:rFonts w:ascii="Arial" w:cs="Arial" w:eastAsia="Arial" w:hAnsi="Arial"/>
          <w:sz w:val="18"/>
          <w:szCs w:val="18"/>
          <w:color w:val="auto"/>
        </w:rPr>
      </w:pPr>
    </w:p>
    <w:p>
      <w:pPr>
        <w:ind w:left="920" w:hanging="20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$11,000 for services as committee chair (and $1,500 for services as KICO committee chair)</w:t>
      </w:r>
    </w:p>
    <w:p>
      <w:pPr>
        <w:spacing w:after="0" w:line="9" w:lineRule="exact"/>
        <w:rPr>
          <w:rFonts w:ascii="Arial" w:cs="Arial" w:eastAsia="Arial" w:hAnsi="Arial"/>
          <w:sz w:val="18"/>
          <w:szCs w:val="18"/>
          <w:color w:val="auto"/>
        </w:rPr>
      </w:pPr>
    </w:p>
    <w:p>
      <w:pPr>
        <w:ind w:left="920" w:right="280" w:hanging="201"/>
        <w:spacing w:after="0" w:line="261"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2,000 shares of our common stock which vest in one-third increments over a three year period (the initial grant of shares having been made in January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 AND MANAGEMENT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Security Ownership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certain information as of June 13, 2018 regarding the beneficial ownership of our shares of common stock by (i) each person who we believe to be the beneficial owner of more than 5% of our outstanding shares of common stock, (ii) each present director and nominee, (iii) each person listed in the Summary Compensation Table under "Executive Compensation," and (iv) all of our present executive officers and directors as a group: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Name and Address</w:t>
            </w:r>
          </w:p>
        </w:tc>
        <w:tc>
          <w:tcPr>
            <w:tcW w:w="4300" w:type="dxa"/>
            <w:vAlign w:val="bottom"/>
          </w:tcPr>
          <w:p>
            <w:pPr>
              <w:jc w:val="center"/>
              <w:ind w:left="950"/>
              <w:spacing w:after="0"/>
              <w:rPr>
                <w:sz w:val="20"/>
                <w:szCs w:val="20"/>
                <w:color w:val="auto"/>
              </w:rPr>
            </w:pPr>
            <w:r>
              <w:rPr>
                <w:rFonts w:ascii="Arial" w:cs="Arial" w:eastAsia="Arial" w:hAnsi="Arial"/>
                <w:sz w:val="18"/>
                <w:szCs w:val="18"/>
                <w:b w:val="1"/>
                <w:bCs w:val="1"/>
                <w:color w:val="auto"/>
                <w:w w:val="88"/>
              </w:rPr>
              <w:t>Number of Shares</w:t>
            </w:r>
          </w:p>
        </w:tc>
        <w:tc>
          <w:tcPr>
            <w:tcW w:w="294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Approximate</w:t>
            </w:r>
          </w:p>
        </w:tc>
      </w:tr>
      <w:tr>
        <w:trPr>
          <w:trHeight w:val="24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 Beneficial Owner</w:t>
            </w:r>
          </w:p>
        </w:tc>
        <w:tc>
          <w:tcPr>
            <w:tcW w:w="430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b w:val="1"/>
                <w:bCs w:val="1"/>
                <w:color w:val="auto"/>
                <w:w w:val="90"/>
              </w:rPr>
              <w:t>Beneficially Owned</w:t>
            </w:r>
          </w:p>
        </w:tc>
        <w:tc>
          <w:tcPr>
            <w:tcW w:w="29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Percent of Class</w:t>
            </w: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Barry B. Goldstein</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89"/>
              </w:rPr>
              <w:t>891,198</w:t>
            </w:r>
          </w:p>
        </w:tc>
        <w:tc>
          <w:tcPr>
            <w:tcW w:w="2940" w:type="dxa"/>
            <w:vAlign w:val="bottom"/>
          </w:tcPr>
          <w:p>
            <w:pPr>
              <w:jc w:val="right"/>
              <w:ind w:right="1070"/>
              <w:spacing w:after="0"/>
              <w:rPr>
                <w:sz w:val="20"/>
                <w:szCs w:val="20"/>
                <w:color w:val="auto"/>
              </w:rPr>
            </w:pPr>
            <w:r>
              <w:rPr>
                <w:rFonts w:ascii="Arial" w:cs="Arial" w:eastAsia="Arial" w:hAnsi="Arial"/>
                <w:sz w:val="18"/>
                <w:szCs w:val="18"/>
                <w:color w:val="auto"/>
              </w:rPr>
              <w:t>8.2%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15 Joys Lane</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5"/>
              </w:rPr>
              <w:t>(1)(2)</w:t>
            </w:r>
          </w:p>
        </w:tc>
        <w:tc>
          <w:tcPr>
            <w:tcW w:w="29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Kingston, New York</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Jay M. Haft</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0"/>
              </w:rPr>
              <w:t>88,424</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69 Beaver Dam Road</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9"/>
              </w:rPr>
              <w:t>(1)</w:t>
            </w:r>
          </w:p>
        </w:tc>
        <w:tc>
          <w:tcPr>
            <w:tcW w:w="29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Salisbury, Connecticut</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08"/>
        </w:trPr>
        <w:tc>
          <w:tcPr>
            <w:tcW w:w="4180" w:type="dxa"/>
            <w:vAlign w:val="bottom"/>
          </w:tcPr>
          <w:p>
            <w:pPr>
              <w:spacing w:after="0"/>
              <w:rPr>
                <w:sz w:val="20"/>
                <w:szCs w:val="20"/>
                <w:color w:val="auto"/>
              </w:rPr>
            </w:pPr>
            <w:r>
              <w:rPr>
                <w:rFonts w:ascii="Arial" w:cs="Arial" w:eastAsia="Arial" w:hAnsi="Arial"/>
                <w:sz w:val="18"/>
                <w:szCs w:val="18"/>
                <w:color w:val="auto"/>
              </w:rPr>
              <w:t>Floyd R. Tupper</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0"/>
              </w:rPr>
              <w:t>57,097</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26"/>
        </w:trPr>
        <w:tc>
          <w:tcPr>
            <w:tcW w:w="4180" w:type="dxa"/>
            <w:vAlign w:val="bottom"/>
          </w:tcPr>
          <w:p>
            <w:pPr>
              <w:spacing w:after="0" w:line="226" w:lineRule="exact"/>
              <w:rPr>
                <w:sz w:val="20"/>
                <w:szCs w:val="20"/>
                <w:color w:val="auto"/>
              </w:rPr>
            </w:pPr>
            <w:r>
              <w:rPr>
                <w:rFonts w:ascii="Arial" w:cs="Arial" w:eastAsia="Arial" w:hAnsi="Arial"/>
                <w:sz w:val="16"/>
                <w:szCs w:val="16"/>
                <w:color w:val="auto"/>
              </w:rPr>
              <w:t>220 East 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5"/>
              </w:rPr>
              <w:t>(1)(3)</w:t>
            </w:r>
          </w:p>
        </w:tc>
        <w:tc>
          <w:tcPr>
            <w:tcW w:w="294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New York, New York</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Victor J. Brodsky</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0"/>
              </w:rPr>
              <w:t>29,751</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15 Joys Lane</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5"/>
              </w:rPr>
              <w:t>(1)(4)</w:t>
            </w:r>
          </w:p>
        </w:tc>
        <w:tc>
          <w:tcPr>
            <w:tcW w:w="29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Kingston, New York</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Dale A. Thatcher</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0"/>
              </w:rPr>
              <w:t>25,265</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212 Third Street</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9"/>
              </w:rPr>
              <w:t>(1)</w:t>
            </w:r>
          </w:p>
        </w:tc>
        <w:tc>
          <w:tcPr>
            <w:tcW w:w="29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Milford, Pennsylvania</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Benjamin Walden</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0"/>
              </w:rPr>
              <w:t>20,339</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11 Mill Pond Lane</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5"/>
              </w:rPr>
              <w:t>(1)(5)</w:t>
            </w:r>
          </w:p>
        </w:tc>
        <w:tc>
          <w:tcPr>
            <w:tcW w:w="29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Centerport, New York</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Carla A. D'Andre</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3"/>
              </w:rPr>
              <w:t>4,817</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3561 Avocado Avenue</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9"/>
              </w:rPr>
              <w:t>(1)</w:t>
            </w:r>
          </w:p>
        </w:tc>
        <w:tc>
          <w:tcPr>
            <w:tcW w:w="29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Miami, Florida</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William L. Yankus</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3"/>
              </w:rPr>
              <w:t>3,667</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10 Pheasant Hill Road</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9"/>
              </w:rPr>
              <w:t>(1)</w:t>
            </w:r>
          </w:p>
        </w:tc>
        <w:tc>
          <w:tcPr>
            <w:tcW w:w="29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Farmington, Connecticut</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08"/>
        </w:trPr>
        <w:tc>
          <w:tcPr>
            <w:tcW w:w="4180" w:type="dxa"/>
            <w:vAlign w:val="bottom"/>
          </w:tcPr>
          <w:p>
            <w:pPr>
              <w:spacing w:after="0"/>
              <w:rPr>
                <w:sz w:val="20"/>
                <w:szCs w:val="20"/>
                <w:color w:val="auto"/>
              </w:rPr>
            </w:pPr>
            <w:r>
              <w:rPr>
                <w:rFonts w:ascii="Arial" w:cs="Arial" w:eastAsia="Arial" w:hAnsi="Arial"/>
                <w:sz w:val="18"/>
                <w:szCs w:val="18"/>
                <w:color w:val="auto"/>
              </w:rPr>
              <w:t>Timothy P. McFadden</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9"/>
              </w:rPr>
              <w:t>-</w:t>
            </w:r>
          </w:p>
        </w:tc>
        <w:tc>
          <w:tcPr>
            <w:tcW w:w="294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r>
      <w:tr>
        <w:trPr>
          <w:trHeight w:val="226"/>
        </w:trPr>
        <w:tc>
          <w:tcPr>
            <w:tcW w:w="4180" w:type="dxa"/>
            <w:vAlign w:val="bottom"/>
          </w:tcPr>
          <w:p>
            <w:pPr>
              <w:spacing w:after="0" w:line="226" w:lineRule="exact"/>
              <w:rPr>
                <w:sz w:val="20"/>
                <w:szCs w:val="20"/>
                <w:color w:val="auto"/>
              </w:rPr>
            </w:pPr>
            <w:r>
              <w:rPr>
                <w:rFonts w:ascii="Arial" w:cs="Arial" w:eastAsia="Arial" w:hAnsi="Arial"/>
                <w:sz w:val="16"/>
                <w:szCs w:val="16"/>
                <w:color w:val="auto"/>
              </w:rPr>
              <w:t>310 8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Avenue N.</w:t>
            </w:r>
          </w:p>
        </w:tc>
        <w:tc>
          <w:tcPr>
            <w:tcW w:w="43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Saint Petersburg, Florida</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RenaissanceRe Ventures Ltd.</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89"/>
              </w:rPr>
              <w:t>595,238</w:t>
            </w:r>
          </w:p>
        </w:tc>
        <w:tc>
          <w:tcPr>
            <w:tcW w:w="2940" w:type="dxa"/>
            <w:vAlign w:val="bottom"/>
          </w:tcPr>
          <w:p>
            <w:pPr>
              <w:jc w:val="center"/>
              <w:ind w:left="10"/>
              <w:spacing w:after="0"/>
              <w:rPr>
                <w:sz w:val="20"/>
                <w:szCs w:val="20"/>
                <w:color w:val="auto"/>
              </w:rPr>
            </w:pPr>
            <w:r>
              <w:rPr>
                <w:rFonts w:ascii="Arial" w:cs="Arial" w:eastAsia="Arial" w:hAnsi="Arial"/>
                <w:sz w:val="18"/>
                <w:szCs w:val="18"/>
                <w:color w:val="auto"/>
                <w:w w:val="87"/>
              </w:rPr>
              <w:t>5.6%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Renaissance Other Investments</w:t>
            </w:r>
          </w:p>
        </w:tc>
        <w:tc>
          <w:tcPr>
            <w:tcW w:w="4300" w:type="dxa"/>
            <w:vAlign w:val="bottom"/>
          </w:tcPr>
          <w:p>
            <w:pPr>
              <w:jc w:val="center"/>
              <w:ind w:left="950"/>
              <w:spacing w:after="0"/>
              <w:rPr>
                <w:sz w:val="20"/>
                <w:szCs w:val="20"/>
                <w:color w:val="auto"/>
              </w:rPr>
            </w:pPr>
            <w:r>
              <w:rPr>
                <w:rFonts w:ascii="Arial" w:cs="Arial" w:eastAsia="Arial" w:hAnsi="Arial"/>
                <w:sz w:val="18"/>
                <w:szCs w:val="18"/>
                <w:color w:val="auto"/>
                <w:w w:val="99"/>
              </w:rPr>
              <w:t>(6)</w:t>
            </w:r>
          </w:p>
        </w:tc>
        <w:tc>
          <w:tcPr>
            <w:tcW w:w="2940" w:type="dxa"/>
            <w:vAlign w:val="bottom"/>
          </w:tcPr>
          <w:p>
            <w:pPr>
              <w:spacing w:after="0"/>
              <w:rPr>
                <w:sz w:val="18"/>
                <w:szCs w:val="18"/>
                <w:color w:val="auto"/>
              </w:rPr>
            </w:pPr>
          </w:p>
        </w:tc>
      </w:tr>
      <w:tr>
        <w:trPr>
          <w:trHeight w:val="216"/>
        </w:trPr>
        <w:tc>
          <w:tcPr>
            <w:tcW w:w="4180" w:type="dxa"/>
            <w:vAlign w:val="bottom"/>
          </w:tcPr>
          <w:p>
            <w:pPr>
              <w:ind w:left="140"/>
              <w:spacing w:after="0"/>
              <w:rPr>
                <w:sz w:val="20"/>
                <w:szCs w:val="20"/>
                <w:color w:val="auto"/>
              </w:rPr>
            </w:pPr>
            <w:r>
              <w:rPr>
                <w:rFonts w:ascii="Arial" w:cs="Arial" w:eastAsia="Arial" w:hAnsi="Arial"/>
                <w:sz w:val="18"/>
                <w:szCs w:val="18"/>
                <w:color w:val="auto"/>
              </w:rPr>
              <w:t>Holding II Ltd.</w:t>
            </w:r>
          </w:p>
        </w:tc>
        <w:tc>
          <w:tcPr>
            <w:tcW w:w="43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RenaissanceRe Holdings Ltd.</w:t>
            </w:r>
          </w:p>
        </w:tc>
        <w:tc>
          <w:tcPr>
            <w:tcW w:w="43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Renaissance House</w:t>
            </w:r>
          </w:p>
        </w:tc>
        <w:tc>
          <w:tcPr>
            <w:tcW w:w="430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12 Crow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Pembrooke HM19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All executive officers</w:t>
            </w:r>
          </w:p>
        </w:tc>
        <w:tc>
          <w:tcPr>
            <w:tcW w:w="4560" w:type="dxa"/>
            <w:vAlign w:val="bottom"/>
          </w:tcPr>
          <w:p>
            <w:pPr>
              <w:jc w:val="right"/>
              <w:ind w:right="1290"/>
              <w:spacing w:after="0"/>
              <w:rPr>
                <w:sz w:val="20"/>
                <w:szCs w:val="20"/>
                <w:color w:val="auto"/>
              </w:rPr>
            </w:pPr>
            <w:r>
              <w:rPr>
                <w:rFonts w:ascii="Arial" w:cs="Arial" w:eastAsia="Arial" w:hAnsi="Arial"/>
                <w:sz w:val="18"/>
                <w:szCs w:val="18"/>
                <w:color w:val="auto"/>
              </w:rPr>
              <w:t>1,120,562</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and directors as a group</w:t>
            </w:r>
          </w:p>
        </w:tc>
        <w:tc>
          <w:tcPr>
            <w:tcW w:w="4560" w:type="dxa"/>
            <w:vAlign w:val="bottom"/>
          </w:tcPr>
          <w:p>
            <w:pPr>
              <w:jc w:val="right"/>
              <w:ind w:right="1110"/>
              <w:spacing w:after="0"/>
              <w:rPr>
                <w:sz w:val="20"/>
                <w:szCs w:val="20"/>
                <w:color w:val="auto"/>
              </w:rPr>
            </w:pPr>
            <w:r>
              <w:rPr>
                <w:rFonts w:ascii="Arial" w:cs="Arial" w:eastAsia="Arial" w:hAnsi="Arial"/>
                <w:sz w:val="18"/>
                <w:szCs w:val="18"/>
                <w:color w:val="auto"/>
              </w:rPr>
              <w:t>(1)(2)(3)(4)(5)</w:t>
            </w:r>
          </w:p>
        </w:tc>
        <w:tc>
          <w:tcPr>
            <w:tcW w:w="166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(8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8"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color w:val="auto"/>
        </w:rPr>
        <w:t>*</w:t>
        <w:tab/>
        <w:t>Less than 1%.</w:t>
      </w:r>
    </w:p>
    <w:p>
      <w:pPr>
        <w:spacing w:after="0" w:line="252" w:lineRule="exact"/>
        <w:rPr>
          <w:sz w:val="20"/>
          <w:szCs w:val="20"/>
          <w:color w:val="auto"/>
        </w:rPr>
      </w:pPr>
    </w:p>
    <w:p>
      <w:pPr>
        <w:ind w:left="600" w:right="20" w:hanging="59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upon Schedule 13D filed under the Securities Exchange Act of 1934, as amended (the "Exchange Act"), and/or other information that is publicly available.</w:t>
      </w:r>
    </w:p>
    <w:p>
      <w:pPr>
        <w:spacing w:after="0" w:line="170" w:lineRule="exact"/>
        <w:rPr>
          <w:rFonts w:ascii="Arial" w:cs="Arial" w:eastAsia="Arial" w:hAnsi="Arial"/>
          <w:sz w:val="18"/>
          <w:szCs w:val="18"/>
          <w:color w:val="auto"/>
        </w:rPr>
      </w:pPr>
    </w:p>
    <w:p>
      <w:pPr>
        <w:jc w:val="both"/>
        <w:ind w:left="600" w:hanging="592"/>
        <w:spacing w:after="0" w:line="259"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183,500 shares issuable upon the exercise of options that are exercisable currently or within 60 days, (ii) 73,168 shares owned by Mr. Goldstein's wife and (iii) 2,000 shares held in a retirement trust for Mr. Goldstein's benefit. The inclusion of the shares owned by Mr. Goldstein's wife and the retirement trust shall not be construed as an admission that Mr. Goldstein is, for purposes of Section 13(d) or 13(g) of the Exchange Act, the beneficial owner of such shares.</w:t>
      </w:r>
    </w:p>
    <w:p>
      <w:pPr>
        <w:spacing w:after="0" w:line="186" w:lineRule="exact"/>
        <w:rPr>
          <w:rFonts w:ascii="Arial" w:cs="Arial" w:eastAsia="Arial" w:hAnsi="Arial"/>
          <w:sz w:val="18"/>
          <w:szCs w:val="18"/>
          <w:color w:val="auto"/>
        </w:rPr>
      </w:pPr>
    </w:p>
    <w:p>
      <w:pPr>
        <w:jc w:val="both"/>
        <w:ind w:left="600" w:hanging="592"/>
        <w:spacing w:after="0" w:line="259"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 31,460 shares owned by Mr. Tupper's wife, (ii) 3,675 shares held in a retirement trust for the benefit of Mr. Tupper and (iii) 810 shares held in a retirement trust for the benefit of Mr. Tupper's wife.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186"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556 shares issuable upon the vesting of restricted stock within 60 days.</w:t>
      </w:r>
    </w:p>
    <w:p>
      <w:pPr>
        <w:spacing w:after="0" w:line="225"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10,000 shares issuable upon the exercise of options that are exercisable currently or within 60 days and (ii) 334 shares issuable upon the vesting of restricted stock within 60 days.</w:t>
      </w:r>
    </w:p>
    <w:p>
      <w:pPr>
        <w:spacing w:after="0" w:line="170" w:lineRule="exact"/>
        <w:rPr>
          <w:rFonts w:ascii="Arial" w:cs="Arial" w:eastAsia="Arial" w:hAnsi="Arial"/>
          <w:sz w:val="18"/>
          <w:szCs w:val="18"/>
          <w:color w:val="auto"/>
        </w:rPr>
      </w:pPr>
    </w:p>
    <w:p>
      <w:pPr>
        <w:jc w:val="both"/>
        <w:ind w:left="600" w:hanging="592"/>
        <w:spacing w:after="0" w:line="259"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upon Schedule 13G, as amended, filed under the Exchange Act, RenaissanceRe Ventures Ltd. ("RenaissanceRe Ventures"), a wholly owned subsidiary of Renaissance Other Investments Holdings II Ltd. ("ROIHL II"), a wholly owned subsidiary of RenaissanceRe Holdings Ltd. ("RenaissanceRe Holdings"), have shared voting and dispositive power over the 595,238 shares. RenaissanceRe Ventures, ROIHL II and RenaissanceRe Holdings each may be deemed to beneficially own the 595,238 shares.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Seven directors are to be elected at the meeting to serve until the next annual meeting of stockholders and until their respective successors shall have been elected and have qualified.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(seven) multiplied by the number of shares he is entitled to vote. A stockholder may therefore cast his votes for one nominee or distribute them among two or more of the nominees.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i w:val="1"/>
          <w:iCs w:val="1"/>
          <w:color w:val="auto"/>
        </w:rPr>
        <w:t>Nominees for Directors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Six of the nominees are currently members of our Board of Directors. The Board of Directors is nominating an additional person, Timothy P. McFadden, to serve as a director. The following table sets forth each nominee's age as of June 13, 2018, the positions and offices presently held by him or her with us, and the year in which he or she became a director. The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nominees. The person named as proxy intends to vote cumulatively all shares represented by proxies equally among all nominees for election as directors, unless proxies are marked to the contrary.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8"/>
              </w:rPr>
              <w:t>Age</w:t>
            </w:r>
          </w:p>
        </w:tc>
        <w:tc>
          <w:tcPr>
            <w:tcW w:w="572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Positions and Offices Held</w:t>
            </w:r>
          </w:p>
        </w:tc>
        <w:tc>
          <w:tcPr>
            <w:tcW w:w="18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Director Since</w:t>
            </w:r>
          </w:p>
        </w:tc>
      </w:tr>
      <w:tr>
        <w:trPr>
          <w:trHeight w:val="634"/>
        </w:trPr>
        <w:tc>
          <w:tcPr>
            <w:tcW w:w="2500" w:type="dxa"/>
            <w:vAlign w:val="bottom"/>
          </w:tcPr>
          <w:p>
            <w:pPr>
              <w:spacing w:after="0"/>
              <w:rPr>
                <w:sz w:val="20"/>
                <w:szCs w:val="20"/>
                <w:color w:val="auto"/>
              </w:rPr>
            </w:pPr>
            <w:r>
              <w:rPr>
                <w:rFonts w:ascii="Arial" w:cs="Arial" w:eastAsia="Arial" w:hAnsi="Arial"/>
                <w:sz w:val="18"/>
                <w:szCs w:val="18"/>
                <w:color w:val="auto"/>
              </w:rPr>
              <w:t>Barry B. Goldstein</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65</w:t>
            </w:r>
          </w:p>
        </w:tc>
        <w:tc>
          <w:tcPr>
            <w:tcW w:w="5720" w:type="dxa"/>
            <w:vAlign w:val="bottom"/>
          </w:tcPr>
          <w:p>
            <w:pPr>
              <w:ind w:left="220"/>
              <w:spacing w:after="0"/>
              <w:rPr>
                <w:sz w:val="20"/>
                <w:szCs w:val="20"/>
                <w:color w:val="auto"/>
              </w:rPr>
            </w:pPr>
            <w:r>
              <w:rPr>
                <w:rFonts w:ascii="Arial" w:cs="Arial" w:eastAsia="Arial" w:hAnsi="Arial"/>
                <w:sz w:val="18"/>
                <w:szCs w:val="18"/>
                <w:color w:val="auto"/>
                <w:w w:val="97"/>
              </w:rPr>
              <w:t>President, Chairman of the Board, Chief Executive Officer and Director</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89"/>
              </w:rPr>
              <w:t>2001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Dale A. Thatcher</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56</w:t>
            </w:r>
          </w:p>
        </w:tc>
        <w:tc>
          <w:tcPr>
            <w:tcW w:w="5720" w:type="dxa"/>
            <w:vAlign w:val="bottom"/>
          </w:tcPr>
          <w:p>
            <w:pPr>
              <w:ind w:left="220"/>
              <w:spacing w:after="0"/>
              <w:rPr>
                <w:sz w:val="20"/>
                <w:szCs w:val="20"/>
                <w:color w:val="auto"/>
              </w:rPr>
            </w:pPr>
            <w:r>
              <w:rPr>
                <w:rFonts w:ascii="Arial" w:cs="Arial" w:eastAsia="Arial" w:hAnsi="Arial"/>
                <w:sz w:val="18"/>
                <w:szCs w:val="18"/>
                <w:color w:val="auto"/>
              </w:rPr>
              <w:t>Chief Operating Officer and Director</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Jay M. Haft</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82</w:t>
            </w:r>
          </w:p>
        </w:tc>
        <w:tc>
          <w:tcPr>
            <w:tcW w:w="57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89"/>
              </w:rPr>
              <w:t>1989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Floyd R. Tupper</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63</w:t>
            </w:r>
          </w:p>
        </w:tc>
        <w:tc>
          <w:tcPr>
            <w:tcW w:w="5720" w:type="dxa"/>
            <w:vAlign w:val="bottom"/>
          </w:tcPr>
          <w:p>
            <w:pPr>
              <w:ind w:left="220"/>
              <w:spacing w:after="0"/>
              <w:rPr>
                <w:sz w:val="20"/>
                <w:szCs w:val="20"/>
                <w:color w:val="auto"/>
              </w:rPr>
            </w:pPr>
            <w:r>
              <w:rPr>
                <w:rFonts w:ascii="Arial" w:cs="Arial" w:eastAsia="Arial" w:hAnsi="Arial"/>
                <w:sz w:val="18"/>
                <w:szCs w:val="18"/>
                <w:color w:val="auto"/>
              </w:rPr>
              <w:t>Secretary and Director</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89"/>
              </w:rPr>
              <w:t>2014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William L. Yankus</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58</w:t>
            </w:r>
          </w:p>
        </w:tc>
        <w:tc>
          <w:tcPr>
            <w:tcW w:w="57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89"/>
              </w:rPr>
              <w:t>2016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Carla A. D'Andre</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62</w:t>
            </w:r>
          </w:p>
        </w:tc>
        <w:tc>
          <w:tcPr>
            <w:tcW w:w="572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Timothy P. McFadden</w:t>
            </w:r>
          </w:p>
        </w:tc>
        <w:tc>
          <w:tcPr>
            <w:tcW w:w="1340" w:type="dxa"/>
            <w:vAlign w:val="bottom"/>
          </w:tcPr>
          <w:p>
            <w:pPr>
              <w:jc w:val="center"/>
              <w:ind w:left="510"/>
              <w:spacing w:after="0"/>
              <w:rPr>
                <w:sz w:val="20"/>
                <w:szCs w:val="20"/>
                <w:color w:val="auto"/>
              </w:rPr>
            </w:pPr>
            <w:r>
              <w:rPr>
                <w:rFonts w:ascii="Arial" w:cs="Arial" w:eastAsia="Arial" w:hAnsi="Arial"/>
                <w:sz w:val="18"/>
                <w:szCs w:val="18"/>
                <w:color w:val="auto"/>
                <w:w w:val="89"/>
              </w:rPr>
              <w:t>56</w:t>
            </w:r>
          </w:p>
        </w:tc>
        <w:tc>
          <w:tcPr>
            <w:tcW w:w="5720" w:type="dxa"/>
            <w:vAlign w:val="bottom"/>
          </w:tcPr>
          <w:p>
            <w:pPr>
              <w:ind w:left="220"/>
              <w:spacing w:after="0"/>
              <w:rPr>
                <w:sz w:val="20"/>
                <w:szCs w:val="20"/>
                <w:color w:val="auto"/>
              </w:rPr>
            </w:pPr>
            <w:r>
              <w:rPr>
                <w:rFonts w:ascii="Arial" w:cs="Arial" w:eastAsia="Arial" w:hAnsi="Arial"/>
                <w:sz w:val="18"/>
                <w:szCs w:val="18"/>
                <w:color w:val="auto"/>
              </w:rPr>
              <w:t>-</w:t>
            </w:r>
          </w:p>
        </w:tc>
        <w:tc>
          <w:tcPr>
            <w:tcW w:w="186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B. Goldstein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Goldstein has served as our President, Chief Executive Officer, Chairman of the Board, and a director since March 2001. He served as our Chief Financial Officer from March 2001 to November 2007 and as our Treasurer from May 2001 to August 2013. Since January 2006, Mr. Goldstein has served as Chairman of the Board of Kingstone Insurance Company ("KICO") (formerly known as Commercial Mutual Insurance Company), a New York property and casualty insurer, as well as Chairman of its Executive Committee. Mr. Goldstein has served as Chief Investment Officer of KICO since August 2008 and as its President and Chief Executive Officer since January 2012.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received his B.A.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Thatcher was elected our Chief Operating Officer and KICO's President in March 2018. Mr. Thatcher has spent over 30 years in the insurance industry and is the founder of Atherstone Partners, a consulting practice in insurance and investments. Prior to starting Atherstone, Mr. Thatcher was Executive Vice President and Chief Financial Officer for Selective Insurance Group, Inc. and previously Chief Accounting Officer for the Ohio Casualty Group. He is a certified public accountant (inactive), a chartered property and casualty underwriter and a chartered life underwriter. Mr. Thatcher has served as one of our directors since August 2017 and currently serves as Co-Chair of our Finance Committee. He is an alumnus of the University of Cincinnati and Harvard University. We believe that Mr. Thatcher's executive-level experience in the insurance industry gives him the qualifications and skills to serve as one of our directors.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Jay M. Haft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Mr. Haft served for more than 15 years as a personal advisor to Victor Vekselberg, a Russian entrepreneur with considerable interests in oil, aluminum, utilities and other industries. Mr. Haft is a partner at Columbus Nova, the U.S.-based investment and operating arm of Mr. Vekselberg's Renova Group of companies. Mr. Haft is also a strategic and financial consultant for growth stage companies. He is active in international corporate finance and mergers and acquisitions as well as in the representation of emerging growth companies. Mr. Haft has extensive experience in the Russian market, in which he has worked on growth strategies for companies looking to internationalize their business assets and enter international capital markets. He has been a founder, consultant and/or director of numerous public and private corporations, and served as Chairman of the Board of Dusa Pharmaceuticals, Inc. Mr. Haft serves on the Board of The Link of Times Foundation and The Mariinski Foundation and is an advisor to Montezemolo &amp; Partners. He has been instrumental in strategic planning and fundraising for a variety of Internet and high-tech, leading edge medical technology and marketing companies over the years. Mr. Haft served as counsel to Reed Smith, an international law firm. Mr. Haft is a past member of the Florida Commission for Government Accountability to the People, a past national trustee and Treasurer of the Miami City Ballet, and a past Board member of the Concert Association of Florida. He is also a past trustee of Florida International University Foundation and previously served on the advisory board of the Wolfsonian Museum and Florida International University Law School. Mr. Haft served as our Vice Chairman of the Board from February 1999 until March 2001. From October 1989 to February 1999, he served as our Chairman of the Board and he has served as one of our directors since 1989 (serving as Chairman of our Nominating and Corporate Governance Committee since 2010). Mr. Haft received B.A. and LL.B. degrees from Yale University. We believe that Mr. Haft's corporate finance, business consultation, legal and executive-level experience, as well as his service on the Board of KICO since 2009, give him the qualifications and skills to serve as one of our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Floyd R. Tupper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has served as a director of KICO, and Chairman of its Audit Committee, since 2006. He also serves as a member of its Investment Committee.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since 2006 (including his service as Chairman of its Audit Committee), give him the qualifications and skills to serve as one of our directors.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William L. Yankus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is a chartered financial analyst and a member of The CFA Institute and the American Institute of Financial Analysts. Mr. Yankus has served as one of our directors since March 2016 and Chairman of our Compensation Committee since April 2017.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Carla A. D'Andre</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including as Chair of The Institutes CPCU Society Risk Management Interest Group, Committee Director of The Institutes CPCU Reinsurance Interest Group, and a member of the Executive Advisory Council of St. John's University School of Risk Management, Insurance and Actuarial Science. She has served as one of our directors since May 2017 and currently serves as Co-Chair of our Finance Committee. Ms. D'Andre has an M.B.A. from Pace University's Lubin School of Business and a B.B.A.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Timothy P. McFadden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McFadden has more than 27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He is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We believe that Mr. McFadden's executive level experience in the insurance industry gives him the qualifications and skills to serve as one of our directors.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and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of Office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successor is elected and qualified or until his earlier resignation or removal.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170" w:lineRule="exact"/>
        <w:rPr>
          <w:sz w:val="20"/>
          <w:szCs w:val="20"/>
          <w:color w:val="auto"/>
        </w:rPr>
      </w:pPr>
    </w:p>
    <w:p>
      <w:pPr>
        <w:ind w:left="130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 the Board of Directors in fulfilling its responsibilities by reviewing the financial reports provided by us to the Securities and Exchange Commission, our stockholders or to the general public, and our internal financial and accounting controls,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 the appointment, compensation and retention of, and the work performed by, any independent public accountants engaged by us,</w:t>
      </w:r>
    </w:p>
    <w:p>
      <w:pPr>
        <w:spacing w:after="0" w:line="275"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 establish and monitor procedures designed to improve the quality and reliability of the disclosure of our financial condition and results of operations,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 establish and monitor procedures designed to facilitate:</w:t>
      </w:r>
    </w:p>
    <w:p>
      <w:pPr>
        <w:spacing w:after="0" w:line="252" w:lineRule="exact"/>
        <w:rPr>
          <w:rFonts w:ascii="Arial" w:cs="Arial" w:eastAsia="Arial" w:hAnsi="Arial"/>
          <w:sz w:val="18"/>
          <w:szCs w:val="18"/>
          <w:color w:val="auto"/>
        </w:rPr>
      </w:pPr>
    </w:p>
    <w:p>
      <w:pPr>
        <w:ind w:left="1960" w:hanging="331"/>
        <w:spacing w:after="0"/>
        <w:tabs>
          <w:tab w:leader="none" w:pos="1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receipt, retention and treatment of complaints relating to accounting, internal accounting controls or auditing matters, 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left="1960" w:hanging="331"/>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of confidential, anonymous submissions by employees of concerns regarding questionable accounting or auditing matters.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members of our Board's Audit Committee currently are Messrs. Tupper, Haft and Yankus. Our Board has adopted a written charter for the Audit Committee. A copy of the charter is available on our website, </w:t>
      </w:r>
      <w:r>
        <w:rPr>
          <w:rFonts w:ascii="Arial" w:cs="Arial" w:eastAsia="Arial" w:hAnsi="Arial"/>
          <w:sz w:val="18"/>
          <w:szCs w:val="18"/>
          <w:u w:val="single" w:color="auto"/>
          <w:color w:val="auto"/>
        </w:rPr>
        <w:t>www.kingstonecompanies.com</w:t>
      </w:r>
      <w:r>
        <w:rPr>
          <w:rFonts w:ascii="Arial" w:cs="Arial" w:eastAsia="Arial" w:hAnsi="Arial"/>
          <w:sz w:val="18"/>
          <w:szCs w:val="18"/>
          <w:color w:val="auto"/>
        </w:rPr>
        <w:t>.</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identifying individuals to serve as officers and developing corporate governance guidelines.</w:t>
      </w:r>
    </w:p>
    <w:p>
      <w:pPr>
        <w:spacing w:after="0" w:line="17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The members of the Nominating and Corporate Governance Committee currently are Mr. Haft and Ms. D'Andre. Our Board has adopted a written charter for the Nominating and Corporate Governance Committee. A copy of the charter is available on our website, </w:t>
      </w:r>
      <w:r>
        <w:rPr>
          <w:rFonts w:ascii="Arial" w:cs="Arial" w:eastAsia="Arial" w:hAnsi="Arial"/>
          <w:sz w:val="16"/>
          <w:szCs w:val="16"/>
          <w:u w:val="single" w:color="auto"/>
          <w:color w:val="auto"/>
        </w:rPr>
        <w:t>www.kingstonecompanies.com</w:t>
      </w:r>
      <w:r>
        <w:rPr>
          <w:rFonts w:ascii="Arial" w:cs="Arial" w:eastAsia="Arial" w:hAnsi="Arial"/>
          <w:sz w:val="16"/>
          <w:szCs w:val="16"/>
          <w:color w:val="auto"/>
        </w:rPr>
        <w:t>.</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While the Nominating and Corporate Governance Committee does not have a formal policy on diversity for members of the Board of Directors, the Nominating and Corporate Governance Committee considers diversity of background, experience and qualifications in evaluating prospective Board members.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among other factors, a candidate's financial literacy, knowledge of our industry, other relevant background experience, judgment, skill, integrity, the interplay of a candidate's experience with the experience of other Board members, 'independence' (for purposes of compliance with the rules of the SEC and the NASDAQ Marketplace Rules), and willingness, ability and availability for service.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the Nominating and Corporate Governance Committee has not adopted minimum criteria for consideration of a proposed candidate for nomination.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Compensation Committee of the Board of Directors is responsible for the management of our business and affairs with respect to the compensation of our employees. The responsibilities and duties of the Compensation Committee include the following:</w:t>
      </w:r>
    </w:p>
    <w:p>
      <w:pPr>
        <w:spacing w:after="0" w:line="197"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compensation of our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recommendations to our Board regarding the compensation of all other executive officers,</w:t>
      </w:r>
    </w:p>
    <w:p>
      <w:pPr>
        <w:spacing w:after="0" w:line="252"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 and make recommendations to our Board regarding, incentive compensation plans and equity-based plans, and where appropriate or required, recommend for approval by our stockholders, which includes the ability to adopt, amend and terminate such plans,</w:t>
      </w:r>
    </w:p>
    <w:p>
      <w:pPr>
        <w:spacing w:after="0" w:line="150"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208"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employment agreements and severance arrangements or plans, including any benefits to be provided in connection with a change in control, for our Chief Executive Officer and other executive officers, which includes the ability to adopt, amend and terminate such agreements, arrangements or plans,</w:t>
      </w:r>
    </w:p>
    <w:p>
      <w:pPr>
        <w:spacing w:after="0" w:line="208"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all employee benefit plans, which includes the ability to adopt, administer, amend and terminate such plans,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director compensation for service on our Board and Board committees and recommend any changes to our Board.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members of the Compensation Committee currently are Messrs. Yankus, Haft and Tupper and Ms. D'Andre. Our Board has adopted a written charter for the Compensation Committee. A copy of the charter is available on our website, </w:t>
      </w:r>
      <w:r>
        <w:rPr>
          <w:rFonts w:ascii="Arial" w:cs="Arial" w:eastAsia="Arial" w:hAnsi="Arial"/>
          <w:sz w:val="18"/>
          <w:szCs w:val="18"/>
          <w:u w:val="single" w:color="auto"/>
          <w:color w:val="auto"/>
        </w:rPr>
        <w:t>www.kingstonecompanies.com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Compensation Committee may form and delegate authority to subcommittees and may delegate authority to one or more designated members of the Compensation Committee. Our Chief Executive Officer assists the Compensation Committee from time to time by advising on a variety of compensation matters, such as assisting the Compensation Committee in determining appropriate salaries and bonuses for our executive officers. The Compensation Committee has the authority to consult with management and to engage the services of outside advisors, experts and others to assist it in its efforts.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Audit Committee focuses on financial reporting risks and related controls and procedures and our Compensation Committee strives to create compensation practices that do not encourage excessive levels of risk taking that would be inconsistent with our strategies and objectives.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both"/>
        <w:ind w:firstLine="648"/>
        <w:spacing w:after="0" w:line="255" w:lineRule="auto"/>
        <w:rPr>
          <w:sz w:val="20"/>
          <w:szCs w:val="20"/>
          <w:color w:val="auto"/>
        </w:rPr>
      </w:pPr>
      <w:r>
        <w:rPr>
          <w:rFonts w:ascii="Arial" w:cs="Arial" w:eastAsia="Arial" w:hAnsi="Arial"/>
          <w:sz w:val="18"/>
          <w:szCs w:val="18"/>
          <w:color w:val="auto"/>
        </w:rPr>
        <w:t>Since 2001, Barry B. Goldstein has served as our Chief Executive Officer and Chairman of the Board. We do not currently have a lead independent director. At this time, our Board of Directors believes that Mr. Goldstein's combined role as Chief Executive Officer and Chairman of our Board enables us to benefit from Mr. Goldstein's significant institutional and industry knowledge and experience, while at the same time promoting unified leadership and direction for our Board and executive management without duplication of effort and cost. Given our history, position, Board composition and the relatively small size of our company and management team, at this time, our Board believes that we and our stockholders are best served by our current leadership structure.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Report of the Audit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overseeing the preparation of the financial statements of the Company as of December 31, 2017 and for the years ended December 31, 2017 and 2016,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the Company's outside auditors ("Marcum"), the matters required to be discussed by Public Company Accounting Oversight Board's Auditing Standard No. 1301, </w:t>
      </w:r>
      <w:r>
        <w:rPr>
          <w:rFonts w:ascii="Arial" w:cs="Arial" w:eastAsia="Arial" w:hAnsi="Arial"/>
          <w:sz w:val="18"/>
          <w:szCs w:val="18"/>
          <w:i w:val="1"/>
          <w:iCs w:val="1"/>
          <w:color w:val="auto"/>
        </w:rPr>
        <w:t>Communications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with Audit Committees</w:t>
      </w:r>
      <w:r>
        <w:rPr>
          <w:rFonts w:ascii="Arial" w:cs="Arial" w:eastAsia="Arial" w:hAnsi="Arial"/>
          <w:sz w:val="18"/>
          <w:szCs w:val="18"/>
          <w:color w:val="auto"/>
        </w:rPr>
        <w:t>, as currently in effect.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basis of these reviews and discussions, the Audit Committee recommended to the Board of Directors that the audited financial statements be included in the Company's Annual Report on Form 10-K for the fiscal year ended December 31, 2017, for filing with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of the Audit Committee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Floyd R. Tupper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Jay M. Haft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Dale A. Thatcher*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L. Yankus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Thatcher resigned from the Audit Committee concurrent with his appointment as our Chief Operating Officer.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Meetings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held six meetings during the fiscal year ended December 31,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of the Board of Directors held four meetings during the fiscal year ended December 31,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Nominating and Corporate Governance Committee of the Board of Directors did not meet during the fiscal year ended December 31, 2017.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of the Board of Directors held two meetings during the fiscal year ended December 31,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2017, all of our then directors attended all of the meetings of the Board and all of the meetings of the committees on which they served.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 formal policy regarding director attendance at our annual meeting of stockholders. However, all directors are encouraged to attend. Each of our directors was in attendance at last year's annual meeting of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Communications with Board of Directors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security holder who wishes to communicate with our Board of Directors or a particular director should send the correspondence to the Board of Directors, Kingstone Companies, Inc., 15 Joys Lane, Kingston, New York 12401, Attention: Corporate Secretary. Any such communication so addressed will be forwarded by the Corporate Secretary to the members or a particular member of the Board.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Board of Directors has determined that Mr. Tupper is an "audit committee financial expert," as that term is defined in Item 407(d)(5) of Regulation S-K. Mr. Tupper is an "independent director" based on the definition of independence in Listing Rule 5605(a)(2) of The Nasdaq Stock Market.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16 of the Exchange Act requires that reports of beneficial ownership of common stock and changes in such ownership be filed with the Securities and Exchange Commission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2017. To our knowledge, based solely on a review of copies of Forms 3, 4 and 5 filed with the Securities and Exchange Commission and written representations that no other reports were required, during the fiscal year ended December 31, 2017, our officers, directors and 10% stockholders complied with all Section 16(a) filing requirements applicable to them, except that Mr. Walden filed one Form 4 late reporting one transaction.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is currently comprised of Barry B. Goldstein, Dale A. Thatcher, Jay M. Haft, Floyd R. Tupper, William L. Yankus and Carla A. D'Andre. Each of Messrs. Haft, Tupper and Yankus and Ms. D'Andre is currently an "independent director" based on the definition of independence in Listing Rule 5605(a)(2) of The Nasdaq Stock Market.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members of our Board's Audit Committee currently are Messrs. Tupper, Haft and Yankus, each of whom is an "independent director" based on the definition of independence in Listing Rule 5605(a)(2) of The Nasdaq Stock Market and Rule 10A-3(b)(1) under the Exchange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members of our Board's Nominating and Corporate Governance Committee currently are Mr. Haft and Ms. D'Andre, each of whom is an "independent director" based on the definition of independence in Listing Rule 5605(a)(2) of The Nasdaq Stock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members of our Board's Compensation Committee currently are Messrs. Yankus, Haft and Tupper and Ms. D'Andre, each of whom is an "independent director" based on the definition of independence in Listing Rule 5605(a)(2) of The Nasdaq Stock Market.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SELECTION OF INDEPENDENT REGISTERED PUBLIC ACCOUNTING FIRM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of our Board of Directors has selected Marcum LLP as our independent registered public accounting firm to examine our financial statements for the year ending December 31, 2018.</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Although ratification by stockholders is not required by our organizational documents or other applicable law, our Board of Directors has determined that requesting ratification by stockholders of the appointment of Marcum as our independent registered public accounting firm for the fiscal year ending December 31, 2018 is a matter of good corporate practice. If stockholders do not ratify the selection, the Audit Committee may reconsider whether or not to retain Marcum,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Marcum has served as our independent registered public accountants with respect to each fiscal year since the year ended December 31, 2013.</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expected that a representative of Marcum will attend the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fees billed to us by Marcum for professional services rendered for the fiscal years ended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Fiscal 2017</w:t>
            </w:r>
          </w:p>
        </w:tc>
        <w:tc>
          <w:tcPr>
            <w:tcW w:w="12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Fiscal 2016</w:t>
            </w:r>
          </w:p>
        </w:tc>
        <w:tc>
          <w:tcPr>
            <w:tcW w:w="0" w:type="dxa"/>
            <w:vAlign w:val="bottom"/>
          </w:tcPr>
          <w:p>
            <w:pPr>
              <w:spacing w:after="0"/>
              <w:rPr>
                <w:sz w:val="1"/>
                <w:szCs w:val="1"/>
                <w:color w:val="auto"/>
              </w:rPr>
            </w:pPr>
          </w:p>
        </w:tc>
      </w:tr>
      <w:tr>
        <w:trPr>
          <w:trHeight w:val="241"/>
        </w:trPr>
        <w:tc>
          <w:tcPr>
            <w:tcW w:w="8720" w:type="dxa"/>
            <w:vAlign w:val="bottom"/>
          </w:tcPr>
          <w:p>
            <w:pPr>
              <w:spacing w:after="0"/>
              <w:rPr>
                <w:sz w:val="20"/>
                <w:szCs w:val="20"/>
                <w:color w:val="auto"/>
              </w:rPr>
            </w:pPr>
            <w:r>
              <w:rPr>
                <w:rFonts w:ascii="Arial" w:cs="Arial" w:eastAsia="Arial" w:hAnsi="Arial"/>
                <w:sz w:val="18"/>
                <w:szCs w:val="18"/>
                <w:b w:val="1"/>
                <w:bCs w:val="1"/>
                <w:color w:val="auto"/>
              </w:rPr>
              <w:t>Fee Category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2"/>
              </w:rPr>
              <w:t>Fees</w:t>
            </w:r>
          </w:p>
        </w:tc>
        <w:tc>
          <w:tcPr>
            <w:tcW w:w="12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Fees</w:t>
            </w:r>
          </w:p>
        </w:tc>
        <w:tc>
          <w:tcPr>
            <w:tcW w:w="0" w:type="dxa"/>
            <w:vAlign w:val="bottom"/>
          </w:tcPr>
          <w:p>
            <w:pPr>
              <w:spacing w:after="0"/>
              <w:rPr>
                <w:sz w:val="1"/>
                <w:szCs w:val="1"/>
                <w:color w:val="auto"/>
              </w:rPr>
            </w:pPr>
          </w:p>
        </w:tc>
      </w:tr>
      <w:tr>
        <w:trPr>
          <w:trHeight w:val="202"/>
        </w:trPr>
        <w:tc>
          <w:tcPr>
            <w:tcW w:w="8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Audit Fees(1)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392,214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210,451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Audit-Related Fees(2)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Tax Fees(3)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720" w:type="dxa"/>
            <w:vAlign w:val="bottom"/>
          </w:tcPr>
          <w:p>
            <w:pPr>
              <w:spacing w:after="0"/>
              <w:rPr>
                <w:sz w:val="20"/>
                <w:szCs w:val="20"/>
                <w:color w:val="auto"/>
              </w:rPr>
            </w:pPr>
            <w:r>
              <w:rPr>
                <w:rFonts w:ascii="Arial" w:cs="Arial" w:eastAsia="Arial" w:hAnsi="Arial"/>
                <w:sz w:val="18"/>
                <w:szCs w:val="18"/>
                <w:color w:val="auto"/>
              </w:rPr>
              <w:t>All Other Fees(4)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spacing w:after="0" w:line="196" w:lineRule="exact"/>
              <w:rPr>
                <w:sz w:val="20"/>
                <w:szCs w:val="20"/>
                <w:color w:val="auto"/>
              </w:rPr>
            </w:pPr>
            <w:r>
              <w:rPr>
                <w:rFonts w:ascii="Arial" w:cs="Arial" w:eastAsia="Arial" w:hAnsi="Arial"/>
                <w:sz w:val="18"/>
                <w:szCs w:val="18"/>
                <w:b w:val="1"/>
                <w:bCs w:val="1"/>
                <w:color w:val="auto"/>
              </w:rPr>
              <w:t>TOTAL FEES</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392,214</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212,511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20" w:type="dxa"/>
            <w:vAlign w:val="bottom"/>
            <w:vMerge w:val="restart"/>
          </w:tcPr>
          <w:p>
            <w:pPr>
              <w:spacing w:after="0"/>
              <w:rPr>
                <w:sz w:val="20"/>
                <w:szCs w:val="20"/>
                <w:color w:val="auto"/>
              </w:rPr>
            </w:pPr>
            <w:r>
              <w:rPr>
                <w:rFonts w:ascii="Arial" w:cs="Arial" w:eastAsia="Arial" w:hAnsi="Arial"/>
                <w:sz w:val="22"/>
                <w:szCs w:val="22"/>
                <w:color w:val="auto"/>
              </w:rPr>
              <w:t>____________________</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8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800" w:hanging="792"/>
        <w:spacing w:after="0" w:line="264"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Forms S-3 and services provided in connection with other statutory or regulatory filings.</w:t>
      </w:r>
    </w:p>
    <w:p>
      <w:pPr>
        <w:spacing w:after="0" w:line="181"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consist of aggregate fees billed for assurance and related services that are reasonably related to the performance of the audit or review of our financial statements and are not reported under "Audit Fees."</w:t>
      </w:r>
    </w:p>
    <w:p>
      <w:pPr>
        <w:spacing w:after="0" w:line="170" w:lineRule="exact"/>
        <w:rPr>
          <w:rFonts w:ascii="Arial" w:cs="Arial" w:eastAsia="Arial" w:hAnsi="Arial"/>
          <w:sz w:val="18"/>
          <w:szCs w:val="18"/>
          <w:color w:val="auto"/>
        </w:rPr>
      </w:pPr>
    </w:p>
    <w:p>
      <w:pPr>
        <w:ind w:left="800" w:hanging="79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Fees consist of fees billed by our independent auditors for professional services related to tax advice.</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Other Fees consist of aggregate fees billed for products and services provided by our independent auditors, other than those disclosed above.</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ratification of the selection of Marcum LLP as our independent registered public accounting firm for the fiscal year ending December 31, 2018 requires the affirmative vote of stockholders who hold a majority of the common stock present in person or represented by proxy at the meeting and entitled to vote.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Recommendation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The Board of Directors recommends a vote FOR the ratification of the selection of Marcum LLP as our independent registered public accounting firm for the fiscal year ending December 31,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February 21, 2019 for inclusion in our proxy statement and form of proxy relating to such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requirements with respect to stockholder proposals and stockholder nominees to our Board of Directors are included in our By-Laws.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Proposals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spacing w:after="0" w:line="167" w:lineRule="exact"/>
        <w:rPr>
          <w:sz w:val="20"/>
          <w:szCs w:val="20"/>
          <w:color w:val="auto"/>
        </w:rPr>
      </w:pPr>
    </w:p>
    <w:p>
      <w:pPr>
        <w:ind w:left="1140" w:hanging="322"/>
        <w:spacing w:after="0"/>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such meeting;</w:t>
      </w:r>
    </w:p>
    <w:p>
      <w:pPr>
        <w:spacing w:after="0" w:line="275" w:lineRule="exact"/>
        <w:rPr>
          <w:rFonts w:ascii="Arial" w:cs="Arial" w:eastAsia="Arial" w:hAnsi="Arial"/>
          <w:sz w:val="16"/>
          <w:szCs w:val="16"/>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and address of the stockholder proposing such business;</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class and number of our shares which are beneficially owned by such stockholder; and</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interest of such stockholder in such business.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Nominees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day on which the notice of the date of the meeting was made available to stockholders, or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day on which such public disclosure of the meeting date was made.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age, business and residential addresses, occupation or employment and shares held by the nominee;</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relating to such nominee required to be disclosed in a proxy statement;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address and number of shares held by the stockholder.</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requirements are separate from and in addition to the requirements a stockholder must meet to have a proposal included in our proxy statement.</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Any notice given pursuant to the foregoing requirements must be sent to our Corporate Secretary at 15 Joys Lane, Kingston, New York 12401. </w:t>
      </w:r>
      <w:r>
        <w:rPr>
          <w:rFonts w:ascii="Arial" w:cs="Arial" w:eastAsia="Arial" w:hAnsi="Arial"/>
          <w:sz w:val="17"/>
          <w:szCs w:val="17"/>
          <w:b w:val="1"/>
          <w:bCs w:val="1"/>
          <w:color w:val="auto"/>
        </w:rPr>
        <w:t>The</w:t>
      </w:r>
      <w:r>
        <w:rPr>
          <w:rFonts w:ascii="Arial" w:cs="Arial" w:eastAsia="Arial" w:hAnsi="Arial"/>
          <w:sz w:val="17"/>
          <w:szCs w:val="17"/>
          <w:color w:val="auto"/>
        </w:rPr>
        <w:t xml:space="preserve"> </w:t>
      </w:r>
      <w:r>
        <w:rPr>
          <w:rFonts w:ascii="Arial" w:cs="Arial" w:eastAsia="Arial" w:hAnsi="Arial"/>
          <w:sz w:val="17"/>
          <w:szCs w:val="17"/>
          <w:b w:val="1"/>
          <w:bCs w:val="1"/>
          <w:color w:val="auto"/>
        </w:rPr>
        <w:t>foregoing is only a summary of the provisions of our By-Laws that relate to stockholder proposals and stockholder nominations for director. Any stockholder desiring a copy of our By-Laws will be furnished one without charge upon receipt of a written request therefor.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the accompanying Notice of Annual Meeting of Stockholders provides for the transaction of such other business as may properly come before the meeting, we have no knowledge of any matters to be presented at the meeting other than those listed as Proposals 1 and 2 in the notice. However, the enclosed proxy gives discretionary authority in the event that any other matters should be presented.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is accompanied by a copy of our Annual Report on Form 10-K for the year ended December 31, 2017 (excluding exhibits). We may charge a fee equal to our reasonable expenses in furnishing the exhibits.</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Barry B. Goldstein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Kingston,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860540" cy="8876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860540" cy="8876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860540" cy="8876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860540" cy="8876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860540" cy="8876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860540" cy="8876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upperLetter"/>
      <w:start w:val="24"/>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2020-01-15T17:37:22Z</dcterms:created>
  <dcterms:modified xsi:type="dcterms:W3CDTF">2020-01-15T17:37:22Z</dcterms:modified>
</cp:coreProperties>
</file>