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Calibri" w:hAnsi="Calibri"/>
          <w:sz w:val="22"/>
        </w:rPr>
      </w:pPr>
      <w:bookmarkStart w:id="0" w:name="kins-20260723.htm"/>
      <w:bookmarkStart w:id="1" w:name="kskins20260723"/>
      <w:bookmarkEnd w:id="0"/>
      <w:bookmarkEnd w:id="1"/>
      <w:r>
        <w:rPr>
          <w:rFonts w:ascii="Times New Roman" w:hAnsi="Times New Roman"/>
          <w:b/>
          <w:sz w:val="22"/>
        </w:rPr>
        <w:t>UNITED STATES</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b/>
          <w:sz w:val="22"/>
        </w:rPr>
        <w:t>SECURITIES AND EXCHANGE COMMISSION</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b/>
          <w:sz w:val="22"/>
        </w:rPr>
        <w:t>WASHINGTON, DC 20549</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_______</w:t>
      </w:r>
      <w:r>
        <w:rPr>
          <w:rFonts w:ascii="Calibri" w:hAnsi="Calibri"/>
          <w:sz w:val="22"/>
        </w:rPr>
        <w:t xml:space="preserve"> </w:t>
      </w:r>
    </w:p>
    <w:p>
      <w:pPr>
        <w:pStyle w:val="TextBody"/>
        <w:bidi w:val="0"/>
        <w:spacing w:before="0" w:after="0"/>
        <w:jc w:val="center"/>
        <w:rPr/>
      </w:pPr>
      <w:r>
        <w:rPr/>
        <w:t xml:space="preserve">  </w:t>
      </w:r>
    </w:p>
    <w:p>
      <w:pPr>
        <w:pStyle w:val="TextBody"/>
        <w:bidi w:val="0"/>
        <w:spacing w:before="0" w:after="0"/>
        <w:jc w:val="center"/>
        <w:rPr>
          <w:rFonts w:ascii="Calibri" w:hAnsi="Calibri"/>
          <w:sz w:val="22"/>
        </w:rPr>
      </w:pPr>
      <w:r>
        <w:rPr>
          <w:rFonts w:ascii="Times New Roman" w:hAnsi="Times New Roman"/>
          <w:b/>
          <w:sz w:val="22"/>
        </w:rPr>
        <w:t>FORM 8-K</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b/>
          <w:sz w:val="22"/>
        </w:rPr>
        <w:t>CURRENT REPORT</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Pursuant to Section 13 or 15(d) of the</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Securities Exchange Act of 1934</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rPr>
        <w:t>Date of Report July 23, 2026</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(Date of earliest event reported)</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u w:val="single"/>
        </w:rPr>
        <w:t>KINGSTONE COMPANIES, INC.</w:t>
      </w:r>
      <w:r>
        <w:rPr>
          <w:rFonts w:ascii="Calibri" w:hAnsi="Calibri"/>
          <w:sz w:val="22"/>
        </w:rPr>
        <w:t xml:space="preserve"> </w:t>
      </w:r>
    </w:p>
    <w:p>
      <w:pPr>
        <w:pStyle w:val="TextBody"/>
        <w:bidi w:val="0"/>
        <w:spacing w:before="0" w:after="0"/>
        <w:jc w:val="center"/>
        <w:rPr>
          <w:rFonts w:ascii="Calibri" w:hAnsi="Calibri"/>
          <w:sz w:val="22"/>
        </w:rPr>
      </w:pPr>
      <w:r>
        <w:rPr>
          <w:rFonts w:ascii="Times New Roman" w:hAnsi="Times New Roman"/>
          <w:sz w:val="22"/>
        </w:rPr>
        <w:t>(Exact Name of Registrant as Specified in Charter)</w:t>
      </w:r>
      <w:r>
        <w:rPr>
          <w:rFonts w:ascii="Calibri" w:hAnsi="Calibri"/>
          <w:sz w:val="22"/>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28" w:type="dxa"/>
          <w:right w:w="0" w:type="dxa"/>
        </w:tblCellMar>
      </w:tblPr>
      <w:tblGrid>
        <w:gridCol w:w="3976"/>
        <w:gridCol w:w="198"/>
        <w:gridCol w:w="2223"/>
        <w:gridCol w:w="198"/>
        <w:gridCol w:w="3610"/>
      </w:tblGrid>
      <w:tr>
        <w:trPr/>
        <w:tc>
          <w:tcPr>
            <w:tcW w:w="3976" w:type="dxa"/>
            <w:tcBorders>
              <w:bottom w:val="single" w:sz="8" w:space="0" w:color="000000"/>
            </w:tcBorders>
            <w:vAlign w:val="center"/>
          </w:tcPr>
          <w:p>
            <w:pPr>
              <w:pStyle w:val="TableContents"/>
              <w:bidi w:val="0"/>
              <w:spacing w:before="0" w:after="0"/>
              <w:ind w:left="0" w:right="0" w:hanging="0"/>
              <w:jc w:val="center"/>
              <w:rPr>
                <w:rFonts w:ascii="Calibri" w:hAnsi="Calibri"/>
              </w:rPr>
            </w:pPr>
            <w:r>
              <w:rPr>
                <w:rFonts w:ascii="Times New Roman" w:hAnsi="Times New Roman"/>
              </w:rPr>
              <w:t>Delaware</w:t>
            </w:r>
            <w:r>
              <w:rPr>
                <w:rFonts w:ascii="Calibri" w:hAnsi="Calibri"/>
              </w:rPr>
              <w:t xml:space="preserve"> </w:t>
            </w:r>
          </w:p>
        </w:tc>
        <w:tc>
          <w:tcPr>
            <w:tcW w:w="198" w:type="dxa"/>
            <w:tcBorders>
              <w:bottom w:val="single" w:sz="8" w:space="0" w:color="000000"/>
            </w:tcBorders>
            <w:vAlign w:val="center"/>
          </w:tcPr>
          <w:p>
            <w:pPr>
              <w:pStyle w:val="TableContents"/>
              <w:bidi w:val="0"/>
              <w:spacing w:before="0" w:after="0"/>
              <w:jc w:val="left"/>
              <w:rPr/>
            </w:pPr>
            <w:r>
              <w:rPr/>
              <w:t xml:space="preserve">  </w:t>
            </w:r>
          </w:p>
        </w:tc>
        <w:tc>
          <w:tcPr>
            <w:tcW w:w="2223" w:type="dxa"/>
            <w:tcBorders>
              <w:bottom w:val="single" w:sz="8" w:space="0" w:color="000000"/>
            </w:tcBorders>
            <w:vAlign w:val="center"/>
          </w:tcPr>
          <w:p>
            <w:pPr>
              <w:pStyle w:val="TableContents"/>
              <w:bidi w:val="0"/>
              <w:spacing w:before="0" w:after="0"/>
              <w:jc w:val="center"/>
              <w:rPr>
                <w:rFonts w:ascii="Calibri" w:hAnsi="Calibri"/>
              </w:rPr>
            </w:pPr>
            <w:r>
              <w:rPr>
                <w:rFonts w:ascii="Times New Roman" w:hAnsi="Times New Roman"/>
              </w:rPr>
              <w:t>0-1665</w:t>
            </w:r>
            <w:r>
              <w:rPr>
                <w:rFonts w:ascii="Calibri" w:hAnsi="Calibri"/>
              </w:rPr>
              <w:t xml:space="preserve"> </w:t>
            </w:r>
          </w:p>
        </w:tc>
        <w:tc>
          <w:tcPr>
            <w:tcW w:w="198" w:type="dxa"/>
            <w:tcBorders>
              <w:bottom w:val="single" w:sz="8" w:space="0" w:color="000000"/>
            </w:tcBorders>
            <w:vAlign w:val="center"/>
          </w:tcPr>
          <w:p>
            <w:pPr>
              <w:pStyle w:val="TableContents"/>
              <w:bidi w:val="0"/>
              <w:spacing w:before="0" w:after="0"/>
              <w:jc w:val="left"/>
              <w:rPr/>
            </w:pPr>
            <w:r>
              <w:rPr/>
              <w:t xml:space="preserve">  </w:t>
            </w:r>
          </w:p>
        </w:tc>
        <w:tc>
          <w:tcPr>
            <w:tcW w:w="3610" w:type="dxa"/>
            <w:tcBorders>
              <w:bottom w:val="single" w:sz="8" w:space="0" w:color="000000"/>
            </w:tcBorders>
            <w:vAlign w:val="center"/>
          </w:tcPr>
          <w:p>
            <w:pPr>
              <w:pStyle w:val="TableContents"/>
              <w:bidi w:val="0"/>
              <w:spacing w:before="0" w:after="0"/>
              <w:jc w:val="center"/>
              <w:rPr>
                <w:rFonts w:ascii="Calibri" w:hAnsi="Calibri"/>
              </w:rPr>
            </w:pPr>
            <w:r>
              <w:rPr>
                <w:rFonts w:ascii="Times New Roman" w:hAnsi="Times New Roman"/>
              </w:rPr>
              <w:t>36-2476480</w:t>
            </w:r>
            <w:r>
              <w:rPr>
                <w:rFonts w:ascii="Calibri" w:hAnsi="Calibri"/>
              </w:rPr>
              <w:t xml:space="preserve"> </w:t>
            </w:r>
          </w:p>
        </w:tc>
      </w:tr>
      <w:tr>
        <w:trPr/>
        <w:tc>
          <w:tcPr>
            <w:tcW w:w="3976"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(State or Other Jurisdiction </w:t>
            </w:r>
            <w:r>
              <w:rPr>
                <w:rFonts w:ascii="Times New Roman" w:hAnsi="Times New Roman"/>
                <w:sz w:val="22"/>
              </w:rPr>
              <w:t>of Incorporation)</w:t>
            </w:r>
          </w:p>
        </w:tc>
        <w:tc>
          <w:tcPr>
            <w:tcW w:w="198" w:type="dxa"/>
            <w:tcBorders>
              <w:top w:val="single" w:sz="8" w:space="0" w:color="000000"/>
            </w:tcBorders>
            <w:tcMar>
              <w:top w:w="28" w:type="dxa"/>
              <w:bottom w:w="0" w:type="dxa"/>
            </w:tcMar>
            <w:vAlign w:val="center"/>
          </w:tcPr>
          <w:p>
            <w:pPr>
              <w:pStyle w:val="TableContents"/>
              <w:bidi w:val="0"/>
              <w:spacing w:before="0" w:after="0"/>
              <w:jc w:val="left"/>
              <w:rPr/>
            </w:pPr>
            <w:r>
              <w:rPr/>
              <w:t xml:space="preserve">  </w:t>
            </w:r>
          </w:p>
        </w:tc>
        <w:tc>
          <w:tcPr>
            <w:tcW w:w="2223"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(Commission File No.)</w:t>
            </w:r>
            <w:r>
              <w:rPr>
                <w:rFonts w:ascii="Calibri" w:hAnsi="Calibri"/>
              </w:rPr>
              <w:t xml:space="preserve"> </w:t>
            </w:r>
          </w:p>
        </w:tc>
        <w:tc>
          <w:tcPr>
            <w:tcW w:w="198" w:type="dxa"/>
            <w:tcBorders>
              <w:top w:val="single" w:sz="8" w:space="0" w:color="000000"/>
            </w:tcBorders>
            <w:tcMar>
              <w:top w:w="28" w:type="dxa"/>
              <w:bottom w:w="0" w:type="dxa"/>
            </w:tcMar>
            <w:vAlign w:val="center"/>
          </w:tcPr>
          <w:p>
            <w:pPr>
              <w:pStyle w:val="TableContents"/>
              <w:bidi w:val="0"/>
              <w:spacing w:before="0" w:after="0"/>
              <w:jc w:val="left"/>
              <w:rPr/>
            </w:pPr>
            <w:r>
              <w:rPr/>
              <w:t xml:space="preserve">  </w:t>
            </w:r>
          </w:p>
        </w:tc>
        <w:tc>
          <w:tcPr>
            <w:tcW w:w="3610" w:type="dxa"/>
            <w:tcBorders>
              <w:top w:val="single" w:sz="8" w:space="0" w:color="000000"/>
            </w:tcBorders>
            <w:tcMar>
              <w:top w:w="28" w:type="dxa"/>
              <w:bottom w:w="0" w:type="dxa"/>
            </w:tcMar>
            <w:vAlign w:val="center"/>
          </w:tcPr>
          <w:p>
            <w:pPr>
              <w:pStyle w:val="TableContents"/>
              <w:bidi w:val="0"/>
              <w:spacing w:before="0" w:after="0"/>
              <w:jc w:val="center"/>
              <w:rPr>
                <w:rFonts w:ascii="Calibri" w:hAnsi="Calibri"/>
              </w:rPr>
            </w:pPr>
            <w:r>
              <w:rPr>
                <w:rFonts w:ascii="Times New Roman" w:hAnsi="Times New Roman"/>
              </w:rPr>
              <w:t>(IRS Employer Identification </w:t>
            </w:r>
            <w:r>
              <w:rPr>
                <w:rFonts w:ascii="Times New Roman" w:hAnsi="Times New Roman"/>
                <w:sz w:val="22"/>
              </w:rPr>
              <w:t>Number)</w:t>
            </w:r>
          </w:p>
        </w:tc>
      </w:tr>
    </w:tbl>
    <w:p>
      <w:pPr>
        <w:pStyle w:val="TextBody"/>
        <w:bidi w:val="0"/>
        <w:spacing w:before="0" w:after="0"/>
        <w:jc w:val="center"/>
        <w:rPr/>
      </w:pPr>
      <w:r>
        <w:rPr/>
        <w:t xml:space="preserve">  </w:t>
      </w:r>
    </w:p>
    <w:tbl>
      <w:tblPr>
        <w:tblW w:w="5282" w:type="dxa"/>
        <w:jc w:val="left"/>
        <w:tblInd w:w="0" w:type="dxa"/>
        <w:tblLayout w:type="fixed"/>
        <w:tblCellMar>
          <w:top w:w="0" w:type="dxa"/>
          <w:left w:w="0" w:type="dxa"/>
          <w:bottom w:w="28" w:type="dxa"/>
          <w:right w:w="0" w:type="dxa"/>
        </w:tblCellMar>
      </w:tblPr>
      <w:tblGrid>
        <w:gridCol w:w="4021"/>
        <w:gridCol w:w="1261"/>
      </w:tblGrid>
      <w:tr>
        <w:trPr/>
        <w:tc>
          <w:tcPr>
            <w:tcW w:w="4021" w:type="dxa"/>
            <w:tcBorders>
              <w:bottom w:val="single" w:sz="6" w:space="0" w:color="000000"/>
            </w:tcBorders>
            <w:vAlign w:val="center"/>
          </w:tcPr>
          <w:p>
            <w:pPr>
              <w:pStyle w:val="TableContents"/>
              <w:bidi w:val="0"/>
              <w:spacing w:before="0" w:after="0"/>
              <w:jc w:val="left"/>
              <w:rPr>
                <w:rFonts w:ascii="Calibri" w:hAnsi="Calibri"/>
              </w:rPr>
            </w:pPr>
            <w:r>
              <w:rPr>
                <w:rFonts w:ascii="Times New Roman" w:hAnsi="Times New Roman"/>
              </w:rPr>
              <w:t>120 Wood Road, Kingston, NY</w:t>
            </w:r>
            <w:r>
              <w:rPr>
                <w:rFonts w:ascii="Calibri" w:hAnsi="Calibri"/>
              </w:rPr>
              <w:t xml:space="preserve"> </w:t>
            </w:r>
          </w:p>
        </w:tc>
        <w:tc>
          <w:tcPr>
            <w:tcW w:w="1261" w:type="dxa"/>
            <w:tcBorders>
              <w:bottom w:val="single" w:sz="8" w:space="0" w:color="000000"/>
            </w:tcBorders>
            <w:vAlign w:val="center"/>
          </w:tcPr>
          <w:p>
            <w:pPr>
              <w:pStyle w:val="TableContents"/>
              <w:bidi w:val="0"/>
              <w:spacing w:before="0" w:after="0"/>
              <w:jc w:val="left"/>
              <w:rPr>
                <w:rFonts w:ascii="Calibri" w:hAnsi="Calibri"/>
              </w:rPr>
            </w:pPr>
            <w:r>
              <w:rPr>
                <w:rFonts w:ascii="Times New Roman" w:hAnsi="Times New Roman"/>
              </w:rPr>
              <w:t>12401</w:t>
            </w:r>
            <w:r>
              <w:rPr>
                <w:rFonts w:ascii="Calibri" w:hAnsi="Calibri"/>
              </w:rPr>
              <w:t xml:space="preserve"> </w:t>
            </w:r>
          </w:p>
        </w:tc>
      </w:tr>
      <w:tr>
        <w:trPr/>
        <w:tc>
          <w:tcPr>
            <w:tcW w:w="4021" w:type="dxa"/>
            <w:tcBorders/>
            <w:tcMar>
              <w:top w:w="28" w:type="dxa"/>
              <w:left w:w="28" w:type="dxa"/>
              <w:right w:w="28" w:type="dxa"/>
            </w:tcMar>
            <w:vAlign w:val="center"/>
          </w:tcPr>
          <w:p>
            <w:pPr>
              <w:pStyle w:val="TableContents"/>
              <w:bidi w:val="0"/>
              <w:spacing w:before="0" w:after="0"/>
              <w:jc w:val="left"/>
              <w:rPr>
                <w:rFonts w:ascii="Calibri" w:hAnsi="Calibri"/>
              </w:rPr>
            </w:pPr>
            <w:r>
              <w:rPr>
                <w:rFonts w:ascii="Times New Roman" w:hAnsi="Times New Roman"/>
              </w:rPr>
              <w:t>(Address of Principal Executive Offices)</w:t>
            </w:r>
            <w:r>
              <w:rPr>
                <w:rFonts w:ascii="Calibri" w:hAnsi="Calibri"/>
              </w:rPr>
              <w:t xml:space="preserve"> </w:t>
            </w:r>
          </w:p>
        </w:tc>
        <w:tc>
          <w:tcPr>
            <w:tcW w:w="1261" w:type="dxa"/>
            <w:tcBorders>
              <w:top w:val="single" w:sz="8" w:space="0" w:color="000000"/>
            </w:tcBorders>
            <w:tcMar>
              <w:top w:w="28" w:type="dxa"/>
              <w:bottom w:w="0" w:type="dxa"/>
            </w:tcMar>
            <w:vAlign w:val="center"/>
          </w:tcPr>
          <w:p>
            <w:pPr>
              <w:pStyle w:val="TableContents"/>
              <w:bidi w:val="0"/>
              <w:spacing w:before="0" w:after="0"/>
              <w:jc w:val="left"/>
              <w:rPr>
                <w:rFonts w:ascii="Calibri" w:hAnsi="Calibri"/>
              </w:rPr>
            </w:pPr>
            <w:r>
              <w:rPr>
                <w:rFonts w:ascii="Times New Roman" w:hAnsi="Times New Roman"/>
              </w:rPr>
              <w:t>(Zip Code)</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jc w:val="center"/>
        <w:rPr>
          <w:rFonts w:ascii="Calibri" w:hAnsi="Calibri"/>
          <w:sz w:val="22"/>
        </w:rPr>
      </w:pPr>
      <w:r>
        <w:rPr>
          <w:rFonts w:ascii="Times New Roman" w:hAnsi="Times New Roman"/>
          <w:sz w:val="22"/>
        </w:rPr>
        <w:t xml:space="preserve">Registrant's telephone number, including area code: </w:t>
      </w:r>
      <w:r>
        <w:rPr>
          <w:rFonts w:ascii="Times New Roman" w:hAnsi="Times New Roman"/>
          <w:sz w:val="22"/>
          <w:u w:val="single"/>
        </w:rPr>
        <w:t>(845) 802-7900</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2"/>
        </w:rPr>
        <w:t>Check the appropriate box below if the Form 8-K filing is intended to simultaneously satisfy the filing obligation of the registrant under any of the following provisions:</w:t>
      </w:r>
      <w:r>
        <w:rPr>
          <w:rFonts w:ascii="Calibri" w:hAnsi="Calibri"/>
          <w:sz w:val="22"/>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602"/>
        <w:gridCol w:w="9603"/>
      </w:tblGrid>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Written communications pursuant to Rule 425 under the Securities Act (17 CFR 230.425)</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Soliciting material pursuant to Rule 14a-12 under the Exchange Act (17 CFR 240.14a-12)</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Pre-commencement communications pursuant to Rule 14d-2(b) under the Exchange Act (17 CFR 240.14d-2(b))</w:t>
            </w:r>
            <w:r>
              <w:rPr>
                <w:rFonts w:ascii="Calibri" w:hAnsi="Calibri"/>
              </w:rPr>
              <w:t xml:space="preserve"> </w:t>
            </w:r>
          </w:p>
        </w:tc>
      </w:tr>
      <w:tr>
        <w:trPr/>
        <w:tc>
          <w:tcPr>
            <w:tcW w:w="602" w:type="dxa"/>
            <w:tcBorders/>
            <w:vAlign w:val="center"/>
          </w:tcPr>
          <w:p>
            <w:pPr>
              <w:pStyle w:val="TableContents"/>
              <w:bidi w:val="0"/>
              <w:spacing w:before="0" w:after="0"/>
              <w:jc w:val="both"/>
              <w:rPr>
                <w:rFonts w:ascii="Calibri" w:hAnsi="Calibri"/>
              </w:rPr>
            </w:pPr>
            <w:r>
              <w:rPr>
                <w:rFonts w:ascii="Times New Roman" w:hAnsi="Times New Roman"/>
              </w:rPr>
              <w:t>____</w:t>
            </w:r>
            <w:r>
              <w:rPr>
                <w:rFonts w:ascii="Calibri" w:hAnsi="Calibri"/>
              </w:rPr>
              <w:t xml:space="preserve"> </w:t>
            </w:r>
          </w:p>
        </w:tc>
        <w:tc>
          <w:tcPr>
            <w:tcW w:w="9603" w:type="dxa"/>
            <w:tcBorders/>
            <w:vAlign w:val="center"/>
          </w:tcPr>
          <w:p>
            <w:pPr>
              <w:pStyle w:val="TableContents"/>
              <w:bidi w:val="0"/>
              <w:spacing w:before="0" w:after="0"/>
              <w:jc w:val="left"/>
              <w:rPr>
                <w:rFonts w:ascii="Calibri" w:hAnsi="Calibri"/>
              </w:rPr>
            </w:pPr>
            <w:r>
              <w:rPr>
                <w:rFonts w:ascii="Times New Roman" w:hAnsi="Times New Roman"/>
              </w:rPr>
              <w:t>Pre-commencement communications pursuant to Rule 13e-4(c) under the Exchange Act (17 CFR 240.13e-4(c))</w:t>
            </w:r>
            <w:r>
              <w:rPr>
                <w:rFonts w:ascii="Calibri" w:hAnsi="Calibri"/>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sz w:val="22"/>
        </w:rPr>
        <w:t>Securities registered pursuant to Section 12(b) of the Act:</w:t>
      </w:r>
      <w:r>
        <w:rPr>
          <w:rFonts w:ascii="Calibri" w:hAnsi="Calibri"/>
          <w:sz w:val="22"/>
        </w:rPr>
        <w:t xml:space="preserve"> </w:t>
      </w:r>
    </w:p>
    <w:p>
      <w:pPr>
        <w:pStyle w:val="TextBody"/>
        <w:bidi w:val="0"/>
        <w:spacing w:before="0" w:after="0"/>
        <w:jc w:val="left"/>
        <w:rPr/>
      </w:pPr>
      <w:r>
        <w:rPr/>
        <w:t xml:space="preserve">  </w:t>
      </w:r>
    </w:p>
    <w:tbl>
      <w:tblPr>
        <w:tblW w:w="10205" w:type="dxa"/>
        <w:jc w:val="left"/>
        <w:tblInd w:w="-10" w:type="dxa"/>
        <w:tblLayout w:type="fixed"/>
        <w:tblCellMar>
          <w:top w:w="28" w:type="dxa"/>
          <w:left w:w="54" w:type="dxa"/>
          <w:bottom w:w="28" w:type="dxa"/>
          <w:right w:w="54" w:type="dxa"/>
        </w:tblCellMar>
      </w:tblPr>
      <w:tblGrid>
        <w:gridCol w:w="4033"/>
        <w:gridCol w:w="1906"/>
        <w:gridCol w:w="4266"/>
      </w:tblGrid>
      <w:tr>
        <w:trPr/>
        <w:tc>
          <w:tcPr>
            <w:tcW w:w="40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Title of each class</w:t>
            </w:r>
            <w:r>
              <w:rPr>
                <w:rFonts w:ascii="Calibri" w:hAnsi="Calibri"/>
              </w:rPr>
              <w:t xml:space="preserve">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Trading Symbol(s)</w:t>
            </w:r>
            <w:r>
              <w:rPr>
                <w:rFonts w:ascii="Calibri" w:hAnsi="Calibri"/>
              </w:rPr>
              <w:t xml:space="preserve"> </w:t>
            </w:r>
          </w:p>
        </w:tc>
        <w:tc>
          <w:tcPr>
            <w:tcW w:w="4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Name of each exchange on which registered</w:t>
            </w:r>
            <w:r>
              <w:rPr>
                <w:rFonts w:ascii="Calibri" w:hAnsi="Calibri"/>
              </w:rPr>
              <w:t xml:space="preserve"> </w:t>
            </w:r>
          </w:p>
        </w:tc>
      </w:tr>
      <w:tr>
        <w:trPr/>
        <w:tc>
          <w:tcPr>
            <w:tcW w:w="403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Common Stock, $0.01 par value per share</w:t>
            </w:r>
            <w:r>
              <w:rPr>
                <w:rFonts w:ascii="Calibri" w:hAnsi="Calibri"/>
              </w:rPr>
              <w:t xml:space="preserve"> </w:t>
            </w:r>
          </w:p>
        </w:tc>
        <w:tc>
          <w:tcPr>
            <w:tcW w:w="19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KINS</w:t>
            </w:r>
            <w:r>
              <w:rPr>
                <w:rFonts w:ascii="Calibri" w:hAnsi="Calibri"/>
              </w:rPr>
              <w:t xml:space="preserve"> </w:t>
            </w:r>
          </w:p>
        </w:tc>
        <w:tc>
          <w:tcPr>
            <w:tcW w:w="42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rFonts w:ascii="Calibri" w:hAnsi="Calibri"/>
              </w:rPr>
            </w:pPr>
            <w:r>
              <w:rPr>
                <w:rFonts w:ascii="Times New Roman" w:hAnsi="Times New Roman"/>
              </w:rPr>
              <w:t>Nasdaq Capital Market</w:t>
            </w:r>
            <w:r>
              <w:rPr>
                <w:rFonts w:ascii="Calibri" w:hAnsi="Calibri"/>
              </w:rPr>
              <w:t xml:space="preserve"> </w:t>
            </w:r>
          </w:p>
        </w:tc>
      </w:tr>
    </w:tbl>
    <w:p>
      <w:pPr>
        <w:pStyle w:val="TextBody"/>
        <w:bidi w:val="0"/>
        <w:spacing w:before="0" w:after="0"/>
        <w:jc w:val="left"/>
        <w:rPr/>
      </w:pPr>
      <w:r>
        <w:rPr/>
        <w:t xml:space="preserve">  </w:t>
      </w:r>
    </w:p>
    <w:p>
      <w:pPr>
        <w:pStyle w:val="TextBody"/>
        <w:bidi w:val="0"/>
        <w:spacing w:before="0" w:after="0"/>
        <w:jc w:val="left"/>
        <w:rPr>
          <w:rFonts w:ascii="Calibri" w:hAnsi="Calibri"/>
          <w:sz w:val="22"/>
        </w:rPr>
      </w:pPr>
      <w:r>
        <w:rPr>
          <w:rFonts w:ascii="Times New Roman" w:hAnsi="Times New Roman"/>
          <w:sz w:val="22"/>
        </w:rPr>
        <w:t>Indicate by check mark whether the registrant is an emerging growth company as defined in Rule 405 of the Securities Act of 1933 (§230.405 of this chapter) or Rule 12b-2 of the Securities Exchange Act of 1934 (§240.12b-2 of this chapter).</w:t>
      </w:r>
      <w:r>
        <w:rPr>
          <w:rFonts w:ascii="Calibri" w:hAnsi="Calibri"/>
          <w:sz w:val="22"/>
        </w:rPr>
        <w:t xml:space="preserve"> </w:t>
      </w:r>
    </w:p>
    <w:p>
      <w:pPr>
        <w:pStyle w:val="TextBody"/>
        <w:bidi w:val="0"/>
        <w:spacing w:before="0" w:after="0"/>
        <w:jc w:val="right"/>
        <w:rPr>
          <w:rFonts w:ascii="Calibri" w:hAnsi="Calibri"/>
          <w:sz w:val="22"/>
        </w:rPr>
      </w:pPr>
      <w:r>
        <w:rPr>
          <w:rFonts w:ascii="Times New Roman" w:hAnsi="Times New Roman"/>
          <w:sz w:val="22"/>
        </w:rPr>
        <w:t>Emerging growth company □</w:t>
      </w:r>
      <w:r>
        <w:rPr>
          <w:rFonts w:ascii="Calibri" w:hAnsi="Calibri"/>
          <w:sz w:val="22"/>
        </w:rPr>
        <w:t xml:space="preserve"> </w:t>
      </w:r>
    </w:p>
    <w:p>
      <w:pPr>
        <w:pStyle w:val="TextBody"/>
        <w:bidi w:val="0"/>
        <w:spacing w:before="0" w:after="0"/>
        <w:jc w:val="both"/>
        <w:rPr/>
      </w:pPr>
      <w:r>
        <w:rPr/>
        <w:t xml:space="preserve">  </w:t>
      </w:r>
    </w:p>
    <w:p>
      <w:pPr>
        <w:pStyle w:val="TextBody"/>
        <w:bidi w:val="0"/>
        <w:spacing w:before="0" w:after="0"/>
        <w:jc w:val="both"/>
        <w:rPr>
          <w:rFonts w:ascii="Calibri" w:hAnsi="Calibri"/>
          <w:sz w:val="22"/>
        </w:rPr>
      </w:pPr>
      <w:r>
        <w:rPr>
          <w:rFonts w:ascii="Times New Roman" w:hAnsi="Times New Roman"/>
          <w:sz w:val="22"/>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Calibri" w:hAnsi="Calibri"/>
          <w:sz w:val="22"/>
        </w:rPr>
        <w:t xml:space="preserve"> </w:t>
      </w:r>
    </w:p>
    <w:p>
      <w:pPr>
        <w:pStyle w:val="TextBody"/>
        <w:bidi w:val="0"/>
        <w:spacing w:before="0" w:after="0"/>
        <w:jc w:val="both"/>
        <w:rPr/>
      </w:pPr>
      <w:r>
        <w:rPr/>
        <w:t xml:space="preserve">  </w:t>
      </w:r>
    </w:p>
    <w:p>
      <w:pPr>
        <w:pStyle w:val="TextBody"/>
        <w:bidi w:val="0"/>
        <w:spacing w:lineRule="atLeast" w:line="240" w:before="0" w:after="240"/>
        <w:jc w:val="both"/>
        <w:rPr/>
      </w:pPr>
      <w:r>
        <w:rPr/>
        <w:t xml:space="preserve">  </w:t>
      </w:r>
    </w:p>
    <w:p>
      <w:pPr>
        <w:pStyle w:val="TextBody"/>
        <w:bidi w:val="0"/>
        <w:spacing w:before="0" w:after="0"/>
        <w:jc w:val="left"/>
        <w:rPr/>
      </w:pPr>
      <w:r>
        <w:rPr/>
        <w:t xml:space="preserve">  </w:t>
      </w:r>
    </w:p>
    <w:p>
      <w:pPr>
        <w:pStyle w:val="TextBody"/>
        <w:bidi w:val="0"/>
        <w:spacing w:before="0" w:after="200"/>
        <w:jc w:val="right"/>
        <w:rPr>
          <w:rFonts w:ascii="Calibri" w:hAnsi="Calibri"/>
        </w:rPr>
      </w:pPr>
      <w:r>
        <w:rPr>
          <w:rFonts w:ascii="Calibri" w:hAnsi="Calibri"/>
        </w:rPr>
      </w:r>
    </w:p>
    <w:p>
      <w:pPr>
        <w:pStyle w:val="HorizontalLine"/>
        <w:pBdr>
          <w:bottom w:val="double" w:sz="2" w:space="0" w:color="808080"/>
        </w:pBdr>
        <w:bidi w:val="0"/>
        <w:spacing w:before="0" w:after="283"/>
        <w:jc w:val="left"/>
        <w:rPr/>
      </w:pPr>
      <w:r>
        <w:rPr/>
      </w:r>
    </w:p>
    <w:tbl>
      <w:tblPr>
        <w:tblW w:w="4007" w:type="dxa"/>
        <w:jc w:val="left"/>
        <w:tblInd w:w="0" w:type="dxa"/>
        <w:tblLayout w:type="fixed"/>
        <w:tblCellMar>
          <w:top w:w="28" w:type="dxa"/>
          <w:left w:w="28" w:type="dxa"/>
          <w:bottom w:w="28" w:type="dxa"/>
          <w:right w:w="28" w:type="dxa"/>
        </w:tblCellMar>
      </w:tblPr>
      <w:tblGrid>
        <w:gridCol w:w="1126"/>
        <w:gridCol w:w="2881"/>
      </w:tblGrid>
      <w:tr>
        <w:trPr/>
        <w:tc>
          <w:tcPr>
            <w:tcW w:w="1126" w:type="dxa"/>
            <w:tcBorders/>
            <w:vAlign w:val="center"/>
          </w:tcPr>
          <w:p>
            <w:pPr>
              <w:pStyle w:val="TableContents"/>
              <w:bidi w:val="0"/>
              <w:spacing w:before="0" w:after="0"/>
              <w:jc w:val="both"/>
              <w:rPr>
                <w:rFonts w:ascii="Calibri" w:hAnsi="Calibri"/>
              </w:rPr>
            </w:pPr>
            <w:r>
              <w:rPr>
                <w:rFonts w:ascii="Times New Roman" w:hAnsi="Times New Roman"/>
                <w:b/>
                <w:sz w:val="24"/>
              </w:rPr>
              <w:t>Item 7.01</w:t>
            </w:r>
            <w:r>
              <w:rPr>
                <w:rFonts w:ascii="Calibri" w:hAnsi="Calibri"/>
              </w:rPr>
              <w:t xml:space="preserve"> </w:t>
            </w:r>
          </w:p>
        </w:tc>
        <w:tc>
          <w:tcPr>
            <w:tcW w:w="2881" w:type="dxa"/>
            <w:tcBorders/>
            <w:vAlign w:val="center"/>
          </w:tcPr>
          <w:p>
            <w:pPr>
              <w:pStyle w:val="TableContents"/>
              <w:bidi w:val="0"/>
              <w:spacing w:before="0" w:after="0"/>
              <w:jc w:val="left"/>
              <w:rPr>
                <w:rFonts w:ascii="Calibri" w:hAnsi="Calibri"/>
              </w:rPr>
            </w:pPr>
            <w:r>
              <w:rPr>
                <w:rFonts w:ascii="Times New Roman" w:hAnsi="Times New Roman"/>
                <w:b/>
                <w:sz w:val="24"/>
              </w:rPr>
              <w:t>Regulation FD Disclosure</w:t>
            </w:r>
            <w:r>
              <w:rPr>
                <w:rFonts w:ascii="Times New Roman" w:hAnsi="Times New Roman"/>
                <w:sz w:val="24"/>
              </w:rPr>
              <w:t>.</w:t>
            </w:r>
            <w:r>
              <w:rPr>
                <w:rFonts w:ascii="Calibri" w:hAnsi="Calibri"/>
              </w:rPr>
              <w:t xml:space="preserve">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On July 23, 2026, Kingstone Companies, Inc. (the “Company”) issued a press release (the “Press Release”) announcing that the Company’s Board of Directors has declared a quarterly cash dividend of $0.06 per share payable on August 26, 2026 to stockholders of record at the close of business on August 11, 2026. A copy of the Press Release is furnished as Exhibit 99.1 hereto.</w:t>
      </w:r>
      <w:r>
        <w:rPr>
          <w:rFonts w:ascii="Calibri" w:hAnsi="Calibri"/>
          <w:sz w:val="22"/>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Calibri" w:hAnsi="Calibri"/>
          <w:sz w:val="22"/>
        </w:rPr>
      </w:pPr>
      <w:r>
        <w:rPr>
          <w:rFonts w:ascii="Times New Roman" w:hAnsi="Times New Roman"/>
          <w:sz w:val="24"/>
        </w:rPr>
        <w:t>The information in the Press Release is being furnished, not filed, pursuant to this Item 7.01. Accordingly, the information in the Press Release will not be subject to the liabilities of Section 18 of the Securities Exchange Act of 1934, as amended (the “Exchange Act”), nor will it be deemed incorporated by reference into any registration statement filed by the Company under the Securities Act of 1933, as amended, or any filing under the Exchange Act, unless specifically identified therein as being incorporated therein by reference. The furnishing of the information in this Current Report on Form 8-K with respect to the Press Release is not intended to, and does not, constitute a determination or admission by the Company that the information in this Report with respect to the Press Release is material or complete, or that investors should consider this information before making an investment decision with respect to any security of the Company.</w:t>
      </w:r>
      <w:r>
        <w:rPr>
          <w:rFonts w:ascii="Calibri" w:hAnsi="Calibri"/>
          <w:sz w:val="22"/>
        </w:rPr>
        <w:t xml:space="preserve"> </w:t>
      </w:r>
    </w:p>
    <w:p>
      <w:pPr>
        <w:pStyle w:val="TextBody"/>
        <w:bidi w:val="0"/>
        <w:spacing w:before="0" w:after="0"/>
        <w:jc w:val="both"/>
        <w:rPr/>
      </w:pPr>
      <w:r>
        <w:rPr/>
        <w:t xml:space="preserve">  </w:t>
      </w:r>
    </w:p>
    <w:tbl>
      <w:tblPr>
        <w:tblW w:w="4862" w:type="dxa"/>
        <w:jc w:val="left"/>
        <w:tblInd w:w="0" w:type="dxa"/>
        <w:tblLayout w:type="fixed"/>
        <w:tblCellMar>
          <w:top w:w="28" w:type="dxa"/>
          <w:left w:w="28" w:type="dxa"/>
          <w:bottom w:w="28" w:type="dxa"/>
          <w:right w:w="28" w:type="dxa"/>
        </w:tblCellMar>
      </w:tblPr>
      <w:tblGrid>
        <w:gridCol w:w="1126"/>
        <w:gridCol w:w="3736"/>
      </w:tblGrid>
      <w:tr>
        <w:trPr/>
        <w:tc>
          <w:tcPr>
            <w:tcW w:w="1126" w:type="dxa"/>
            <w:tcBorders/>
            <w:vAlign w:val="center"/>
          </w:tcPr>
          <w:p>
            <w:pPr>
              <w:pStyle w:val="TableContents"/>
              <w:bidi w:val="0"/>
              <w:spacing w:before="0" w:after="0"/>
              <w:jc w:val="both"/>
              <w:rPr>
                <w:rFonts w:ascii="Calibri" w:hAnsi="Calibri"/>
              </w:rPr>
            </w:pPr>
            <w:r>
              <w:rPr>
                <w:rFonts w:ascii="Times New Roman" w:hAnsi="Times New Roman"/>
                <w:b/>
                <w:sz w:val="24"/>
              </w:rPr>
              <w:t>Item 9.01</w:t>
            </w:r>
            <w:r>
              <w:rPr>
                <w:rFonts w:ascii="Calibri" w:hAnsi="Calibri"/>
              </w:rPr>
              <w:t xml:space="preserve"> </w:t>
            </w:r>
          </w:p>
        </w:tc>
        <w:tc>
          <w:tcPr>
            <w:tcW w:w="3736" w:type="dxa"/>
            <w:tcBorders/>
            <w:vAlign w:val="center"/>
          </w:tcPr>
          <w:p>
            <w:pPr>
              <w:pStyle w:val="TableContents"/>
              <w:bidi w:val="0"/>
              <w:spacing w:before="0" w:after="0"/>
              <w:jc w:val="left"/>
              <w:rPr>
                <w:rFonts w:ascii="Calibri" w:hAnsi="Calibri"/>
              </w:rPr>
            </w:pPr>
            <w:r>
              <w:rPr>
                <w:rFonts w:ascii="Times New Roman" w:hAnsi="Times New Roman"/>
                <w:b/>
                <w:sz w:val="24"/>
              </w:rPr>
              <w:t>Financial Statements and Exhibits.</w:t>
            </w:r>
            <w:r>
              <w:rPr>
                <w:rFonts w:ascii="Calibri" w:hAnsi="Calibri"/>
              </w:rPr>
              <w:t xml:space="preserve"> </w:t>
            </w:r>
          </w:p>
        </w:tc>
      </w:tr>
    </w:tbl>
    <w:p>
      <w:pPr>
        <w:pStyle w:val="TextBody"/>
        <w:bidi w:val="0"/>
        <w:spacing w:lineRule="atLeast" w:line="240" w:before="0" w:after="0"/>
        <w:jc w:val="both"/>
        <w:rPr/>
      </w:pPr>
      <w:r>
        <w:rPr/>
        <w:t xml:space="preserve">  </w:t>
      </w:r>
    </w:p>
    <w:tbl>
      <w:tblPr>
        <w:tblW w:w="8883" w:type="dxa"/>
        <w:jc w:val="left"/>
        <w:tblInd w:w="0" w:type="dxa"/>
        <w:tblLayout w:type="fixed"/>
        <w:tblCellMar>
          <w:top w:w="28" w:type="dxa"/>
          <w:left w:w="28" w:type="dxa"/>
          <w:bottom w:w="28" w:type="dxa"/>
          <w:right w:w="28" w:type="dxa"/>
        </w:tblCellMar>
      </w:tblPr>
      <w:tblGrid>
        <w:gridCol w:w="451"/>
        <w:gridCol w:w="586"/>
        <w:gridCol w:w="7846"/>
      </w:tblGrid>
      <w:tr>
        <w:trPr/>
        <w:tc>
          <w:tcPr>
            <w:tcW w:w="45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7846" w:type="dxa"/>
            <w:tcBorders/>
            <w:vAlign w:val="center"/>
          </w:tcPr>
          <w:p>
            <w:pPr>
              <w:pStyle w:val="TableContents"/>
              <w:bidi w:val="0"/>
              <w:spacing w:before="0" w:after="283"/>
              <w:jc w:val="left"/>
              <w:rPr/>
            </w:pPr>
            <w:r>
              <w:rPr/>
              <w:t> </w:t>
            </w:r>
          </w:p>
        </w:tc>
      </w:tr>
      <w:tr>
        <w:trPr/>
        <w:tc>
          <w:tcPr>
            <w:tcW w:w="45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both"/>
              <w:rPr>
                <w:rFonts w:ascii="Calibri" w:hAnsi="Calibri"/>
              </w:rPr>
            </w:pPr>
            <w:r>
              <w:rPr>
                <w:rFonts w:ascii="Times New Roman" w:hAnsi="Times New Roman"/>
                <w:sz w:val="24"/>
              </w:rPr>
              <w:t>(d)</w:t>
            </w:r>
            <w:r>
              <w:rPr>
                <w:rFonts w:ascii="Calibri" w:hAnsi="Calibri"/>
              </w:rPr>
              <w:t xml:space="preserve"> </w:t>
            </w:r>
          </w:p>
        </w:tc>
        <w:tc>
          <w:tcPr>
            <w:tcW w:w="8432"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rFonts w:ascii="Calibri" w:hAnsi="Calibri"/>
              </w:rPr>
            </w:pPr>
            <w:r>
              <w:rPr>
                <w:rFonts w:ascii="Times New Roman" w:hAnsi="Times New Roman"/>
                <w:sz w:val="24"/>
              </w:rPr>
              <w:t>Exhibits:</w:t>
            </w:r>
            <w:r>
              <w:rPr>
                <w:rFonts w:ascii="Calibri" w:hAnsi="Calibri"/>
              </w:rPr>
              <w:t xml:space="preserve"> </w:t>
            </w:r>
          </w:p>
        </w:tc>
      </w:tr>
      <w:tr>
        <w:trPr/>
        <w:tc>
          <w:tcPr>
            <w:tcW w:w="451"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  </w:t>
            </w:r>
          </w:p>
        </w:tc>
        <w:tc>
          <w:tcPr>
            <w:tcW w:w="586"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  </w:t>
            </w:r>
          </w:p>
        </w:tc>
        <w:tc>
          <w:tcPr>
            <w:tcW w:w="7846" w:type="dxa"/>
            <w:tcBorders>
              <w:top w:val="single" w:sz="8" w:space="0" w:color="000000"/>
            </w:tcBorders>
            <w:tcMar>
              <w:left w:w="0" w:type="dxa"/>
              <w:bottom w:w="0" w:type="dxa"/>
              <w:right w:w="0" w:type="dxa"/>
            </w:tcMar>
            <w:vAlign w:val="center"/>
          </w:tcPr>
          <w:p>
            <w:pPr>
              <w:pStyle w:val="TableContents"/>
              <w:bidi w:val="0"/>
              <w:spacing w:before="0" w:after="0"/>
              <w:jc w:val="left"/>
              <w:rPr/>
            </w:pPr>
            <w:r>
              <w:rPr/>
              <w:t xml:space="preserve">  </w:t>
            </w:r>
          </w:p>
        </w:tc>
      </w:tr>
      <w:tr>
        <w:trPr/>
        <w:tc>
          <w:tcPr>
            <w:tcW w:w="451" w:type="dxa"/>
            <w:tcBorders/>
            <w:tcMar>
              <w:top w:w="0" w:type="dxa"/>
              <w:left w:w="0" w:type="dxa"/>
              <w:bottom w:w="0" w:type="dxa"/>
              <w:right w:w="0" w:type="dxa"/>
            </w:tcMar>
            <w:vAlign w:val="center"/>
          </w:tcPr>
          <w:p>
            <w:pPr>
              <w:pStyle w:val="TableContents"/>
              <w:bidi w:val="0"/>
              <w:spacing w:before="0" w:after="200"/>
              <w:jc w:val="left"/>
              <w:rPr/>
            </w:pPr>
            <w:r>
              <w:rPr/>
              <w:t xml:space="preserve">  </w:t>
            </w:r>
          </w:p>
        </w:tc>
        <w:tc>
          <w:tcPr>
            <w:tcW w:w="58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99.1</w:t>
            </w:r>
            <w:r>
              <w:rPr>
                <w:rFonts w:ascii="Calibri" w:hAnsi="Calibri"/>
              </w:rPr>
              <w:t xml:space="preserve"> </w:t>
            </w:r>
          </w:p>
        </w:tc>
        <w:tc>
          <w:tcPr>
            <w:tcW w:w="784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sz w:val="24"/>
              </w:rPr>
            </w:pPr>
            <w:r>
              <w:rPr>
                <w:rFonts w:ascii="Times New Roman" w:hAnsi="Times New Roman"/>
                <w:sz w:val="24"/>
              </w:rPr>
              <w:t xml:space="preserve">Press release, dated July 23, 2026, issued by Kingstone Companies, Inc. </w:t>
            </w:r>
          </w:p>
        </w:tc>
      </w:tr>
      <w:tr>
        <w:trPr/>
        <w:tc>
          <w:tcPr>
            <w:tcW w:w="451" w:type="dxa"/>
            <w:tcBorders/>
            <w:tcMar>
              <w:top w:w="0" w:type="dxa"/>
              <w:left w:w="0" w:type="dxa"/>
              <w:bottom w:w="0" w:type="dxa"/>
              <w:right w:w="0" w:type="dxa"/>
            </w:tcMar>
            <w:vAlign w:val="center"/>
          </w:tcPr>
          <w:p>
            <w:pPr>
              <w:pStyle w:val="TableContents"/>
              <w:bidi w:val="0"/>
              <w:spacing w:before="0" w:after="200"/>
              <w:jc w:val="left"/>
              <w:rPr/>
            </w:pPr>
            <w:r>
              <w:rPr/>
              <w:t xml:space="preserve">  </w:t>
            </w:r>
          </w:p>
        </w:tc>
        <w:tc>
          <w:tcPr>
            <w:tcW w:w="58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104</w:t>
            </w:r>
            <w:r>
              <w:rPr>
                <w:rFonts w:ascii="Calibri" w:hAnsi="Calibri"/>
              </w:rPr>
              <w:t xml:space="preserve"> </w:t>
            </w:r>
          </w:p>
        </w:tc>
        <w:tc>
          <w:tcPr>
            <w:tcW w:w="7846" w:type="dxa"/>
            <w:tcBorders/>
            <w:tcMar>
              <w:top w:w="0" w:type="dxa"/>
              <w:left w:w="0" w:type="dxa"/>
              <w:bottom w:w="0" w:type="dxa"/>
              <w:right w:w="0" w:type="dxa"/>
            </w:tcMar>
            <w:vAlign w:val="center"/>
          </w:tcPr>
          <w:p>
            <w:pPr>
              <w:pStyle w:val="TableContents"/>
              <w:bidi w:val="0"/>
              <w:spacing w:before="0" w:after="200"/>
              <w:jc w:val="left"/>
              <w:rPr>
                <w:rFonts w:ascii="Calibri" w:hAnsi="Calibri"/>
              </w:rPr>
            </w:pPr>
            <w:r>
              <w:rPr>
                <w:rFonts w:ascii="Times New Roman" w:hAnsi="Times New Roman"/>
                <w:sz w:val="24"/>
              </w:rPr>
              <w:t>Cover Page Interactive Data File (embedded within the inline XBRL document).</w:t>
            </w:r>
            <w:r>
              <w:rPr>
                <w:rFonts w:ascii="Calibri" w:hAnsi="Calibri"/>
              </w:rPr>
              <w:t xml:space="preserve"> </w:t>
            </w:r>
          </w:p>
        </w:tc>
      </w:tr>
    </w:tbl>
    <w:p>
      <w:pPr>
        <w:pStyle w:val="TextBody"/>
        <w:bidi w:val="0"/>
        <w:spacing w:before="0" w:after="200"/>
        <w:jc w:val="left"/>
        <w:rPr/>
      </w:pPr>
      <w:r>
        <w:rPr/>
        <w:t xml:space="preserve">  </w:t>
      </w:r>
    </w:p>
    <w:p>
      <w:pPr>
        <w:pStyle w:val="TextBody"/>
        <w:bidi w:val="0"/>
        <w:spacing w:before="0" w:after="0"/>
        <w:jc w:val="left"/>
        <w:rPr/>
      </w:pPr>
      <w:r>
        <w:rPr/>
        <w:t xml:space="preserve">  </w:t>
      </w:r>
    </w:p>
    <w:p>
      <w:pPr>
        <w:pStyle w:val="TextBody"/>
        <w:bidi w:val="0"/>
        <w:spacing w:before="0" w:after="200"/>
        <w:jc w:val="right"/>
        <w:rPr>
          <w:rFonts w:ascii="Calibri" w:hAnsi="Calibri"/>
        </w:rPr>
      </w:pPr>
      <w:r>
        <w:rPr>
          <w:rFonts w:ascii="Calibri" w:hAnsi="Calibri"/>
        </w:rPr>
      </w:r>
    </w:p>
    <w:p>
      <w:pPr>
        <w:pStyle w:val="HorizontalLine"/>
        <w:pBdr>
          <w:bottom w:val="double" w:sz="2" w:space="0" w:color="808080"/>
        </w:pBdr>
        <w:bidi w:val="0"/>
        <w:spacing w:before="0" w:after="283"/>
        <w:jc w:val="left"/>
        <w:rPr/>
      </w:pPr>
      <w:r>
        <w:rPr/>
      </w:r>
    </w:p>
    <w:p>
      <w:pPr>
        <w:pStyle w:val="TextBody"/>
        <w:bidi w:val="0"/>
        <w:spacing w:lineRule="atLeast" w:line="276" w:before="0" w:after="0"/>
        <w:jc w:val="center"/>
        <w:rPr>
          <w:rFonts w:ascii="Times New Roman" w:hAnsi="Times New Roman"/>
          <w:b/>
          <w:sz w:val="24"/>
        </w:rPr>
      </w:pPr>
      <w:r>
        <w:rPr>
          <w:rFonts w:ascii="Times New Roman" w:hAnsi="Times New Roman"/>
          <w:b/>
          <w:sz w:val="24"/>
        </w:rPr>
        <w:t>SIGNATURES</w:t>
      </w:r>
    </w:p>
    <w:p>
      <w:pPr>
        <w:pStyle w:val="TextBody"/>
        <w:bidi w:val="0"/>
        <w:spacing w:lineRule="atLeast" w:line="276" w:before="0" w:after="0"/>
        <w:jc w:val="center"/>
        <w:rPr/>
      </w:pPr>
      <w:r>
        <w:rPr/>
        <w:t> </w:t>
      </w:r>
    </w:p>
    <w:p>
      <w:pPr>
        <w:pStyle w:val="TextBody"/>
        <w:bidi w:val="0"/>
        <w:spacing w:lineRule="atLeast" w:line="276" w:before="0" w:after="0"/>
        <w:jc w:val="left"/>
        <w:rPr/>
      </w:pPr>
      <w:r>
        <w:rPr/>
        <w:t>                 </w:t>
      </w:r>
      <w:r>
        <w:rPr>
          <w:rFonts w:ascii="Times New Roman" w:hAnsi="Times New Roman"/>
          <w:sz w:val="24"/>
        </w:rPr>
        <w:t>Pursuant to the requirements of the Securities Exchange Act of 1934, the registrant has duly caused this report to be signed on its behalf by the undersigned hereunto duly authorized.</w:t>
      </w:r>
      <w:r>
        <w:rPr>
          <w:rFonts w:ascii="Calibri" w:hAnsi="Calibri"/>
          <w:sz w:val="22"/>
        </w:rPr>
        <w:t xml:space="preserve"> </w:t>
      </w:r>
    </w:p>
    <w:p>
      <w:pPr>
        <w:pStyle w:val="TextBody"/>
        <w:bidi w:val="0"/>
        <w:spacing w:lineRule="atLeast" w:line="276" w:before="0" w:after="0"/>
        <w:jc w:val="both"/>
        <w:rPr/>
      </w:pPr>
      <w:r>
        <w:rPr/>
        <w:t xml:space="preserve">  </w:t>
      </w:r>
    </w:p>
    <w:tbl>
      <w:tblPr>
        <w:tblW w:w="6061" w:type="dxa"/>
        <w:jc w:val="left"/>
        <w:tblInd w:w="0" w:type="dxa"/>
        <w:tblLayout w:type="fixed"/>
        <w:tblCellMar>
          <w:top w:w="28" w:type="dxa"/>
          <w:left w:w="28" w:type="dxa"/>
          <w:bottom w:w="28" w:type="dxa"/>
          <w:right w:w="28" w:type="dxa"/>
        </w:tblCellMar>
      </w:tblPr>
      <w:tblGrid>
        <w:gridCol w:w="2221"/>
        <w:gridCol w:w="674"/>
        <w:gridCol w:w="3166"/>
      </w:tblGrid>
      <w:tr>
        <w:trPr/>
        <w:tc>
          <w:tcPr>
            <w:tcW w:w="2221"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left"/>
              <w:rPr/>
            </w:pPr>
            <w:r>
              <w:rPr/>
              <w:t> </w:t>
            </w:r>
          </w:p>
        </w:tc>
        <w:tc>
          <w:tcPr>
            <w:tcW w:w="3166" w:type="dxa"/>
            <w:tcBorders/>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840" w:type="dxa"/>
            <w:gridSpan w:val="2"/>
            <w:tcBorders/>
            <w:tcMar>
              <w:top w:w="0" w:type="dxa"/>
              <w:left w:w="0" w:type="dxa"/>
              <w:bottom w:w="0" w:type="dxa"/>
              <w:right w:w="0" w:type="dxa"/>
            </w:tcMar>
            <w:vAlign w:val="center"/>
          </w:tcPr>
          <w:p>
            <w:pPr>
              <w:pStyle w:val="TableContents"/>
              <w:bidi w:val="0"/>
              <w:spacing w:before="0" w:after="0"/>
              <w:jc w:val="left"/>
              <w:rPr/>
            </w:pPr>
            <w:r>
              <w:rPr>
                <w:b/>
                <w:sz w:val="24"/>
              </w:rPr>
              <w:t>KINGSTONE COMPANIES, INC.</w:t>
            </w:r>
            <w:r>
              <w:rPr/>
              <w:t xml:space="preserve">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sz w:val="24"/>
              </w:rPr>
              <w:t>Dated:  July 23, 2026</w:t>
            </w: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sz w:val="24"/>
              </w:rPr>
              <w:t>By:</w:t>
            </w:r>
            <w:r>
              <w:rPr/>
              <w:t xml:space="preserve"> </w:t>
            </w:r>
          </w:p>
        </w:tc>
        <w:tc>
          <w:tcPr>
            <w:tcW w:w="3166" w:type="dxa"/>
            <w:tcBorders>
              <w:bottom w:val="single" w:sz="8" w:space="0" w:color="000000"/>
            </w:tcBorders>
            <w:tcMar>
              <w:top w:w="0" w:type="dxa"/>
              <w:left w:w="0" w:type="dxa"/>
              <w:right w:w="0" w:type="dxa"/>
            </w:tcMar>
            <w:vAlign w:val="center"/>
          </w:tcPr>
          <w:p>
            <w:pPr>
              <w:pStyle w:val="TableContents"/>
              <w:bidi w:val="0"/>
              <w:spacing w:before="0" w:after="0"/>
              <w:jc w:val="left"/>
              <w:rPr/>
            </w:pPr>
            <w:r>
              <w:rPr>
                <w:sz w:val="24"/>
              </w:rPr>
              <w:t>/s/ Randy Patten</w:t>
            </w:r>
            <w:r>
              <w:rPr/>
              <w:t xml:space="preserve">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op w:val="single" w:sz="8" w:space="0" w:color="000000"/>
            </w:tcBorders>
            <w:tcMar>
              <w:left w:w="0" w:type="dxa"/>
              <w:bottom w:w="0" w:type="dxa"/>
              <w:right w:w="0" w:type="dxa"/>
            </w:tcMar>
            <w:vAlign w:val="center"/>
          </w:tcPr>
          <w:p>
            <w:pPr>
              <w:pStyle w:val="TableContents"/>
              <w:bidi w:val="0"/>
              <w:spacing w:before="0" w:after="0"/>
              <w:ind w:left="0" w:right="0" w:hanging="0"/>
              <w:jc w:val="left"/>
              <w:rPr/>
            </w:pPr>
            <w:r>
              <w:rPr>
                <w:sz w:val="24"/>
              </w:rPr>
              <w:t>Randy Patten</w:t>
            </w:r>
            <w:r>
              <w:rPr/>
              <w:t xml:space="preserve"> </w:t>
            </w:r>
          </w:p>
        </w:tc>
      </w:tr>
      <w:tr>
        <w:trPr/>
        <w:tc>
          <w:tcPr>
            <w:tcW w:w="222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674"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ind w:left="0" w:right="0" w:hanging="0"/>
              <w:jc w:val="left"/>
              <w:rPr/>
            </w:pPr>
            <w:r>
              <w:rPr>
                <w:sz w:val="24"/>
              </w:rPr>
              <w:t>Chief Financial Officer</w:t>
            </w:r>
            <w:r>
              <w:rPr/>
              <w:t xml:space="preserve"> </w:t>
            </w:r>
          </w:p>
        </w:tc>
      </w:tr>
    </w:tbl>
    <w:p>
      <w:pPr>
        <w:pStyle w:val="TextBody"/>
        <w:bidi w:val="0"/>
        <w:spacing w:before="0" w:after="200"/>
        <w:jc w:val="left"/>
        <w:rPr/>
      </w:pPr>
      <w:r>
        <w:rPr/>
        <w:t xml:space="preserve">  </w:t>
      </w:r>
    </w:p>
    <w:p>
      <w:pPr>
        <w:pStyle w:val="TextBody"/>
        <w:bidi w:val="0"/>
        <w:spacing w:before="0" w:after="200"/>
        <w:jc w:val="both"/>
        <w:rPr/>
      </w:pPr>
      <w:r>
        <w:rPr/>
        <w:t xml:space="preserve">  </w:t>
      </w:r>
    </w:p>
    <w:p>
      <w:pPr>
        <w:pStyle w:val="TextBody"/>
        <w:bidi w:val="0"/>
        <w:spacing w:before="0" w:after="0"/>
        <w:jc w:val="left"/>
        <w:rPr/>
      </w:pPr>
      <w:r>
        <w:rPr/>
        <w:t xml:space="preserve">  </w:t>
      </w:r>
    </w:p>
    <w:p>
      <w:pPr>
        <w:pStyle w:val="TextBody"/>
        <w:bidi w:val="0"/>
        <w:spacing w:before="0" w:after="200"/>
        <w:jc w:val="right"/>
        <w:rPr>
          <w:rFonts w:ascii="Calibri" w:hAnsi="Calibri"/>
        </w:rPr>
      </w:pPr>
      <w:r>
        <w:rPr>
          <w:rFonts w:ascii="Calibri" w:hAnsi="Calibri"/>
        </w:rPr>
      </w:r>
    </w:p>
    <w:p>
      <w:pPr>
        <w:pStyle w:val="TextBody"/>
        <w:bidi w:val="0"/>
        <w:spacing w:before="0" w:after="0"/>
        <w:jc w:val="left"/>
        <w:rPr/>
      </w:pPr>
      <w:bookmarkStart w:id="2" w:name="ex99_1.htm"/>
      <w:bookmarkStart w:id="3" w:name="ksex99_1"/>
      <w:bookmarkEnd w:id="2"/>
      <w:bookmarkEnd w:id="3"/>
      <w:r>
        <w:rPr/>
        <w:drawing>
          <wp:inline distT="0" distB="0" distL="0" distR="0">
            <wp:extent cx="1725295" cy="3473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5295" cy="347345"/>
                    </a:xfrm>
                    <a:prstGeom prst="rect">
                      <a:avLst/>
                    </a:prstGeom>
                  </pic:spPr>
                </pic:pic>
              </a:graphicData>
            </a:graphic>
          </wp:inline>
        </w:drawing>
      </w:r>
      <w:r>
        <w:rPr/>
        <w:t xml:space="preserve"> </w:t>
      </w:r>
      <w:r>
        <w:br w:type="page"/>
      </w:r>
    </w:p>
    <w:p>
      <w:pPr>
        <w:pStyle w:val="TextBody"/>
        <w:bidi w:val="0"/>
        <w:spacing w:before="0" w:after="0"/>
        <w:jc w:val="right"/>
        <w:rPr/>
      </w:pPr>
      <w:r>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9718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29718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lineRule="atLeast" w:line="259" w:before="0" w:after="240"/>
        <w:ind w:left="540" w:right="540" w:hanging="0"/>
        <w:jc w:val="center"/>
        <w:rPr/>
      </w:pPr>
      <w:r>
        <w:rPr>
          <w:b/>
          <w:color w:val="000000"/>
          <w:sz w:val="32"/>
        </w:rPr>
        <w:t>Kingstone Increases Regular Quarterly Cash Dividend by 20% to $0.06 Per Share</w:t>
      </w:r>
      <w:r>
        <w:rPr/>
        <w:t xml:space="preserve"> </w:t>
      </w:r>
    </w:p>
    <w:p>
      <w:pPr>
        <w:pStyle w:val="TextBody"/>
        <w:bidi w:val="0"/>
        <w:spacing w:before="0" w:after="160"/>
        <w:jc w:val="both"/>
        <w:rPr/>
      </w:pPr>
      <w:r>
        <w:rPr>
          <w:b/>
        </w:rPr>
        <w:t xml:space="preserve">Kingston, NY – July 23, 2026 </w:t>
      </w:r>
      <w:r>
        <w:rPr/>
        <w:t xml:space="preserve">– Kingstone Companies, Inc. (Nasdaq: KINS) (“Kingstone” or the “Company”), a regional property and casualty insurance holding company, today announced that its Board of Directors has approved a 20% increase in the Company’s quarterly cash dividend to $0.06 per share of common stock from $0.05 per share. The dividend is payable on August 26, 2026, to stockholders of record at the close of business on August 11, 2026. </w:t>
      </w:r>
    </w:p>
    <w:p>
      <w:pPr>
        <w:pStyle w:val="TextBody"/>
        <w:bidi w:val="0"/>
        <w:spacing w:lineRule="atLeast" w:line="259" w:before="0" w:after="240"/>
        <w:jc w:val="both"/>
        <w:rPr/>
      </w:pPr>
      <w:r>
        <w:rPr/>
        <w:t xml:space="preserve">Randy Patten, Vice President and Chief Financial Officer of Kingstone, stated, “One year after reinstating our quarterly dividend, this 20% increase reflects the Board’s confidence in the earnings power of the platform we have built and our outlook for continued profitable growth. Together with the share repurchase program announced in May, it demonstrates our ability to return capital to shareholders while continuing to invest in the business. We remain committed to disciplined capital allocation and prioritizing the opportunities we believe will generate the highest long-term returns for our shareholders.” </w:t>
      </w:r>
    </w:p>
    <w:p>
      <w:pPr>
        <w:pStyle w:val="TextBody"/>
        <w:bidi w:val="0"/>
        <w:spacing w:lineRule="atLeast" w:line="259" w:before="0" w:after="240"/>
        <w:jc w:val="both"/>
        <w:rPr/>
      </w:pPr>
      <w:r>
        <w:rPr/>
        <w:t xml:space="preserve">This is the first dividend increase since Kingstone reinstated its quarterly dividend in July 2025 and follows the Board’s authorization in May 2026 of a share repurchase program of up to 1,000,000 shares of the Company’s common stock over the next two years. </w:t>
      </w:r>
    </w:p>
    <w:p>
      <w:pPr>
        <w:pStyle w:val="TextBody"/>
        <w:bidi w:val="0"/>
        <w:spacing w:lineRule="atLeast" w:line="259" w:before="0" w:after="20"/>
        <w:jc w:val="both"/>
        <w:rPr/>
      </w:pPr>
      <w:r>
        <w:rPr>
          <w:b/>
          <w:color w:val="000000"/>
        </w:rPr>
        <w:t>About Kingstone Companies, Inc.</w:t>
      </w:r>
      <w:r>
        <w:rPr/>
        <w:t xml:space="preserve"> </w:t>
      </w:r>
    </w:p>
    <w:p>
      <w:pPr>
        <w:pStyle w:val="TextBody"/>
        <w:bidi w:val="0"/>
        <w:spacing w:lineRule="atLeast" w:line="259" w:before="0" w:after="240"/>
        <w:jc w:val="both"/>
        <w:rPr/>
      </w:pPr>
      <w:r>
        <w:rPr/>
        <w:t xml:space="preserve">Kingstone is a regional property and casualty insurance holding company whose principal operating subsidiaries write business through retail and wholesale agents and brokers. Kingstone delivers tailored homeowners insurance solutions through its sophisticated product suite, Select, supported by a scalable and efficient operating platform that enables the Company to pursue significant market opportunities and strategic expansion. Kingstone was the 11th largest writer of homeowners insurance in New York in 2025 and also writes homeowners coverage in California on a non-admitted basis. </w:t>
      </w:r>
    </w:p>
    <w:p>
      <w:pPr>
        <w:pStyle w:val="TextBody"/>
        <w:bidi w:val="0"/>
        <w:spacing w:lineRule="atLeast" w:line="259" w:before="0" w:after="20"/>
        <w:jc w:val="both"/>
        <w:rPr/>
      </w:pPr>
      <w:r>
        <w:rPr>
          <w:b/>
          <w:color w:val="000000"/>
        </w:rPr>
        <w:t>Forward-Looking Statements</w:t>
      </w:r>
      <w:r>
        <w:rPr/>
        <w:t xml:space="preserve"> </w:t>
      </w:r>
    </w:p>
    <w:p>
      <w:pPr>
        <w:pStyle w:val="TextBody"/>
        <w:bidi w:val="0"/>
        <w:spacing w:before="0" w:after="160"/>
        <w:jc w:val="both"/>
        <w:rPr/>
      </w:pPr>
      <w:r>
        <w:rPr/>
        <w:t xml:space="preserve">This press release may contain “forward-looking statements” within the meaning of the Private Securities Litigation Reform Act of 1995. All statements, other than statements of historical facts, may be forward-looking statements. These statements are based on management’s current expectations and are subject to uncertainty and changes in circumstances. These statements involve risks and uncertainties that could cause actual results to differ materially from those included in forward-looking statements due to a variety of factors. For more details on factors that could affect expectations, see Part I, Item 1A of our Annual Report on Form 10-K for the year ended December 31, 2025. </w:t>
      </w:r>
    </w:p>
    <w:p>
      <w:pPr>
        <w:pStyle w:val="TextBody"/>
        <w:bidi w:val="0"/>
        <w:spacing w:lineRule="atLeast" w:line="259" w:before="0" w:after="240"/>
        <w:jc w:val="both"/>
        <w:rPr/>
      </w:pPr>
      <w:r>
        <w:rPr/>
        <w:t xml:space="preserve">Kingstone undertakes no obligation to publicly update or revise any forward-looking statements, whether as a result of new information, future events or otherwise, except as required by law. </w:t>
      </w:r>
    </w:p>
    <w:p>
      <w:pPr>
        <w:pStyle w:val="TextBody"/>
        <w:bidi w:val="0"/>
        <w:spacing w:lineRule="atLeast" w:line="259" w:before="0" w:after="20"/>
        <w:jc w:val="both"/>
        <w:rPr/>
      </w:pPr>
      <w:r>
        <w:rPr>
          <w:b/>
          <w:color w:val="000000"/>
        </w:rPr>
        <w:t>Investor Relations Contact</w:t>
      </w:r>
      <w:r>
        <w:rPr/>
        <w:t xml:space="preserve"> </w:t>
      </w:r>
    </w:p>
    <w:p>
      <w:pPr>
        <w:pStyle w:val="TextBody"/>
        <w:bidi w:val="0"/>
        <w:spacing w:lineRule="atLeast" w:line="259" w:before="0" w:after="0"/>
        <w:jc w:val="both"/>
        <w:rPr/>
      </w:pPr>
      <w:r>
        <w:rPr/>
        <w:t xml:space="preserve">Elevate IR </w:t>
      </w:r>
    </w:p>
    <w:p>
      <w:pPr>
        <w:pStyle w:val="TextBody"/>
        <w:bidi w:val="0"/>
        <w:spacing w:lineRule="atLeast" w:line="259" w:before="0" w:after="0"/>
        <w:jc w:val="both"/>
        <w:rPr/>
      </w:pPr>
      <w:r>
        <w:rPr/>
        <w:t xml:space="preserve">KINS@elevate-ir.com </w:t>
      </w:r>
    </w:p>
    <w:p>
      <w:pPr>
        <w:pStyle w:val="TextBody"/>
        <w:bidi w:val="0"/>
        <w:spacing w:lineRule="atLeast" w:line="259" w:before="0" w:after="283"/>
        <w:jc w:val="both"/>
        <w:rPr/>
      </w:pPr>
      <w:r>
        <w:rPr/>
        <w:t xml:space="preserve">720-330-2829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1029</Words>
  <Characters>5754</Characters>
  <CharactersWithSpaces>6903</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