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50" w:lineRule="exact"/>
        <w:rPr>
          <w:sz w:val="24"/>
          <w:szCs w:val="24"/>
          <w:color w:val="auto"/>
        </w:rPr>
      </w:pPr>
    </w:p>
    <w:p>
      <w:pPr>
        <w:ind w:left="4520" w:right="3980" w:hanging="4172"/>
        <w:spacing w:after="0" w:line="263" w:lineRule="auto"/>
        <w:tabs>
          <w:tab w:leader="none" w:pos="1356"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QUARTERLY REPORT PURSUANT TO SECTION 13 OR 15(d) OF THE SECURITIES EXCHANGE ACT OF 1934 For the quarterly period ended March 31, 2015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35" w:lineRule="exact"/>
        <w:rPr>
          <w:sz w:val="24"/>
          <w:szCs w:val="24"/>
          <w:color w:val="auto"/>
        </w:rPr>
      </w:pPr>
    </w:p>
    <w:p>
      <w:pPr>
        <w:ind w:left="4340" w:right="3960" w:hanging="3968"/>
        <w:spacing w:after="0" w:line="287" w:lineRule="auto"/>
        <w:tabs>
          <w:tab w:leader="none" w:pos="1363"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 For the transition period from _________to _________</w:t>
      </w:r>
    </w:p>
    <w:p>
      <w:pPr>
        <w:spacing w:after="0" w:line="120" w:lineRule="exact"/>
        <w:rPr>
          <w:sz w:val="24"/>
          <w:szCs w:val="24"/>
          <w:color w:val="auto"/>
        </w:rPr>
      </w:pPr>
    </w:p>
    <w:tbl>
      <w:tblPr>
        <w:tblLayout w:type="fixed"/>
        <w:tblInd w:w="1940" w:type="dxa"/>
        <w:tblCellMar>
          <w:top w:w="0" w:type="dxa"/>
          <w:left w:w="0" w:type="dxa"/>
          <w:bottom w:w="0" w:type="dxa"/>
          <w:right w:w="0" w:type="dxa"/>
        </w:tblCellMar>
      </w:tblPr>
      <w:tr>
        <w:trPr>
          <w:trHeight w:val="159"/>
        </w:trPr>
        <w:tc>
          <w:tcPr>
            <w:tcW w:w="2000" w:type="dxa"/>
            <w:vAlign w:val="bottom"/>
          </w:tcPr>
          <w:p>
            <w:pPr>
              <w:spacing w:after="0"/>
              <w:rPr>
                <w:sz w:val="13"/>
                <w:szCs w:val="13"/>
                <w:color w:val="auto"/>
              </w:rPr>
            </w:pPr>
          </w:p>
        </w:tc>
        <w:tc>
          <w:tcPr>
            <w:tcW w:w="5400" w:type="dxa"/>
            <w:vAlign w:val="bottom"/>
          </w:tcPr>
          <w:p>
            <w:pPr>
              <w:jc w:val="center"/>
              <w:ind w:right="1738"/>
              <w:spacing w:after="0"/>
              <w:rPr>
                <w:sz w:val="20"/>
                <w:szCs w:val="20"/>
                <w:color w:val="auto"/>
              </w:rPr>
            </w:pPr>
            <w:r>
              <w:rPr>
                <w:rFonts w:ascii="Times New Roman" w:cs="Times New Roman" w:eastAsia="Times New Roman" w:hAnsi="Times New Roman"/>
                <w:sz w:val="12"/>
                <w:szCs w:val="12"/>
                <w:b w:val="1"/>
                <w:bCs w:val="1"/>
                <w:color w:val="auto"/>
                <w:w w:val="99"/>
              </w:rPr>
              <w:t>Commission File Number 0-1665</w:t>
            </w:r>
          </w:p>
        </w:tc>
      </w:tr>
      <w:tr>
        <w:trPr>
          <w:trHeight w:val="345"/>
        </w:trPr>
        <w:tc>
          <w:tcPr>
            <w:tcW w:w="2000" w:type="dxa"/>
            <w:vAlign w:val="bottom"/>
          </w:tcPr>
          <w:p>
            <w:pPr>
              <w:spacing w:after="0"/>
              <w:rPr>
                <w:sz w:val="24"/>
                <w:szCs w:val="24"/>
                <w:color w:val="auto"/>
              </w:rPr>
            </w:pPr>
          </w:p>
        </w:tc>
        <w:tc>
          <w:tcPr>
            <w:tcW w:w="5400" w:type="dxa"/>
            <w:vAlign w:val="bottom"/>
          </w:tcPr>
          <w:p>
            <w:pPr>
              <w:jc w:val="center"/>
              <w:ind w:right="1758"/>
              <w:spacing w:after="0"/>
              <w:rPr>
                <w:sz w:val="20"/>
                <w:szCs w:val="20"/>
                <w:color w:val="auto"/>
              </w:rPr>
            </w:pPr>
            <w:r>
              <w:rPr>
                <w:rFonts w:ascii="Times New Roman" w:cs="Times New Roman" w:eastAsia="Times New Roman" w:hAnsi="Times New Roman"/>
                <w:sz w:val="17"/>
                <w:szCs w:val="17"/>
                <w:b w:val="1"/>
                <w:bCs w:val="1"/>
                <w:color w:val="auto"/>
                <w:w w:val="98"/>
              </w:rPr>
              <w:t>KINGSTONE COMPANIES, INC.</w:t>
            </w:r>
          </w:p>
        </w:tc>
      </w:tr>
      <w:tr>
        <w:trPr>
          <w:trHeight w:val="159"/>
        </w:trPr>
        <w:tc>
          <w:tcPr>
            <w:tcW w:w="2000" w:type="dxa"/>
            <w:vAlign w:val="bottom"/>
          </w:tcPr>
          <w:p>
            <w:pPr>
              <w:spacing w:after="0"/>
              <w:rPr>
                <w:sz w:val="13"/>
                <w:szCs w:val="13"/>
                <w:color w:val="auto"/>
              </w:rPr>
            </w:pPr>
          </w:p>
        </w:tc>
        <w:tc>
          <w:tcPr>
            <w:tcW w:w="5400" w:type="dxa"/>
            <w:vAlign w:val="bottom"/>
          </w:tcPr>
          <w:p>
            <w:pPr>
              <w:jc w:val="center"/>
              <w:ind w:right="1758"/>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r>
      <w:tr>
        <w:trPr>
          <w:trHeight w:val="273"/>
        </w:trPr>
        <w:tc>
          <w:tcPr>
            <w:tcW w:w="2000" w:type="dxa"/>
            <w:vAlign w:val="bottom"/>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400" w:type="dxa"/>
            <w:vAlign w:val="bottom"/>
          </w:tcPr>
          <w:p>
            <w:pPr>
              <w:jc w:val="center"/>
              <w:ind w:left="4158"/>
              <w:spacing w:after="0"/>
              <w:rPr>
                <w:sz w:val="20"/>
                <w:szCs w:val="20"/>
                <w:color w:val="auto"/>
              </w:rPr>
            </w:pPr>
            <w:r>
              <w:rPr>
                <w:rFonts w:ascii="Times New Roman" w:cs="Times New Roman" w:eastAsia="Times New Roman" w:hAnsi="Times New Roman"/>
                <w:sz w:val="12"/>
                <w:szCs w:val="12"/>
                <w:b w:val="1"/>
                <w:bCs w:val="1"/>
                <w:color w:val="auto"/>
                <w:w w:val="99"/>
              </w:rPr>
              <w:t>36-2476480</w:t>
            </w:r>
          </w:p>
        </w:tc>
      </w:tr>
      <w:tr>
        <w:trPr>
          <w:trHeight w:val="144"/>
        </w:trPr>
        <w:tc>
          <w:tcPr>
            <w:tcW w:w="2000" w:type="dxa"/>
            <w:vAlign w:val="bottom"/>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 of</w:t>
            </w:r>
          </w:p>
        </w:tc>
        <w:tc>
          <w:tcPr>
            <w:tcW w:w="5400" w:type="dxa"/>
            <w:vAlign w:val="bottom"/>
          </w:tcPr>
          <w:p>
            <w:pPr>
              <w:jc w:val="center"/>
              <w:ind w:left="4138"/>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44"/>
        </w:trPr>
        <w:tc>
          <w:tcPr>
            <w:tcW w:w="2000" w:type="dxa"/>
            <w:vAlign w:val="bottom"/>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incorporation or organization)</w:t>
            </w:r>
          </w:p>
        </w:tc>
        <w:tc>
          <w:tcPr>
            <w:tcW w:w="5400" w:type="dxa"/>
            <w:vAlign w:val="bottom"/>
          </w:tcPr>
          <w:p>
            <w:pPr>
              <w:jc w:val="center"/>
              <w:ind w:left="4138"/>
              <w:spacing w:after="0"/>
              <w:rPr>
                <w:sz w:val="20"/>
                <w:szCs w:val="20"/>
                <w:color w:val="auto"/>
              </w:rPr>
            </w:pPr>
            <w:r>
              <w:rPr>
                <w:rFonts w:ascii="Times New Roman" w:cs="Times New Roman" w:eastAsia="Times New Roman" w:hAnsi="Times New Roman"/>
                <w:sz w:val="12"/>
                <w:szCs w:val="12"/>
                <w:b w:val="1"/>
                <w:bCs w:val="1"/>
                <w:color w:val="auto"/>
              </w:rPr>
              <w:t>Identification Number)</w:t>
            </w:r>
          </w:p>
        </w:tc>
      </w:tr>
      <w:tr>
        <w:trPr>
          <w:trHeight w:val="144"/>
        </w:trPr>
        <w:tc>
          <w:tcPr>
            <w:tcW w:w="2000" w:type="dxa"/>
            <w:vAlign w:val="bottom"/>
          </w:tcPr>
          <w:p>
            <w:pPr>
              <w:spacing w:after="0"/>
              <w:rPr>
                <w:sz w:val="12"/>
                <w:szCs w:val="12"/>
                <w:color w:val="auto"/>
              </w:rPr>
            </w:pPr>
          </w:p>
        </w:tc>
        <w:tc>
          <w:tcPr>
            <w:tcW w:w="5400" w:type="dxa"/>
            <w:vAlign w:val="bottom"/>
          </w:tcPr>
          <w:p>
            <w:pPr>
              <w:jc w:val="center"/>
              <w:ind w:right="1758"/>
              <w:spacing w:after="0"/>
              <w:rPr>
                <w:sz w:val="20"/>
                <w:szCs w:val="20"/>
                <w:color w:val="auto"/>
              </w:rPr>
            </w:pPr>
            <w:r>
              <w:rPr>
                <w:rFonts w:ascii="Times New Roman" w:cs="Times New Roman" w:eastAsia="Times New Roman" w:hAnsi="Times New Roman"/>
                <w:sz w:val="12"/>
                <w:szCs w:val="12"/>
                <w:b w:val="1"/>
                <w:bCs w:val="1"/>
                <w:color w:val="auto"/>
                <w:w w:val="98"/>
              </w:rPr>
              <w:t>15 Joys Lane</w:t>
            </w:r>
          </w:p>
        </w:tc>
      </w:tr>
      <w:tr>
        <w:trPr>
          <w:trHeight w:val="144"/>
        </w:trPr>
        <w:tc>
          <w:tcPr>
            <w:tcW w:w="2000" w:type="dxa"/>
            <w:vAlign w:val="bottom"/>
          </w:tcPr>
          <w:p>
            <w:pPr>
              <w:spacing w:after="0"/>
              <w:rPr>
                <w:sz w:val="12"/>
                <w:szCs w:val="12"/>
                <w:color w:val="auto"/>
              </w:rPr>
            </w:pPr>
          </w:p>
        </w:tc>
        <w:tc>
          <w:tcPr>
            <w:tcW w:w="5400" w:type="dxa"/>
            <w:vAlign w:val="bottom"/>
          </w:tcPr>
          <w:p>
            <w:pPr>
              <w:jc w:val="center"/>
              <w:ind w:right="1758"/>
              <w:spacing w:after="0"/>
              <w:rPr>
                <w:sz w:val="20"/>
                <w:szCs w:val="20"/>
                <w:color w:val="auto"/>
              </w:rPr>
            </w:pPr>
            <w:r>
              <w:rPr>
                <w:rFonts w:ascii="Times New Roman" w:cs="Times New Roman" w:eastAsia="Times New Roman" w:hAnsi="Times New Roman"/>
                <w:sz w:val="12"/>
                <w:szCs w:val="12"/>
                <w:b w:val="1"/>
                <w:bCs w:val="1"/>
                <w:color w:val="auto"/>
                <w:w w:val="98"/>
              </w:rPr>
              <w:t>Kingston, NY 12401</w:t>
            </w:r>
          </w:p>
        </w:tc>
      </w:tr>
      <w:tr>
        <w:trPr>
          <w:trHeight w:val="159"/>
        </w:trPr>
        <w:tc>
          <w:tcPr>
            <w:tcW w:w="2000" w:type="dxa"/>
            <w:vAlign w:val="bottom"/>
          </w:tcPr>
          <w:p>
            <w:pPr>
              <w:spacing w:after="0"/>
              <w:rPr>
                <w:sz w:val="13"/>
                <w:szCs w:val="13"/>
                <w:color w:val="auto"/>
              </w:rPr>
            </w:pPr>
          </w:p>
        </w:tc>
        <w:tc>
          <w:tcPr>
            <w:tcW w:w="5400" w:type="dxa"/>
            <w:vAlign w:val="bottom"/>
          </w:tcPr>
          <w:p>
            <w:pPr>
              <w:jc w:val="center"/>
              <w:ind w:right="1758"/>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r>
      <w:tr>
        <w:trPr>
          <w:trHeight w:val="306"/>
        </w:trPr>
        <w:tc>
          <w:tcPr>
            <w:tcW w:w="2000" w:type="dxa"/>
            <w:vAlign w:val="bottom"/>
          </w:tcPr>
          <w:p>
            <w:pPr>
              <w:spacing w:after="0"/>
              <w:rPr>
                <w:sz w:val="24"/>
                <w:szCs w:val="24"/>
                <w:color w:val="auto"/>
              </w:rPr>
            </w:pPr>
          </w:p>
        </w:tc>
        <w:tc>
          <w:tcPr>
            <w:tcW w:w="5400" w:type="dxa"/>
            <w:vAlign w:val="bottom"/>
          </w:tcPr>
          <w:p>
            <w:pPr>
              <w:jc w:val="center"/>
              <w:ind w:right="1758"/>
              <w:spacing w:after="0"/>
              <w:rPr>
                <w:sz w:val="20"/>
                <w:szCs w:val="20"/>
                <w:color w:val="auto"/>
              </w:rPr>
            </w:pPr>
            <w:r>
              <w:rPr>
                <w:rFonts w:ascii="Times New Roman" w:cs="Times New Roman" w:eastAsia="Times New Roman" w:hAnsi="Times New Roman"/>
                <w:sz w:val="12"/>
                <w:szCs w:val="12"/>
                <w:b w:val="1"/>
                <w:bCs w:val="1"/>
                <w:color w:val="auto"/>
                <w:w w:val="98"/>
              </w:rPr>
              <w:t>(845) 802-7900</w:t>
            </w:r>
          </w:p>
        </w:tc>
      </w:tr>
      <w:tr>
        <w:trPr>
          <w:trHeight w:val="306"/>
        </w:trPr>
        <w:tc>
          <w:tcPr>
            <w:tcW w:w="2000" w:type="dxa"/>
            <w:vAlign w:val="bottom"/>
          </w:tcPr>
          <w:p>
            <w:pPr>
              <w:spacing w:after="0"/>
              <w:rPr>
                <w:sz w:val="24"/>
                <w:szCs w:val="24"/>
                <w:color w:val="auto"/>
              </w:rPr>
            </w:pPr>
          </w:p>
        </w:tc>
        <w:tc>
          <w:tcPr>
            <w:tcW w:w="5400" w:type="dxa"/>
            <w:vAlign w:val="bottom"/>
          </w:tcPr>
          <w:p>
            <w:pPr>
              <w:jc w:val="center"/>
              <w:ind w:right="1758"/>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r>
    </w:tbl>
    <w:p>
      <w:pPr>
        <w:spacing w:after="0" w:line="313" w:lineRule="exact"/>
        <w:rPr>
          <w:sz w:val="24"/>
          <w:szCs w:val="24"/>
          <w:color w:val="auto"/>
        </w:rPr>
      </w:pPr>
    </w:p>
    <w:p>
      <w:pPr>
        <w:ind w:right="220"/>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o</w:t>
      </w:r>
    </w:p>
    <w:p>
      <w:pPr>
        <w:spacing w:after="0" w:line="140" w:lineRule="exact"/>
        <w:rPr>
          <w:sz w:val="24"/>
          <w:szCs w:val="24"/>
          <w:color w:val="auto"/>
        </w:rPr>
      </w:pPr>
    </w:p>
    <w:p>
      <w:pPr>
        <w:ind w:right="80"/>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o</w:t>
      </w:r>
    </w:p>
    <w:p>
      <w:pPr>
        <w:spacing w:after="0" w:line="140"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40"/>
          </w:cols>
          <w:pgMar w:left="220" w:top="245" w:right="239" w:bottom="1440" w:gutter="0" w:footer="0" w:header="0"/>
        </w:sectPr>
      </w:pPr>
    </w:p>
    <w:p>
      <w:pPr>
        <w:spacing w:after="0" w:line="11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1"/>
          <w:szCs w:val="11"/>
          <w:color w:val="auto"/>
        </w:rPr>
        <w:t>Large accelerated filer o</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Accelerated filero</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2"/>
          <w:szCs w:val="12"/>
          <w:color w:val="auto"/>
        </w:rPr>
        <w:t>Non-accelerated filer o</w:t>
      </w:r>
    </w:p>
    <w:p>
      <w:pPr>
        <w:spacing w:after="0" w:line="1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323" w:lineRule="exact"/>
        <w:rPr>
          <w:sz w:val="24"/>
          <w:szCs w:val="24"/>
          <w:color w:val="auto"/>
        </w:rPr>
      </w:pPr>
    </w:p>
    <w:p>
      <w:pPr>
        <w:sectPr>
          <w:pgSz w:w="11900" w:h="16838" w:orient="portrait"/>
          <w:cols w:equalWidth="0" w:num="4">
            <w:col w:w="2420" w:space="720"/>
            <w:col w:w="1960" w:space="720"/>
            <w:col w:w="3060" w:space="720"/>
            <w:col w:w="1840"/>
          </w:cols>
          <w:pgMar w:left="220" w:top="245" w:right="239" w:bottom="1440" w:gutter="0" w:footer="0" w:header="0"/>
          <w:type w:val="continuous"/>
        </w:sect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o No </w:t>
      </w:r>
      <w:r>
        <w:rPr>
          <w:rFonts w:ascii="MS PGothic" w:cs="MS PGothic" w:eastAsia="MS PGothic" w:hAnsi="MS PGothic"/>
          <w:sz w:val="11"/>
          <w:szCs w:val="11"/>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As of May 12, 2015, there were 7,341,664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59055</wp:posOffset>
            </wp:positionV>
            <wp:extent cx="7299325" cy="32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32385"/>
                    </a:xfrm>
                    <a:prstGeom prst="rect">
                      <a:avLst/>
                    </a:prstGeom>
                    <a:noFill/>
                  </pic:spPr>
                </pic:pic>
              </a:graphicData>
            </a:graphic>
          </wp:anchor>
        </w:drawing>
      </w:r>
    </w:p>
    <w:p>
      <w:pPr>
        <w:sectPr>
          <w:pgSz w:w="11900" w:h="16838" w:orient="portrait"/>
          <w:cols w:equalWidth="0" w:num="1">
            <w:col w:w="11440"/>
          </w:cols>
          <w:pgMar w:left="220" w:top="245"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KINGSTONE COMPANIES,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INDEX</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12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286"/>
        </w:trPr>
        <w:tc>
          <w:tcPr>
            <w:tcW w:w="102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PART I — FINANCIAL INFORMATION</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Item 1 —</w:t>
            </w:r>
          </w:p>
        </w:tc>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Financial Statements</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Condensed Consolidated Balance Sheets at March 31, 2015 (Unaudited) and December 31, 2014</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Condensed Consolidated Statements of Income and Comprehensive Income for the three months ended March 31, 2015 (Unaudited) and 2014 (Unaudited)</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Condensed Consolidated Statement of Stockholders’ Equity for the three months ended March 31, 2015 (Unaudited)</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Condensed Consolidated Statements of Cash Flows for the three months ended March 31, 2015 (Unaudited) and 2014 (Unaudited)</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Notes to Condensed Consolidated Financial Statements (Unaudited)</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Item 2 —</w:t>
            </w:r>
          </w:p>
        </w:tc>
        <w:tc>
          <w:tcPr>
            <w:tcW w:w="9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Management’s Discussion and Analysis of Financial Condition and Results of Operations</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2"/>
                <w:szCs w:val="12"/>
                <w:color w:val="auto"/>
              </w:rPr>
              <w:t>Item 3 —</w:t>
            </w:r>
          </w:p>
        </w:tc>
        <w:tc>
          <w:tcPr>
            <w:tcW w:w="92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Quantitative and Qualitative Disclosures About Market Risk</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Item 4 —</w:t>
            </w:r>
          </w:p>
        </w:tc>
        <w:tc>
          <w:tcPr>
            <w:tcW w:w="9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Controls and Procedures</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200" w:type="dxa"/>
            <w:vAlign w:val="bottom"/>
            <w:gridSpan w:val="2"/>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PART II — OTHER INFORMATION</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2"/>
                <w:szCs w:val="12"/>
                <w:color w:val="auto"/>
              </w:rPr>
              <w:t>Item 1 —</w:t>
            </w:r>
          </w:p>
        </w:tc>
        <w:tc>
          <w:tcPr>
            <w:tcW w:w="92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Legal Proceedings</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Item 1A —</w:t>
            </w:r>
          </w:p>
        </w:tc>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Risk Factors</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2"/>
                <w:szCs w:val="12"/>
                <w:color w:val="auto"/>
              </w:rPr>
              <w:t>Item 2 —</w:t>
            </w:r>
          </w:p>
        </w:tc>
        <w:tc>
          <w:tcPr>
            <w:tcW w:w="92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Unregistered Sales of Equity Securities and Use of Proceeds</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Item 3 —</w:t>
            </w:r>
          </w:p>
        </w:tc>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Defaults Upon Senior Securities</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2"/>
                <w:szCs w:val="12"/>
                <w:color w:val="auto"/>
              </w:rPr>
              <w:t>Item 4 —</w:t>
            </w:r>
          </w:p>
        </w:tc>
        <w:tc>
          <w:tcPr>
            <w:tcW w:w="92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Mine Safety Disclosures</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Item 5 —</w:t>
            </w:r>
          </w:p>
        </w:tc>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 Information</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2"/>
                <w:szCs w:val="12"/>
                <w:color w:val="auto"/>
              </w:rPr>
              <w:t>Item 6 —</w:t>
            </w:r>
          </w:p>
        </w:tc>
        <w:tc>
          <w:tcPr>
            <w:tcW w:w="92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Exhibits</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Signatures</w:t>
            </w:r>
          </w:p>
        </w:tc>
        <w:tc>
          <w:tcPr>
            <w:tcW w:w="92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EXHIBIT 3(a)</w:t>
            </w:r>
          </w:p>
        </w:tc>
        <w:tc>
          <w:tcPr>
            <w:tcW w:w="9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3(b)</w:t>
            </w:r>
          </w:p>
        </w:tc>
        <w:tc>
          <w:tcPr>
            <w:tcW w:w="9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31(a)</w:t>
            </w:r>
          </w:p>
        </w:tc>
        <w:tc>
          <w:tcPr>
            <w:tcW w:w="9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31(b)</w:t>
            </w:r>
          </w:p>
        </w:tc>
        <w:tc>
          <w:tcPr>
            <w:tcW w:w="9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32</w:t>
            </w:r>
          </w:p>
        </w:tc>
        <w:tc>
          <w:tcPr>
            <w:tcW w:w="9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2"/>
          <w:szCs w:val="12"/>
          <w:color w:val="auto"/>
        </w:rPr>
        <w:t>EXHIBIT 101.INS XBRL Instance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EXHIBIT 101.SCH XBRL Taxonomy Extension Schema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EXHIBIT 101.CAL XBRL Taxonomy Extension Calculation Linkbase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EXHIBIT 101.DEF XBRL Taxonomy Extension Definition Linkbase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EXHIBIT 101.LAB XBRL Taxonomy Extension Label Linkbase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EXHIBIT 101.PRE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68" w:right="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auto"/>
        </w:rPr>
        <w:t>Forward-Looking Statements</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This Quarterly Report on Form 10-Q contains forward-looking statements as that term is defined in the federal securities laws. The events described in forward-looking statements contained in this Quarterly Report may not occur. Generally, these statements relate to business plans or strategies, projected or anticipated benefits or other consequences of our plans or strategies, projected or anticipated benefits from acquisitions to be made by us, or projections involving anticipated revenues, earnings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which may affect our results include, but are not limited to, the risks and uncertainties discussed in Item 7 of our Annual Report on Form 10-K for the year ended December 31, 2014 under “Factors That May Affect Future Results and Financial Condition.”</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540" w:type="dxa"/>
            <w:vAlign w:val="bottom"/>
            <w:gridSpan w:val="4"/>
          </w:tcPr>
          <w:p>
            <w:pPr>
              <w:jc w:val="right"/>
              <w:ind w:right="2240"/>
              <w:spacing w:after="0"/>
              <w:rPr>
                <w:sz w:val="20"/>
                <w:szCs w:val="20"/>
                <w:color w:val="auto"/>
              </w:rPr>
            </w:pPr>
            <w:r>
              <w:rPr>
                <w:rFonts w:ascii="Times New Roman" w:cs="Times New Roman" w:eastAsia="Times New Roman" w:hAnsi="Times New Roman"/>
                <w:sz w:val="12"/>
                <w:szCs w:val="12"/>
                <w:b w:val="1"/>
                <w:bCs w:val="1"/>
                <w:color w:val="auto"/>
              </w:rPr>
              <w:t>PART I. FINANCIAL INFORMATION</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1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1.</w:t>
            </w:r>
          </w:p>
        </w:tc>
        <w:tc>
          <w:tcPr>
            <w:tcW w:w="2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Financial Statements</w:t>
            </w:r>
            <w:r>
              <w:rPr>
                <w:rFonts w:ascii="Times New Roman" w:cs="Times New Roman" w:eastAsia="Times New Roman" w:hAnsi="Times New Roman"/>
                <w:sz w:val="12"/>
                <w:szCs w:val="12"/>
                <w:color w:val="auto"/>
              </w:rPr>
              <w:t>.</w:t>
            </w:r>
          </w:p>
        </w:tc>
        <w:tc>
          <w:tcPr>
            <w:tcW w:w="7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700" w:type="dxa"/>
            <w:vAlign w:val="bottom"/>
            <w:gridSpan w:val="7"/>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48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700" w:type="dxa"/>
            <w:vAlign w:val="bottom"/>
            <w:gridSpan w:val="7"/>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480" w:type="dxa"/>
            <w:vAlign w:val="bottom"/>
            <w:gridSpan w:val="5"/>
            <w:vMerge w:val="continue"/>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0"/>
                <w:szCs w:val="10"/>
                <w:b w:val="1"/>
                <w:bCs w:val="1"/>
                <w:color w:val="auto"/>
                <w:w w:val="99"/>
              </w:rPr>
              <w:t>2015</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2014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w:t>
            </w:r>
            <w:r>
              <w:rPr>
                <w:rFonts w:ascii="Times New Roman" w:cs="Times New Roman" w:eastAsia="Times New Roman" w:hAnsi="Times New Roman"/>
                <w:sz w:val="12"/>
                <w:szCs w:val="12"/>
                <w:color w:val="auto"/>
              </w:rPr>
              <w:t>s</w:t>
            </w: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21"/>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Fixed-maturity securities, held-to-maturity, at amortized cost (fair value of</w:t>
            </w:r>
          </w:p>
        </w:tc>
        <w:tc>
          <w:tcPr>
            <w:tcW w:w="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$5,465,196 at March 31, 2015 and $5,395,054 at December 31, 2014)</w:t>
            </w:r>
          </w:p>
        </w:tc>
        <w:tc>
          <w:tcPr>
            <w:tcW w:w="45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5,132,238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5,128,735</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Fixed-maturity securities, available-for-sale, at fair value (amortized cost of</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$52,564,513 at March 31, 2015 and $50,083,441 at December 31, 2014)</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54,301,176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51,120,859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Equity securities, available-for-sale, at fair value (cost of $8,766,866</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at March 31, 2015 and $7,621,309 at December 31, 2014)</w:t>
            </w:r>
          </w:p>
        </w:tc>
        <w:tc>
          <w:tcPr>
            <w:tcW w:w="70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shd w:val="clear" w:color="auto" w:fill="CCEEFF"/>
          </w:tcPr>
          <w:p>
            <w:pPr>
              <w:spacing w:after="0"/>
              <w:rPr>
                <w:sz w:val="12"/>
                <w:szCs w:val="12"/>
                <w:color w:val="auto"/>
              </w:rPr>
            </w:pPr>
          </w:p>
        </w:tc>
        <w:tc>
          <w:tcPr>
            <w:tcW w:w="20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9,237,109</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8,017,729</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investments</w:t>
            </w: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68,670,523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64,267,323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6,283,655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9,906,878</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auto"/>
              </w:rPr>
              <w:t>Premiums receivable, net of provision for uncollectible amounts</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9,428,166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8,946,899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Receivables - reinsurance contracts</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1,436,205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1,301,549</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auto"/>
              </w:rPr>
              <w:t>Reinsurance receivables, net of provision for uncollectible amounts</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36,551,604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35,575,276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policy acquisition costs</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9,035,966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8,985,981</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auto"/>
              </w:rPr>
              <w:t>Intangible assets, net</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2,114,601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2,233,530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Property and equipment, net of accumulated depreciation</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2,497,138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2,448,042</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assets</w:t>
            </w: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1,371,410</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1,330,944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w:t>
            </w:r>
            <w:r>
              <w:rPr>
                <w:rFonts w:ascii="Times New Roman" w:cs="Times New Roman" w:eastAsia="Times New Roman" w:hAnsi="Times New Roman"/>
                <w:sz w:val="12"/>
                <w:szCs w:val="12"/>
                <w:color w:val="auto"/>
              </w:rPr>
              <w:t>s</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45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137,389,268</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134,996,422</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10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80" w:type="dxa"/>
            <w:vAlign w:val="bottom"/>
            <w:tcBorders>
              <w:top w:val="single" w:sz="8" w:color="CCEEFF"/>
            </w:tcBorders>
          </w:tcPr>
          <w:p>
            <w:pPr>
              <w:spacing w:after="0"/>
              <w:rPr>
                <w:sz w:val="10"/>
                <w:szCs w:val="10"/>
                <w:color w:val="auto"/>
              </w:rPr>
            </w:pPr>
          </w:p>
        </w:tc>
        <w:tc>
          <w:tcPr>
            <w:tcW w:w="23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600" w:type="dxa"/>
            <w:vAlign w:val="bottom"/>
            <w:tcBorders>
              <w:top w:val="single" w:sz="8" w:color="CCEEFF"/>
            </w:tcBorders>
          </w:tcPr>
          <w:p>
            <w:pPr>
              <w:spacing w:after="0"/>
              <w:rPr>
                <w:sz w:val="10"/>
                <w:szCs w:val="10"/>
                <w:color w:val="auto"/>
              </w:rPr>
            </w:pPr>
          </w:p>
        </w:tc>
        <w:tc>
          <w:tcPr>
            <w:tcW w:w="206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w:t>
            </w:r>
            <w:r>
              <w:rPr>
                <w:rFonts w:ascii="Times New Roman" w:cs="Times New Roman" w:eastAsia="Times New Roman" w:hAnsi="Times New Roman"/>
                <w:sz w:val="12"/>
                <w:szCs w:val="12"/>
                <w:color w:val="auto"/>
              </w:rPr>
              <w:t>s</w:t>
            </w:r>
          </w:p>
        </w:tc>
        <w:tc>
          <w:tcPr>
            <w:tcW w:w="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auto"/>
              </w:rPr>
              <w:t>Loss and loss adjustment expense reserves</w:t>
            </w:r>
          </w:p>
        </w:tc>
        <w:tc>
          <w:tcPr>
            <w:tcW w:w="45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42,151,264</w:t>
            </w:r>
          </w:p>
        </w:tc>
        <w:tc>
          <w:tcPr>
            <w:tcW w:w="240" w:type="dxa"/>
            <w:vAlign w:val="bottom"/>
          </w:tcPr>
          <w:p>
            <w:pPr>
              <w:spacing w:after="0"/>
              <w:rPr>
                <w:sz w:val="12"/>
                <w:szCs w:val="12"/>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39,912,683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Unearned premiums</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40,926,461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40,458,041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Advance premiums</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1,414,096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1,006,582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Reinsurance balances payable</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2,018,556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2,096,363</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auto"/>
              </w:rPr>
              <w:t>Deferred ceding commission revenue</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5,902,562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5,956,540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payable, accrued expenses and other liabilities</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2,670,444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3,928,137</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auto"/>
              </w:rPr>
              <w:t>Deferred income taxes</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1,390,167</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1,137,180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w:t>
            </w:r>
            <w:r>
              <w:rPr>
                <w:rFonts w:ascii="Times New Roman" w:cs="Times New Roman" w:eastAsia="Times New Roman" w:hAnsi="Times New Roman"/>
                <w:sz w:val="12"/>
                <w:szCs w:val="12"/>
                <w:color w:val="auto"/>
              </w:rPr>
              <w:t>s</w:t>
            </w:r>
          </w:p>
        </w:tc>
        <w:tc>
          <w:tcPr>
            <w:tcW w:w="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96,473,550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94,495,526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20" w:type="dxa"/>
            <w:vAlign w:val="bottom"/>
            <w:tcBorders>
              <w:top w:val="single" w:sz="8" w:color="CCEEFF"/>
            </w:tcBorders>
            <w:gridSpan w:val="2"/>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236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600" w:type="dxa"/>
            <w:vAlign w:val="bottom"/>
            <w:tcBorders>
              <w:top w:val="single" w:sz="8" w:color="CCEEFF"/>
            </w:tcBorders>
          </w:tcPr>
          <w:p>
            <w:pPr>
              <w:spacing w:after="0"/>
              <w:rPr>
                <w:sz w:val="12"/>
                <w:szCs w:val="12"/>
                <w:color w:val="auto"/>
              </w:rPr>
            </w:pPr>
          </w:p>
        </w:tc>
        <w:tc>
          <w:tcPr>
            <w:tcW w:w="206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Commitments and Contingencies</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2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auto"/>
              </w:rPr>
              <w:t>Preferred stock, $.01 par value; authorized 2,500,000 shares</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Common stock, $.01 par value; authorized 20,000,000 shares; issued 8,286,452 shares</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at March 31, 2015 and 8,235,095 shares at December 31, 2014; outstanding</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7,343,775 shares at March 31, 2015 and 7,308,757 shares at December 31, 2014</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82,865</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82,351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auto"/>
              </w:rPr>
              <w:t>Capital in excess of par</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32,889,235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32,873,383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1,456,557</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946,332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99"/>
              </w:rPr>
              <w:t>Retained earnings</w:t>
            </w: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8,219,997</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8,203,003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42,648,654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42,105,069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Treasury stock, at cost, 942,677 shares at March 31, 2015 and 926,338 shares</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at December 31, 2014</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(1,732,936)</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(1,604,173)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46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Total stockholders' equity</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40,915,718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40,500,896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20" w:type="dxa"/>
            <w:vAlign w:val="bottom"/>
            <w:gridSpan w:val="2"/>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46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45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137,389,268</w:t>
            </w:r>
          </w:p>
        </w:tc>
        <w:tc>
          <w:tcPr>
            <w:tcW w:w="240" w:type="dxa"/>
            <w:vAlign w:val="bottom"/>
          </w:tcPr>
          <w:p>
            <w:pPr>
              <w:spacing w:after="0"/>
              <w:rPr>
                <w:sz w:val="12"/>
                <w:szCs w:val="12"/>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134,996,422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23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20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w:t>
      </w: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00"/>
          </w:cols>
          <w:pgMar w:left="220" w:top="380" w:right="179" w:bottom="1440" w:gutter="0" w:footer="0" w:header="0"/>
        </w:sectPr>
      </w:pPr>
    </w:p>
    <w:bookmarkStart w:id="4" w:name="page5"/>
    <w:bookmarkEnd w:id="4"/>
    <w:p>
      <w:pPr>
        <w:ind w:left="842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Income and Comprehensive Income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i w:val="1"/>
                <w:iCs w:val="1"/>
                <w:color w:val="auto"/>
              </w:rPr>
              <w:t>Three months ended March 31,</w:t>
            </w:r>
          </w:p>
        </w:tc>
        <w:tc>
          <w:tcPr>
            <w:tcW w:w="4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2015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2014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Revenue</w:t>
            </w:r>
            <w:r>
              <w:rPr>
                <w:rFonts w:ascii="Times New Roman" w:cs="Times New Roman" w:eastAsia="Times New Roman" w:hAnsi="Times New Roman"/>
                <w:sz w:val="12"/>
                <w:szCs w:val="12"/>
                <w:color w:val="auto"/>
              </w:rPr>
              <w:t>s</w:t>
            </w:r>
          </w:p>
        </w:tc>
        <w:tc>
          <w:tcPr>
            <w:tcW w:w="4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premiums earned</w:t>
            </w:r>
          </w:p>
        </w:tc>
        <w:tc>
          <w:tcPr>
            <w:tcW w:w="4520" w:type="dxa"/>
            <w:vAlign w:val="bottom"/>
            <w:gridSpan w:val="3"/>
            <w:shd w:val="clear" w:color="auto" w:fill="CCEEFF"/>
          </w:tcPr>
          <w:p>
            <w:pPr>
              <w:jc w:val="right"/>
              <w:ind w:right="165"/>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10,385,799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5,926,311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Ceding commission revenue</w:t>
            </w: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3,089,404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3,381,283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investment income</w:t>
            </w:r>
          </w:p>
        </w:tc>
        <w:tc>
          <w:tcPr>
            <w:tcW w:w="4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574,656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378,788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realized (losses) gains on sales of investments</w:t>
            </w: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(67,494)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188,348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income</w:t>
            </w:r>
          </w:p>
        </w:tc>
        <w:tc>
          <w:tcPr>
            <w:tcW w:w="4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631,191</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227,557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revenues</w:t>
            </w: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14,613,556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10,102,287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Expense</w:t>
            </w:r>
            <w:r>
              <w:rPr>
                <w:rFonts w:ascii="Times New Roman" w:cs="Times New Roman" w:eastAsia="Times New Roman" w:hAnsi="Times New Roman"/>
                <w:sz w:val="12"/>
                <w:szCs w:val="12"/>
                <w:color w:val="auto"/>
              </w:rPr>
              <w:t>s</w:t>
            </w: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and loss adjustment expenses</w:t>
            </w:r>
          </w:p>
        </w:tc>
        <w:tc>
          <w:tcPr>
            <w:tcW w:w="4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7,063,217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4,324,954</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Commission expense</w:t>
            </w: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3,412,327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2,582,508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underwriting expenses</w:t>
            </w:r>
          </w:p>
        </w:tc>
        <w:tc>
          <w:tcPr>
            <w:tcW w:w="4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2,999,155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2,281,749</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operating expenses</w:t>
            </w: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328,498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250,035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4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235,662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183,120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top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expenses</w:t>
            </w:r>
          </w:p>
        </w:tc>
        <w:tc>
          <w:tcPr>
            <w:tcW w:w="4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14,038,859</w:t>
            </w: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9,622,366</w:t>
            </w:r>
          </w:p>
        </w:tc>
        <w:tc>
          <w:tcPr>
            <w:tcW w:w="120" w:type="dxa"/>
            <w:vAlign w:val="bottom"/>
            <w:tcBorders>
              <w:top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Income from operations before taxes</w:t>
            </w: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574,697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479,921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Income tax expense</w:t>
            </w:r>
          </w:p>
        </w:tc>
        <w:tc>
          <w:tcPr>
            <w:tcW w:w="4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192,198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152,788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382,499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327,133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 net of tax</w:t>
            </w: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Gross change in unrealized gains</w:t>
            </w:r>
          </w:p>
        </w:tc>
        <w:tc>
          <w:tcPr>
            <w:tcW w:w="4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on available-for-sale-securities</w:t>
            </w: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705,574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868,744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Reclassification adjustment for losses (gains)</w:t>
            </w: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included in net income</w:t>
            </w:r>
          </w:p>
        </w:tc>
        <w:tc>
          <w:tcPr>
            <w:tcW w:w="4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67,494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(188,348)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change in unrealized gains</w:t>
            </w: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773,068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680,396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Income tax expense related to items</w:t>
            </w:r>
          </w:p>
        </w:tc>
        <w:tc>
          <w:tcPr>
            <w:tcW w:w="4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of other comprehensive income</w:t>
            </w: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(262,843)</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(231,335)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 net of tax</w:t>
            </w:r>
          </w:p>
        </w:tc>
        <w:tc>
          <w:tcPr>
            <w:tcW w:w="4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510,225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449,061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top w:val="single" w:sz="8" w:color="CCEEFF"/>
            </w:tcBorders>
          </w:tcPr>
          <w:p>
            <w:pPr>
              <w:spacing w:after="0"/>
              <w:rPr>
                <w:sz w:val="12"/>
                <w:szCs w:val="12"/>
                <w:color w:val="auto"/>
              </w:rPr>
            </w:pPr>
          </w:p>
        </w:tc>
        <w:tc>
          <w:tcPr>
            <w:tcW w:w="4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Comprehensive income</w:t>
            </w:r>
          </w:p>
        </w:tc>
        <w:tc>
          <w:tcPr>
            <w:tcW w:w="4520" w:type="dxa"/>
            <w:vAlign w:val="bottom"/>
            <w:gridSpan w:val="3"/>
            <w:shd w:val="clear" w:color="auto" w:fill="CCEEFF"/>
          </w:tcPr>
          <w:p>
            <w:pPr>
              <w:jc w:val="right"/>
              <w:ind w:right="165"/>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892,724</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776,194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80" w:type="dxa"/>
            <w:vAlign w:val="bottom"/>
            <w:tcBorders>
              <w:top w:val="single" w:sz="8" w:color="CCEEFF"/>
            </w:tcBorders>
          </w:tcPr>
          <w:p>
            <w:pPr>
              <w:spacing w:after="0"/>
              <w:rPr>
                <w:sz w:val="10"/>
                <w:szCs w:val="10"/>
                <w:color w:val="auto"/>
              </w:rPr>
            </w:pPr>
          </w:p>
        </w:tc>
        <w:tc>
          <w:tcPr>
            <w:tcW w:w="41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4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4520" w:type="dxa"/>
            <w:vAlign w:val="bottom"/>
            <w:gridSpan w:val="3"/>
          </w:tcPr>
          <w:p>
            <w:pPr>
              <w:jc w:val="right"/>
              <w:ind w:right="165"/>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0.05</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580" w:type="dxa"/>
            <w:vAlign w:val="bottom"/>
            <w:shd w:val="clear" w:color="auto" w:fill="CCEEFF"/>
          </w:tcPr>
          <w:p>
            <w:pPr>
              <w:ind w:left="80"/>
              <w:spacing w:after="0" w:line="120" w:lineRule="exact"/>
              <w:rPr>
                <w:sz w:val="20"/>
                <w:szCs w:val="20"/>
                <w:color w:val="auto"/>
              </w:rPr>
            </w:pPr>
            <w:r>
              <w:rPr>
                <w:rFonts w:ascii="Times New Roman" w:cs="Times New Roman" w:eastAsia="Times New Roman" w:hAnsi="Times New Roman"/>
                <w:sz w:val="12"/>
                <w:szCs w:val="12"/>
                <w:color w:val="auto"/>
              </w:rPr>
              <w:t>Diluted</w:t>
            </w:r>
          </w:p>
        </w:tc>
        <w:tc>
          <w:tcPr>
            <w:tcW w:w="4520" w:type="dxa"/>
            <w:vAlign w:val="bottom"/>
            <w:gridSpan w:val="3"/>
            <w:shd w:val="clear" w:color="auto" w:fill="CCEEFF"/>
          </w:tcPr>
          <w:p>
            <w:pPr>
              <w:jc w:val="right"/>
              <w:ind w:right="165"/>
              <w:spacing w:after="0" w:line="120"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40"/>
              <w:spacing w:after="0" w:line="120" w:lineRule="exact"/>
              <w:rPr>
                <w:sz w:val="20"/>
                <w:szCs w:val="20"/>
                <w:color w:val="auto"/>
              </w:rPr>
            </w:pPr>
            <w:r>
              <w:rPr>
                <w:rFonts w:ascii="Times New Roman" w:cs="Times New Roman" w:eastAsia="Times New Roman" w:hAnsi="Times New Roman"/>
                <w:sz w:val="12"/>
                <w:szCs w:val="12"/>
                <w:color w:val="auto"/>
              </w:rPr>
              <w:t>0.05</w:t>
            </w:r>
          </w:p>
        </w:tc>
        <w:tc>
          <w:tcPr>
            <w:tcW w:w="260" w:type="dxa"/>
            <w:vAlign w:val="bottom"/>
            <w:shd w:val="clear" w:color="auto" w:fill="CCEEFF"/>
          </w:tcPr>
          <w:p>
            <w:pPr>
              <w:jc w:val="right"/>
              <w:ind w:right="145"/>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line="120" w:lineRule="exact"/>
              <w:rPr>
                <w:sz w:val="20"/>
                <w:szCs w:val="20"/>
                <w:color w:val="auto"/>
              </w:rPr>
            </w:pPr>
            <w:r>
              <w:rPr>
                <w:rFonts w:ascii="Times New Roman" w:cs="Times New Roman" w:eastAsia="Times New Roman" w:hAnsi="Times New Roman"/>
                <w:sz w:val="12"/>
                <w:szCs w:val="12"/>
                <w:color w:val="auto"/>
              </w:rPr>
              <w:t>0.04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80" w:type="dxa"/>
            <w:vAlign w:val="bottom"/>
            <w:tcBorders>
              <w:top w:val="single" w:sz="8" w:color="CCEEFF"/>
            </w:tcBorders>
          </w:tcPr>
          <w:p>
            <w:pPr>
              <w:spacing w:after="0"/>
              <w:rPr>
                <w:sz w:val="10"/>
                <w:szCs w:val="10"/>
                <w:color w:val="auto"/>
              </w:rPr>
            </w:pPr>
          </w:p>
        </w:tc>
        <w:tc>
          <w:tcPr>
            <w:tcW w:w="41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Weighted average common shares outstanding</w:t>
            </w:r>
          </w:p>
        </w:tc>
        <w:tc>
          <w:tcPr>
            <w:tcW w:w="4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7,318,271</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7,266,573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580" w:type="dxa"/>
            <w:vAlign w:val="bottom"/>
            <w:tcBorders>
              <w:bottom w:val="single" w:sz="8" w:color="CCEEFF"/>
            </w:tcBorders>
            <w:shd w:val="clear" w:color="auto" w:fill="CCEEFF"/>
          </w:tcPr>
          <w:p>
            <w:pPr>
              <w:ind w:left="80"/>
              <w:spacing w:after="0" w:line="120" w:lineRule="exact"/>
              <w:rPr>
                <w:sz w:val="20"/>
                <w:szCs w:val="20"/>
                <w:color w:val="auto"/>
              </w:rPr>
            </w:pPr>
            <w:r>
              <w:rPr>
                <w:rFonts w:ascii="Times New Roman" w:cs="Times New Roman" w:eastAsia="Times New Roman" w:hAnsi="Times New Roman"/>
                <w:sz w:val="12"/>
                <w:szCs w:val="12"/>
                <w:color w:val="auto"/>
              </w:rPr>
              <w:t>Diluted</w:t>
            </w:r>
          </w:p>
        </w:tc>
        <w:tc>
          <w:tcPr>
            <w:tcW w:w="4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7,344,563</w:t>
            </w:r>
          </w:p>
        </w:tc>
        <w:tc>
          <w:tcPr>
            <w:tcW w:w="2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7,372,149</w:t>
            </w: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Dividends declared and paid per common share</w:t>
            </w:r>
          </w:p>
        </w:tc>
        <w:tc>
          <w:tcPr>
            <w:tcW w:w="4240" w:type="dxa"/>
            <w:vAlign w:val="bottom"/>
            <w:gridSpan w:val="2"/>
            <w:shd w:val="clear" w:color="auto" w:fill="CCEEFF"/>
          </w:tcPr>
          <w:p>
            <w:pPr>
              <w:spacing w:after="0"/>
              <w:rPr>
                <w:sz w:val="16"/>
                <w:szCs w:val="16"/>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580" w:type="dxa"/>
            <w:vAlign w:val="bottom"/>
            <w:tcBorders>
              <w:top w:val="single" w:sz="8" w:color="CCEEFF"/>
              <w:bottom w:val="single" w:sz="8" w:color="808080"/>
            </w:tcBorders>
          </w:tcPr>
          <w:p>
            <w:pPr>
              <w:spacing w:after="0"/>
              <w:rPr>
                <w:sz w:val="4"/>
                <w:szCs w:val="4"/>
                <w:color w:val="auto"/>
              </w:rPr>
            </w:pPr>
          </w:p>
        </w:tc>
        <w:tc>
          <w:tcPr>
            <w:tcW w:w="4120" w:type="dxa"/>
            <w:vAlign w:val="bottom"/>
            <w:tcBorders>
              <w:top w:val="single" w:sz="8" w:color="CCEEFF"/>
              <w:bottom w:val="single" w:sz="8" w:color="808080"/>
            </w:tcBorders>
          </w:tcPr>
          <w:p>
            <w:pPr>
              <w:spacing w:after="0"/>
              <w:rPr>
                <w:sz w:val="4"/>
                <w:szCs w:val="4"/>
                <w:color w:val="auto"/>
              </w:rPr>
            </w:pPr>
          </w:p>
        </w:tc>
        <w:tc>
          <w:tcPr>
            <w:tcW w:w="120" w:type="dxa"/>
            <w:vAlign w:val="bottom"/>
            <w:tcBorders>
              <w:top w:val="single" w:sz="8" w:color="CCEEFF"/>
              <w:bottom w:val="single" w:sz="8" w:color="808080"/>
            </w:tcBorders>
          </w:tcPr>
          <w:p>
            <w:pPr>
              <w:spacing w:after="0"/>
              <w:rPr>
                <w:sz w:val="4"/>
                <w:szCs w:val="4"/>
                <w:color w:val="auto"/>
              </w:rPr>
            </w:pPr>
          </w:p>
        </w:tc>
        <w:tc>
          <w:tcPr>
            <w:tcW w:w="280" w:type="dxa"/>
            <w:vAlign w:val="bottom"/>
            <w:tcBorders>
              <w:top w:val="single" w:sz="8" w:color="auto"/>
              <w:bottom w:val="single" w:sz="8" w:color="808080"/>
            </w:tcBorders>
          </w:tcPr>
          <w:p>
            <w:pPr>
              <w:spacing w:after="0"/>
              <w:rPr>
                <w:sz w:val="4"/>
                <w:szCs w:val="4"/>
                <w:color w:val="auto"/>
              </w:rPr>
            </w:pPr>
          </w:p>
        </w:tc>
        <w:tc>
          <w:tcPr>
            <w:tcW w:w="880" w:type="dxa"/>
            <w:vAlign w:val="bottom"/>
            <w:tcBorders>
              <w:top w:val="single" w:sz="8" w:color="auto"/>
              <w:bottom w:val="single" w:sz="8" w:color="808080"/>
            </w:tcBorders>
          </w:tcPr>
          <w:p>
            <w:pPr>
              <w:spacing w:after="0"/>
              <w:rPr>
                <w:sz w:val="4"/>
                <w:szCs w:val="4"/>
                <w:color w:val="auto"/>
              </w:rPr>
            </w:pPr>
          </w:p>
        </w:tc>
        <w:tc>
          <w:tcPr>
            <w:tcW w:w="240" w:type="dxa"/>
            <w:vAlign w:val="bottom"/>
            <w:tcBorders>
              <w:top w:val="single" w:sz="8" w:color="CCEEFF"/>
              <w:bottom w:val="single" w:sz="8" w:color="808080"/>
            </w:tcBorders>
          </w:tcPr>
          <w:p>
            <w:pPr>
              <w:spacing w:after="0"/>
              <w:rPr>
                <w:sz w:val="4"/>
                <w:szCs w:val="4"/>
                <w:color w:val="auto"/>
              </w:rPr>
            </w:pPr>
          </w:p>
        </w:tc>
        <w:tc>
          <w:tcPr>
            <w:tcW w:w="260" w:type="dxa"/>
            <w:vAlign w:val="bottom"/>
            <w:tcBorders>
              <w:top w:val="single" w:sz="8" w:color="auto"/>
              <w:bottom w:val="single" w:sz="8" w:color="808080"/>
            </w:tcBorders>
          </w:tcPr>
          <w:p>
            <w:pPr>
              <w:spacing w:after="0"/>
              <w:rPr>
                <w:sz w:val="4"/>
                <w:szCs w:val="4"/>
                <w:color w:val="auto"/>
              </w:rPr>
            </w:pPr>
          </w:p>
        </w:tc>
        <w:tc>
          <w:tcPr>
            <w:tcW w:w="860" w:type="dxa"/>
            <w:vAlign w:val="bottom"/>
            <w:tcBorders>
              <w:top w:val="single" w:sz="8" w:color="auto"/>
              <w:bottom w:val="single" w:sz="8" w:color="808080"/>
            </w:tcBorders>
          </w:tcPr>
          <w:p>
            <w:pPr>
              <w:spacing w:after="0"/>
              <w:rPr>
                <w:sz w:val="4"/>
                <w:szCs w:val="4"/>
                <w:color w:val="auto"/>
              </w:rPr>
            </w:pPr>
          </w:p>
        </w:tc>
        <w:tc>
          <w:tcPr>
            <w:tcW w:w="120" w:type="dxa"/>
            <w:vAlign w:val="bottom"/>
            <w:tcBorders>
              <w:top w:val="single" w:sz="8" w:color="CCEEFF"/>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46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w:t>
            </w:r>
          </w:p>
        </w:tc>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120" w:type="dxa"/>
            <w:vAlign w:val="bottom"/>
          </w:tcPr>
          <w:p>
            <w:pPr>
              <w:jc w:val="right"/>
              <w:ind w:right="290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580" w:type="dxa"/>
            <w:vAlign w:val="bottom"/>
            <w:tcBorders>
              <w:bottom w:val="single" w:sz="8" w:color="808080"/>
            </w:tcBorders>
          </w:tcPr>
          <w:p>
            <w:pPr>
              <w:spacing w:after="0"/>
              <w:rPr>
                <w:sz w:val="6"/>
                <w:szCs w:val="6"/>
                <w:color w:val="auto"/>
              </w:rPr>
            </w:pPr>
          </w:p>
        </w:tc>
        <w:tc>
          <w:tcPr>
            <w:tcW w:w="4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00"/>
          </w:cols>
          <w:pgMar w:left="220" w:top="386" w:right="179" w:bottom="1440" w:gutter="0" w:footer="0" w:header="0"/>
        </w:sectPr>
      </w:pPr>
    </w:p>
    <w:bookmarkStart w:id="5" w:name="page6"/>
    <w:bookmarkEnd w:id="5"/>
    <w:p>
      <w:pPr>
        <w:ind w:left="842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2376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3760" cy="11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i w:val="1"/>
          <w:iCs w:val="1"/>
          <w:color w:val="auto"/>
        </w:rPr>
        <w:t>Three months ended March 31, 2015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2376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3760" cy="1143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60" w:type="dxa"/>
            <w:vAlign w:val="bottom"/>
          </w:tcPr>
          <w:p>
            <w:pPr>
              <w:spacing w:after="0"/>
              <w:rPr>
                <w:sz w:val="10"/>
                <w:szCs w:val="10"/>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0"/>
                <w:szCs w:val="10"/>
                <w:b w:val="1"/>
                <w:bCs w:val="1"/>
                <w:color w:val="auto"/>
                <w:w w:val="94"/>
              </w:rPr>
              <w:t>Preferred Stock</w:t>
            </w:r>
          </w:p>
        </w:tc>
        <w:tc>
          <w:tcPr>
            <w:tcW w:w="1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Borders>
              <w:bottom w:val="single" w:sz="8" w:color="auto"/>
            </w:tcBorders>
            <w:gridSpan w:val="5"/>
          </w:tcPr>
          <w:p>
            <w:pPr>
              <w:jc w:val="right"/>
              <w:ind w:right="441"/>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in Excess</w:t>
            </w: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1580" w:type="dxa"/>
            <w:vAlign w:val="bottom"/>
            <w:tcBorders>
              <w:bottom w:val="single" w:sz="8" w:color="auto"/>
            </w:tcBorders>
            <w:gridSpan w:val="5"/>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98"/>
              </w:rPr>
              <w:t>of Par</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January 1, 2015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8,235,095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82,351</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32,873,383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946,332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8,203,003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926,338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(1,604,173)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40,500,896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38,892</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38,892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deducted from exercise of stock</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options for payment of withholding taxes</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(30,755)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(243,354)</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(243,662)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Excess tax benefit from exercise</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of stock options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221,136</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221,136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 of stock options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82,112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(822)</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Acquisition of treasury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16,339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(128,763)</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(128,763)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(365,505)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(365,505)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382,499</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382,499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unrealized gains on available-</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for-sale securities, net of tax</w:t>
            </w:r>
          </w:p>
        </w:tc>
        <w:tc>
          <w:tcPr>
            <w:tcW w:w="4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510,225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510,225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March 31, 2015</w:t>
            </w: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8,286,452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82,865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32,889,235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1,456,557</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8,219,997</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942,677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(1,732,936)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40,915,718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80" w:type="dxa"/>
            <w:vAlign w:val="bottom"/>
            <w:tcBorders>
              <w:top w:val="single" w:sz="8" w:color="CCEEFF"/>
              <w:bottom w:val="single" w:sz="8" w:color="808080"/>
            </w:tcBorders>
          </w:tcPr>
          <w:p>
            <w:pPr>
              <w:spacing w:after="0"/>
              <w:rPr>
                <w:sz w:val="4"/>
                <w:szCs w:val="4"/>
                <w:color w:val="auto"/>
              </w:rPr>
            </w:pPr>
          </w:p>
        </w:tc>
        <w:tc>
          <w:tcPr>
            <w:tcW w:w="120" w:type="dxa"/>
            <w:vAlign w:val="bottom"/>
            <w:tcBorders>
              <w:top w:val="single" w:sz="8" w:color="CCEEFF"/>
              <w:bottom w:val="single" w:sz="8" w:color="808080"/>
            </w:tcBorders>
          </w:tcPr>
          <w:p>
            <w:pPr>
              <w:spacing w:after="0"/>
              <w:rPr>
                <w:sz w:val="4"/>
                <w:szCs w:val="4"/>
                <w:color w:val="auto"/>
              </w:rPr>
            </w:pPr>
          </w:p>
        </w:tc>
        <w:tc>
          <w:tcPr>
            <w:tcW w:w="480" w:type="dxa"/>
            <w:vAlign w:val="bottom"/>
            <w:tcBorders>
              <w:top w:val="single" w:sz="8" w:color="auto"/>
              <w:bottom w:val="single" w:sz="8" w:color="808080"/>
            </w:tcBorders>
          </w:tcPr>
          <w:p>
            <w:pPr>
              <w:spacing w:after="0"/>
              <w:rPr>
                <w:sz w:val="4"/>
                <w:szCs w:val="4"/>
                <w:color w:val="auto"/>
              </w:rPr>
            </w:pPr>
          </w:p>
        </w:tc>
        <w:tc>
          <w:tcPr>
            <w:tcW w:w="200" w:type="dxa"/>
            <w:vAlign w:val="bottom"/>
            <w:tcBorders>
              <w:top w:val="single" w:sz="8" w:color="auto"/>
              <w:bottom w:val="single" w:sz="8" w:color="808080"/>
            </w:tcBorders>
          </w:tcPr>
          <w:p>
            <w:pPr>
              <w:spacing w:after="0"/>
              <w:rPr>
                <w:sz w:val="4"/>
                <w:szCs w:val="4"/>
                <w:color w:val="auto"/>
              </w:rPr>
            </w:pPr>
          </w:p>
        </w:tc>
        <w:tc>
          <w:tcPr>
            <w:tcW w:w="240" w:type="dxa"/>
            <w:vAlign w:val="bottom"/>
            <w:tcBorders>
              <w:top w:val="single" w:sz="8" w:color="CCEEFF"/>
              <w:bottom w:val="single" w:sz="8" w:color="808080"/>
            </w:tcBorders>
          </w:tcPr>
          <w:p>
            <w:pPr>
              <w:spacing w:after="0"/>
              <w:rPr>
                <w:sz w:val="4"/>
                <w:szCs w:val="4"/>
                <w:color w:val="auto"/>
              </w:rPr>
            </w:pPr>
          </w:p>
        </w:tc>
        <w:tc>
          <w:tcPr>
            <w:tcW w:w="580" w:type="dxa"/>
            <w:vAlign w:val="bottom"/>
            <w:tcBorders>
              <w:top w:val="single" w:sz="8" w:color="auto"/>
              <w:bottom w:val="single" w:sz="8" w:color="808080"/>
            </w:tcBorders>
          </w:tcPr>
          <w:p>
            <w:pPr>
              <w:spacing w:after="0"/>
              <w:rPr>
                <w:sz w:val="4"/>
                <w:szCs w:val="4"/>
                <w:color w:val="auto"/>
              </w:rPr>
            </w:pPr>
          </w:p>
        </w:tc>
        <w:tc>
          <w:tcPr>
            <w:tcW w:w="120" w:type="dxa"/>
            <w:vAlign w:val="bottom"/>
            <w:tcBorders>
              <w:top w:val="single" w:sz="8" w:color="auto"/>
              <w:bottom w:val="single" w:sz="8" w:color="808080"/>
            </w:tcBorders>
          </w:tcPr>
          <w:p>
            <w:pPr>
              <w:spacing w:after="0"/>
              <w:rPr>
                <w:sz w:val="4"/>
                <w:szCs w:val="4"/>
                <w:color w:val="auto"/>
              </w:rPr>
            </w:pPr>
          </w:p>
        </w:tc>
        <w:tc>
          <w:tcPr>
            <w:tcW w:w="240" w:type="dxa"/>
            <w:vAlign w:val="bottom"/>
            <w:tcBorders>
              <w:top w:val="single" w:sz="8" w:color="CCEEFF"/>
              <w:bottom w:val="single" w:sz="8" w:color="808080"/>
            </w:tcBorders>
          </w:tcPr>
          <w:p>
            <w:pPr>
              <w:spacing w:after="0"/>
              <w:rPr>
                <w:sz w:val="4"/>
                <w:szCs w:val="4"/>
                <w:color w:val="auto"/>
              </w:rPr>
            </w:pPr>
          </w:p>
        </w:tc>
        <w:tc>
          <w:tcPr>
            <w:tcW w:w="680" w:type="dxa"/>
            <w:vAlign w:val="bottom"/>
            <w:tcBorders>
              <w:top w:val="single" w:sz="8" w:color="auto"/>
              <w:bottom w:val="single" w:sz="8" w:color="808080"/>
            </w:tcBorders>
          </w:tcPr>
          <w:p>
            <w:pPr>
              <w:spacing w:after="0"/>
              <w:rPr>
                <w:sz w:val="4"/>
                <w:szCs w:val="4"/>
                <w:color w:val="auto"/>
              </w:rPr>
            </w:pPr>
          </w:p>
        </w:tc>
        <w:tc>
          <w:tcPr>
            <w:tcW w:w="140" w:type="dxa"/>
            <w:vAlign w:val="bottom"/>
            <w:tcBorders>
              <w:top w:val="single" w:sz="8" w:color="CCEEFF"/>
              <w:bottom w:val="single" w:sz="8" w:color="808080"/>
            </w:tcBorders>
          </w:tcPr>
          <w:p>
            <w:pPr>
              <w:spacing w:after="0"/>
              <w:rPr>
                <w:sz w:val="4"/>
                <w:szCs w:val="4"/>
                <w:color w:val="auto"/>
              </w:rPr>
            </w:pPr>
          </w:p>
        </w:tc>
        <w:tc>
          <w:tcPr>
            <w:tcW w:w="100" w:type="dxa"/>
            <w:vAlign w:val="bottom"/>
            <w:tcBorders>
              <w:top w:val="single" w:sz="8" w:color="CCEEFF"/>
              <w:bottom w:val="single" w:sz="8" w:color="808080"/>
            </w:tcBorders>
          </w:tcPr>
          <w:p>
            <w:pPr>
              <w:spacing w:after="0"/>
              <w:rPr>
                <w:sz w:val="4"/>
                <w:szCs w:val="4"/>
                <w:color w:val="auto"/>
              </w:rPr>
            </w:pPr>
          </w:p>
        </w:tc>
        <w:tc>
          <w:tcPr>
            <w:tcW w:w="120" w:type="dxa"/>
            <w:vAlign w:val="bottom"/>
            <w:tcBorders>
              <w:top w:val="single" w:sz="8" w:color="auto"/>
              <w:bottom w:val="single" w:sz="8" w:color="808080"/>
            </w:tcBorders>
          </w:tcPr>
          <w:p>
            <w:pPr>
              <w:spacing w:after="0"/>
              <w:rPr>
                <w:sz w:val="4"/>
                <w:szCs w:val="4"/>
                <w:color w:val="auto"/>
              </w:rPr>
            </w:pPr>
          </w:p>
        </w:tc>
        <w:tc>
          <w:tcPr>
            <w:tcW w:w="580" w:type="dxa"/>
            <w:vAlign w:val="bottom"/>
            <w:tcBorders>
              <w:top w:val="single" w:sz="8" w:color="auto"/>
              <w:bottom w:val="single" w:sz="8" w:color="808080"/>
            </w:tcBorders>
          </w:tcPr>
          <w:p>
            <w:pPr>
              <w:spacing w:after="0"/>
              <w:rPr>
                <w:sz w:val="4"/>
                <w:szCs w:val="4"/>
                <w:color w:val="auto"/>
              </w:rPr>
            </w:pPr>
          </w:p>
        </w:tc>
        <w:tc>
          <w:tcPr>
            <w:tcW w:w="120" w:type="dxa"/>
            <w:vAlign w:val="bottom"/>
            <w:tcBorders>
              <w:top w:val="single" w:sz="8" w:color="CCEEFF"/>
              <w:bottom w:val="single" w:sz="8" w:color="808080"/>
            </w:tcBorders>
          </w:tcPr>
          <w:p>
            <w:pPr>
              <w:spacing w:after="0"/>
              <w:rPr>
                <w:sz w:val="4"/>
                <w:szCs w:val="4"/>
                <w:color w:val="auto"/>
              </w:rPr>
            </w:pPr>
          </w:p>
        </w:tc>
        <w:tc>
          <w:tcPr>
            <w:tcW w:w="100" w:type="dxa"/>
            <w:vAlign w:val="bottom"/>
            <w:tcBorders>
              <w:top w:val="single" w:sz="8" w:color="CCEEFF"/>
              <w:bottom w:val="single" w:sz="8" w:color="808080"/>
            </w:tcBorders>
          </w:tcPr>
          <w:p>
            <w:pPr>
              <w:spacing w:after="0"/>
              <w:rPr>
                <w:sz w:val="4"/>
                <w:szCs w:val="4"/>
                <w:color w:val="auto"/>
              </w:rPr>
            </w:pPr>
          </w:p>
        </w:tc>
        <w:tc>
          <w:tcPr>
            <w:tcW w:w="120" w:type="dxa"/>
            <w:vAlign w:val="bottom"/>
            <w:tcBorders>
              <w:top w:val="single" w:sz="8" w:color="auto"/>
              <w:bottom w:val="single" w:sz="8" w:color="808080"/>
            </w:tcBorders>
          </w:tcPr>
          <w:p>
            <w:pPr>
              <w:spacing w:after="0"/>
              <w:rPr>
                <w:sz w:val="4"/>
                <w:szCs w:val="4"/>
                <w:color w:val="auto"/>
              </w:rPr>
            </w:pPr>
          </w:p>
        </w:tc>
        <w:tc>
          <w:tcPr>
            <w:tcW w:w="580" w:type="dxa"/>
            <w:vAlign w:val="bottom"/>
            <w:tcBorders>
              <w:top w:val="single" w:sz="8" w:color="auto"/>
              <w:bottom w:val="single" w:sz="8" w:color="808080"/>
            </w:tcBorders>
          </w:tcPr>
          <w:p>
            <w:pPr>
              <w:spacing w:after="0"/>
              <w:rPr>
                <w:sz w:val="4"/>
                <w:szCs w:val="4"/>
                <w:color w:val="auto"/>
              </w:rPr>
            </w:pPr>
          </w:p>
        </w:tc>
        <w:tc>
          <w:tcPr>
            <w:tcW w:w="240" w:type="dxa"/>
            <w:vAlign w:val="bottom"/>
            <w:tcBorders>
              <w:top w:val="single" w:sz="8" w:color="CCEEFF"/>
              <w:bottom w:val="single" w:sz="8" w:color="808080"/>
            </w:tcBorders>
          </w:tcPr>
          <w:p>
            <w:pPr>
              <w:spacing w:after="0"/>
              <w:rPr>
                <w:sz w:val="4"/>
                <w:szCs w:val="4"/>
                <w:color w:val="auto"/>
              </w:rPr>
            </w:pPr>
          </w:p>
        </w:tc>
        <w:tc>
          <w:tcPr>
            <w:tcW w:w="60" w:type="dxa"/>
            <w:vAlign w:val="bottom"/>
            <w:tcBorders>
              <w:top w:val="single" w:sz="8" w:color="auto"/>
              <w:bottom w:val="single" w:sz="8" w:color="808080"/>
            </w:tcBorders>
          </w:tcPr>
          <w:p>
            <w:pPr>
              <w:spacing w:after="0"/>
              <w:rPr>
                <w:sz w:val="4"/>
                <w:szCs w:val="4"/>
                <w:color w:val="auto"/>
              </w:rPr>
            </w:pPr>
          </w:p>
        </w:tc>
        <w:tc>
          <w:tcPr>
            <w:tcW w:w="620" w:type="dxa"/>
            <w:vAlign w:val="bottom"/>
            <w:tcBorders>
              <w:top w:val="single" w:sz="8" w:color="auto"/>
              <w:bottom w:val="single" w:sz="8" w:color="808080"/>
            </w:tcBorders>
          </w:tcPr>
          <w:p>
            <w:pPr>
              <w:spacing w:after="0"/>
              <w:rPr>
                <w:sz w:val="4"/>
                <w:szCs w:val="4"/>
                <w:color w:val="auto"/>
              </w:rPr>
            </w:pPr>
          </w:p>
        </w:tc>
        <w:tc>
          <w:tcPr>
            <w:tcW w:w="120" w:type="dxa"/>
            <w:vAlign w:val="bottom"/>
            <w:tcBorders>
              <w:top w:val="single" w:sz="8" w:color="CCEEFF"/>
              <w:bottom w:val="single" w:sz="8" w:color="808080"/>
            </w:tcBorders>
          </w:tcPr>
          <w:p>
            <w:pPr>
              <w:spacing w:after="0"/>
              <w:rPr>
                <w:sz w:val="4"/>
                <w:szCs w:val="4"/>
                <w:color w:val="auto"/>
              </w:rPr>
            </w:pPr>
          </w:p>
        </w:tc>
        <w:tc>
          <w:tcPr>
            <w:tcW w:w="120" w:type="dxa"/>
            <w:vAlign w:val="bottom"/>
            <w:tcBorders>
              <w:top w:val="single" w:sz="8" w:color="CCEEFF"/>
              <w:bottom w:val="single" w:sz="8" w:color="808080"/>
            </w:tcBorders>
          </w:tcPr>
          <w:p>
            <w:pPr>
              <w:spacing w:after="0"/>
              <w:rPr>
                <w:sz w:val="4"/>
                <w:szCs w:val="4"/>
                <w:color w:val="auto"/>
              </w:rPr>
            </w:pPr>
          </w:p>
        </w:tc>
        <w:tc>
          <w:tcPr>
            <w:tcW w:w="120" w:type="dxa"/>
            <w:vAlign w:val="bottom"/>
            <w:tcBorders>
              <w:top w:val="single" w:sz="8" w:color="auto"/>
              <w:bottom w:val="single" w:sz="8" w:color="808080"/>
            </w:tcBorders>
          </w:tcPr>
          <w:p>
            <w:pPr>
              <w:spacing w:after="0"/>
              <w:rPr>
                <w:sz w:val="4"/>
                <w:szCs w:val="4"/>
                <w:color w:val="auto"/>
              </w:rPr>
            </w:pPr>
          </w:p>
        </w:tc>
        <w:tc>
          <w:tcPr>
            <w:tcW w:w="580" w:type="dxa"/>
            <w:vAlign w:val="bottom"/>
            <w:tcBorders>
              <w:top w:val="single" w:sz="8" w:color="auto"/>
              <w:bottom w:val="single" w:sz="8" w:color="808080"/>
            </w:tcBorders>
          </w:tcPr>
          <w:p>
            <w:pPr>
              <w:spacing w:after="0"/>
              <w:rPr>
                <w:sz w:val="4"/>
                <w:szCs w:val="4"/>
                <w:color w:val="auto"/>
              </w:rPr>
            </w:pPr>
          </w:p>
        </w:tc>
        <w:tc>
          <w:tcPr>
            <w:tcW w:w="220" w:type="dxa"/>
            <w:vAlign w:val="bottom"/>
            <w:tcBorders>
              <w:top w:val="single" w:sz="8" w:color="CCEEFF"/>
              <w:bottom w:val="single" w:sz="8" w:color="808080"/>
            </w:tcBorders>
          </w:tcPr>
          <w:p>
            <w:pPr>
              <w:spacing w:after="0"/>
              <w:rPr>
                <w:sz w:val="4"/>
                <w:szCs w:val="4"/>
                <w:color w:val="auto"/>
              </w:rPr>
            </w:pPr>
          </w:p>
        </w:tc>
        <w:tc>
          <w:tcPr>
            <w:tcW w:w="680" w:type="dxa"/>
            <w:vAlign w:val="bottom"/>
            <w:tcBorders>
              <w:top w:val="single" w:sz="8" w:color="auto"/>
              <w:bottom w:val="single" w:sz="8" w:color="808080"/>
            </w:tcBorders>
          </w:tcPr>
          <w:p>
            <w:pPr>
              <w:spacing w:after="0"/>
              <w:rPr>
                <w:sz w:val="4"/>
                <w:szCs w:val="4"/>
                <w:color w:val="auto"/>
              </w:rPr>
            </w:pPr>
          </w:p>
        </w:tc>
        <w:tc>
          <w:tcPr>
            <w:tcW w:w="120" w:type="dxa"/>
            <w:vAlign w:val="bottom"/>
            <w:tcBorders>
              <w:top w:val="single" w:sz="8" w:color="CCEEFF"/>
              <w:bottom w:val="single" w:sz="8" w:color="808080"/>
            </w:tcBorders>
          </w:tcPr>
          <w:p>
            <w:pPr>
              <w:spacing w:after="0"/>
              <w:rPr>
                <w:sz w:val="4"/>
                <w:szCs w:val="4"/>
                <w:color w:val="auto"/>
              </w:rPr>
            </w:pPr>
          </w:p>
        </w:tc>
        <w:tc>
          <w:tcPr>
            <w:tcW w:w="100" w:type="dxa"/>
            <w:vAlign w:val="bottom"/>
            <w:tcBorders>
              <w:top w:val="single" w:sz="8" w:color="CCEEFF"/>
              <w:bottom w:val="single" w:sz="8" w:color="808080"/>
            </w:tcBorders>
          </w:tcPr>
          <w:p>
            <w:pPr>
              <w:spacing w:after="0"/>
              <w:rPr>
                <w:sz w:val="4"/>
                <w:szCs w:val="4"/>
                <w:color w:val="auto"/>
              </w:rPr>
            </w:pPr>
          </w:p>
        </w:tc>
        <w:tc>
          <w:tcPr>
            <w:tcW w:w="100" w:type="dxa"/>
            <w:vAlign w:val="bottom"/>
            <w:tcBorders>
              <w:top w:val="single" w:sz="8" w:color="auto"/>
              <w:bottom w:val="single" w:sz="8" w:color="808080"/>
            </w:tcBorders>
          </w:tcPr>
          <w:p>
            <w:pPr>
              <w:spacing w:after="0"/>
              <w:rPr>
                <w:sz w:val="4"/>
                <w:szCs w:val="4"/>
                <w:color w:val="auto"/>
              </w:rPr>
            </w:pPr>
          </w:p>
        </w:tc>
        <w:tc>
          <w:tcPr>
            <w:tcW w:w="580" w:type="dxa"/>
            <w:vAlign w:val="bottom"/>
            <w:tcBorders>
              <w:top w:val="single" w:sz="8" w:color="auto"/>
              <w:bottom w:val="single" w:sz="8" w:color="808080"/>
            </w:tcBorders>
          </w:tcPr>
          <w:p>
            <w:pPr>
              <w:spacing w:after="0"/>
              <w:rPr>
                <w:sz w:val="4"/>
                <w:szCs w:val="4"/>
                <w:color w:val="auto"/>
              </w:rPr>
            </w:pPr>
          </w:p>
        </w:tc>
        <w:tc>
          <w:tcPr>
            <w:tcW w:w="220" w:type="dxa"/>
            <w:vAlign w:val="bottom"/>
            <w:tcBorders>
              <w:top w:val="single" w:sz="8" w:color="CCEEFF"/>
              <w:bottom w:val="single" w:sz="8" w:color="808080"/>
            </w:tcBorders>
          </w:tcPr>
          <w:p>
            <w:pPr>
              <w:spacing w:after="0"/>
              <w:rPr>
                <w:sz w:val="4"/>
                <w:szCs w:val="4"/>
                <w:color w:val="auto"/>
              </w:rPr>
            </w:pPr>
          </w:p>
        </w:tc>
        <w:tc>
          <w:tcPr>
            <w:tcW w:w="100" w:type="dxa"/>
            <w:vAlign w:val="bottom"/>
            <w:tcBorders>
              <w:top w:val="single" w:sz="8" w:color="auto"/>
              <w:bottom w:val="single" w:sz="8" w:color="808080"/>
            </w:tcBorders>
          </w:tcPr>
          <w:p>
            <w:pPr>
              <w:spacing w:after="0"/>
              <w:rPr>
                <w:sz w:val="4"/>
                <w:szCs w:val="4"/>
                <w:color w:val="auto"/>
              </w:rPr>
            </w:pPr>
          </w:p>
        </w:tc>
        <w:tc>
          <w:tcPr>
            <w:tcW w:w="560" w:type="dxa"/>
            <w:vAlign w:val="bottom"/>
            <w:tcBorders>
              <w:top w:val="single" w:sz="8" w:color="auto"/>
              <w:bottom w:val="single" w:sz="8" w:color="808080"/>
            </w:tcBorders>
          </w:tcPr>
          <w:p>
            <w:pPr>
              <w:spacing w:after="0"/>
              <w:rPr>
                <w:sz w:val="4"/>
                <w:szCs w:val="4"/>
                <w:color w:val="auto"/>
              </w:rPr>
            </w:pPr>
          </w:p>
        </w:tc>
        <w:tc>
          <w:tcPr>
            <w:tcW w:w="120" w:type="dxa"/>
            <w:vAlign w:val="bottom"/>
            <w:tcBorders>
              <w:top w:val="single" w:sz="8" w:color="CCEEFF"/>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w:t>
      </w: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00"/>
          </w:cols>
          <w:pgMar w:left="220" w:top="548" w:right="179" w:bottom="1440" w:gutter="0" w:footer="0" w:header="0"/>
        </w:sectPr>
      </w:pPr>
    </w:p>
    <w:bookmarkStart w:id="6" w:name="page7"/>
    <w:bookmarkEnd w:id="6"/>
    <w:p>
      <w:pPr>
        <w:ind w:left="842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i w:val="1"/>
                <w:iCs w:val="1"/>
                <w:color w:val="auto"/>
              </w:rPr>
              <w:t>Three months ended March 31,</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2015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Cash flows provided by operating activities</w:t>
            </w: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40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382,499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327,133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Adjustments to reconcile net income to net cash flows provided by operating activities: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realized losses (gains) on sale of investments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67,494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(188,348)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235,662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183,120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Amortization of bond premium, net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80,220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82,997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38,892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13,391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Excess tax benefit from exercise of stock options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(221,136)</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Deferred income tax expense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(9,856)</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(56,141)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 decrease in operating assets: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Premiums receivable, net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(481,267)</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(512,538)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Receivables - reinsurance contracts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(134,656)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116,422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Reinsurance receivables, net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(976,328)</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(5,970,503)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policy acquisition costs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(49,985)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(333,038)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assets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177,501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46,785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 (decrease) in operating liabilities: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and loss adjustment expense reserves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2,238,581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5,540,025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Unearned premiums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468,420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1,130,874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Advance premiums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407,514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389,772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Reinsurance balances payable</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(77,807)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415,493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Deferred ceding commission revenue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(53,978)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133,476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payable, accrued expenses and other liabilities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(1,257,693)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(914,292)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cash flows provided by operating activities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834,077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404,628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used in investing activities</w:t>
            </w: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 fixed-maturity securities held-to-maturity</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(1,566,354)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Purchase - fixed-maturity securities available-for-sale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(3,349,181)</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(10,396,843)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 equity securities available-for-sale</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(1,145,558)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(2,662,152)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Sale or maturity - fixed-maturity securities available-for-sale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716,892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2,176,834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 - equity securities available-for-sale</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1,287,326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investing activities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(162,659)</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(312,215)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flows used in investing activitie</w:t>
            </w:r>
            <w:r>
              <w:rPr>
                <w:rFonts w:ascii="Times New Roman" w:cs="Times New Roman" w:eastAsia="Times New Roman" w:hAnsi="Times New Roman"/>
                <w:sz w:val="12"/>
                <w:szCs w:val="12"/>
                <w:color w:val="auto"/>
              </w:rPr>
              <w:t>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(3,940,506)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(11,473,404)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used in financing activities</w:t>
            </w: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Withholding taxes paid on net exercise of stock options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(243,662)</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Excess tax benefit from exercise of stock options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221,136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Purchase of treasury stock</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(128,763)</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Dividends paid</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(365,505)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(290,664)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cash flows used in financing activitie</w:t>
            </w:r>
            <w:r>
              <w:rPr>
                <w:rFonts w:ascii="Times New Roman" w:cs="Times New Roman" w:eastAsia="Times New Roman" w:hAnsi="Times New Roman"/>
                <w:sz w:val="12"/>
                <w:szCs w:val="12"/>
                <w:color w:val="auto"/>
              </w:rPr>
              <w:t>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(516,794)</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(290,664)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Decrease in cash and cash equivalents</w:t>
            </w:r>
          </w:p>
        </w:tc>
        <w:tc>
          <w:tcPr>
            <w:tcW w:w="400" w:type="dxa"/>
            <w:vAlign w:val="bottom"/>
            <w:gridSpan w:val="2"/>
          </w:tcPr>
          <w:p>
            <w:pPr>
              <w:jc w:val="right"/>
              <w:ind w:right="165"/>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(3,623,223)</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(11,359,440)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beginning of period</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9,906,878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19,922,506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end of period</w:t>
            </w: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6,283,655</w:t>
            </w: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8,563,066</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disclosures of cash flow information:</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income taxes</w:t>
            </w:r>
          </w:p>
        </w:tc>
        <w:tc>
          <w:tcPr>
            <w:tcW w:w="40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300,500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Supplemental schedule of non-cash investing and financing activities: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Value of shares deducted from exercise of stock options for payment of withholding taxes</w:t>
            </w:r>
          </w:p>
        </w:tc>
        <w:tc>
          <w:tcPr>
            <w:tcW w:w="400" w:type="dxa"/>
            <w:vAlign w:val="bottom"/>
            <w:gridSpan w:val="2"/>
          </w:tcPr>
          <w:p>
            <w:pPr>
              <w:jc w:val="right"/>
              <w:ind w:right="165"/>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243,662</w:t>
            </w:r>
          </w:p>
        </w:tc>
        <w:tc>
          <w:tcPr>
            <w:tcW w:w="240" w:type="dxa"/>
            <w:vAlign w:val="bottom"/>
          </w:tcPr>
          <w:p>
            <w:pPr>
              <w:spacing w:after="0"/>
              <w:rPr>
                <w:sz w:val="13"/>
                <w:szCs w:val="13"/>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3037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48" w:right="1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 Nature of Business and Basis of Presentation</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Kingstone Companies, Inc. (referred to herein as "Kingstone" or the “Company”), through its wholly owned subsidiary Kingstone Insurance Company (“KICO”), underwrites property and casualty insurance to small businesses and individuals exclusively through independent agents and brokers. KICO is a licensed insurance company in the State of New York and the Commonwealth of Pennsylvania; however, KICO writes substantially all of its business in New York. Though March 31, 2015, Kingstone, through its wholly owned subsidiary, Payments, Inc., a licensed premium finance company in the State of New York, received fees for placing contracts with a third party licensed premium finance company (see Note 12 – Premium Finance Placement Fees).</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accompanying unaudited condensed consolidated financial statements included in this report have been prepared in accordance with accounting principles generally accepted in the United States (“GAAP”) for interim financial information and the instructions to Securities and Exchange Commission (“SEC”) Form 10-Q and Article 8-03 of SEC Regulation S-X. The principles for condensed interim financial information do not require the inclusion of all the information and footnotes required by generally accepted accounting principles for complete financial statements. Therefore, these financial statements should be read in conjunction with the consolidated financial statements as of and for the year ended December 31, 2014 and notes thereto included in the Company’s Annual Report on Form 10-K filed on March 25, 2015.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statement of the Company’s financial position and results of operations. The results of operations for the three months ended March 31, 2015 may not be indicative of the results that may be expected for the year ending December 31, 2015.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Use of Estimates</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and assumptions, which include the reserves for losses and loss adjustment expenses, are subject to considerable estimation error due to the inherent uncertainty in projecting ultimate claim amounts that will be reported and settled over a period of several years. In addition, estimates and assumptions associated with receivables under reinsurance contracts related to contingent ceding commission revenue require considerable judgment by management. On an on-going basis, management reevaluates its assumptions and the methods of calculating its estimates. Actual results may differ significantly from the estimates and assumptions used in preparing the consolidated financial statements.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48" w:right="1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auto"/>
        </w:rPr>
        <w:t>Principles of Consolidation</w:t>
      </w:r>
    </w:p>
    <w:p>
      <w:pPr>
        <w:spacing w:after="0" w:line="16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The consolidated financial statements consist of Kingstone and its wholly owned subsidiaries. Subsidiaries include: (1) KICO and its wholly owned subsidiaries, CMIC Properties, Inc. (“Properties”) and 15 Joys Lane, LLC (“15 Joys Lane”), which together own the land and building from which KICO operates, and (2) Payments Inc. All significant inter-company transactions have been eliminated in consolidation.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Accounting Pronouncements</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In April 2014, the Financial Accounting Standards Board (“FASB”) issued Accounting Standards Update (“ASU”) No. 2014-08, “Presentation of Financial Statements (Topic 205) and Property, Plant, and Equipment (Topic 360): Reporting Discontinued Operations and Disclosures of Disposals of Components of an Entity. This ASU revised guidance to only allow disposals of components of an entity that represent a strategic shift (e.g., disposal of a major geographical area, a major line of business, a major equity method investment, or other major parts of an entity) and that have a major effect on a reporting entity’s operations and financial results to be reported as discontinued operations. The revised guidance also requires expanded disclosure in the financial statements for discontinued operations as well as for disposals of significant components of an entity that do not qualify for discontinued operations presentation. The Company adopted this guidance on January 1, 2015 and it did not have any effect on the Company’s consolidated results of operations, financial position or cash flows.</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May 2014, FASB issued guidance to change the recognition of revenue from contracts with customers. The core principle of the new guidance is that an entity should recognize revenue to reflect the transfer of goods and services to customers in an amount equal to the consideration the entity receives or expects to receive. The guidance will be effective for the Company for reporting periods beginning after December 15, 2016. The Company will apply the guidance using a modified retrospective approach. The Company does not expect these amendments to have a material effect on its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t>Note 3 -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Available-for-Sale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amortized cost and fair value of investments in available-for-sale fixed-maturity securities and equity securities as of March 31, 2015 and December 31, 2014 are summarized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gridSpan w:val="5"/>
          </w:tcPr>
          <w:p>
            <w:pPr>
              <w:jc w:val="right"/>
              <w:ind w:right="1220"/>
              <w:spacing w:after="0"/>
              <w:rPr>
                <w:sz w:val="20"/>
                <w:szCs w:val="20"/>
                <w:color w:val="auto"/>
              </w:rPr>
            </w:pPr>
            <w:r>
              <w:rPr>
                <w:rFonts w:ascii="Times New Roman" w:cs="Times New Roman" w:eastAsia="Times New Roman" w:hAnsi="Times New Roman"/>
                <w:sz w:val="10"/>
                <w:szCs w:val="10"/>
                <w:b w:val="1"/>
                <w:bCs w:val="1"/>
                <w:color w:val="auto"/>
              </w:rPr>
              <w:t>March 31, 2015</w:t>
            </w: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Cost or</w:t>
            </w:r>
          </w:p>
        </w:tc>
        <w:tc>
          <w:tcPr>
            <w:tcW w:w="200" w:type="dxa"/>
            <w:vAlign w:val="bottom"/>
          </w:tcPr>
          <w:p>
            <w:pPr>
              <w:spacing w:after="0"/>
              <w:rPr>
                <w:sz w:val="7"/>
                <w:szCs w:val="7"/>
                <w:color w:val="auto"/>
              </w:rPr>
            </w:pPr>
          </w:p>
        </w:tc>
        <w:tc>
          <w:tcPr>
            <w:tcW w:w="11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Gross Unrealized Losses</w:t>
            </w: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jc w:val="center"/>
              <w:ind w:right="145"/>
              <w:spacing w:after="0" w:line="81" w:lineRule="exact"/>
              <w:rPr>
                <w:sz w:val="20"/>
                <w:szCs w:val="20"/>
                <w:color w:val="auto"/>
              </w:rPr>
            </w:pPr>
            <w:r>
              <w:rPr>
                <w:rFonts w:ascii="Times New Roman" w:cs="Times New Roman" w:eastAsia="Times New Roman" w:hAnsi="Times New Roman"/>
                <w:sz w:val="8"/>
                <w:szCs w:val="8"/>
                <w:b w:val="1"/>
                <w:bCs w:val="1"/>
                <w:color w:val="auto"/>
              </w:rPr>
              <w:t>Net</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right"/>
              <w:ind w:right="540"/>
              <w:spacing w:after="0" w:line="107"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200" w:type="dxa"/>
            <w:vAlign w:val="bottom"/>
          </w:tcPr>
          <w:p>
            <w:pPr>
              <w:spacing w:after="0"/>
              <w:rPr>
                <w:sz w:val="10"/>
                <w:szCs w:val="10"/>
                <w:color w:val="auto"/>
              </w:rPr>
            </w:pPr>
          </w:p>
        </w:tc>
        <w:tc>
          <w:tcPr>
            <w:tcW w:w="1180" w:type="dxa"/>
            <w:vAlign w:val="bottom"/>
            <w:gridSpan w:val="2"/>
          </w:tcPr>
          <w:p>
            <w:pPr>
              <w:jc w:val="center"/>
              <w:ind w:right="420"/>
              <w:spacing w:after="0" w:line="107"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200" w:type="dxa"/>
            <w:vAlign w:val="bottom"/>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7"/>
              </w:rPr>
              <w:t>Less than 12</w:t>
            </w:r>
          </w:p>
        </w:tc>
        <w:tc>
          <w:tcPr>
            <w:tcW w:w="160" w:type="dxa"/>
            <w:vAlign w:val="bottom"/>
          </w:tcPr>
          <w:p>
            <w:pPr>
              <w:spacing w:after="0"/>
              <w:rPr>
                <w:sz w:val="10"/>
                <w:szCs w:val="1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3"/>
              </w:rPr>
              <w:t>More than 12</w:t>
            </w:r>
          </w:p>
        </w:tc>
        <w:tc>
          <w:tcPr>
            <w:tcW w:w="260" w:type="dxa"/>
            <w:vAlign w:val="bottom"/>
          </w:tcPr>
          <w:p>
            <w:pPr>
              <w:spacing w:after="0"/>
              <w:rPr>
                <w:sz w:val="10"/>
                <w:szCs w:val="10"/>
                <w:color w:val="auto"/>
              </w:rPr>
            </w:pPr>
          </w:p>
        </w:tc>
        <w:tc>
          <w:tcPr>
            <w:tcW w:w="880" w:type="dxa"/>
            <w:vAlign w:val="bottom"/>
          </w:tcPr>
          <w:p>
            <w:pPr>
              <w:jc w:val="center"/>
              <w:ind w:right="202"/>
              <w:spacing w:after="0"/>
              <w:rPr>
                <w:sz w:val="20"/>
                <w:szCs w:val="20"/>
                <w:color w:val="auto"/>
              </w:rPr>
            </w:pPr>
            <w:r>
              <w:rPr>
                <w:rFonts w:ascii="Times New Roman" w:cs="Times New Roman" w:eastAsia="Times New Roman" w:hAnsi="Times New Roman"/>
                <w:sz w:val="10"/>
                <w:szCs w:val="10"/>
                <w:b w:val="1"/>
                <w:bCs w:val="1"/>
                <w:color w:val="auto"/>
                <w:w w:val="97"/>
              </w:rPr>
              <w:t>Fair</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20"/>
              <w:spacing w:after="0" w:line="107" w:lineRule="exact"/>
              <w:rPr>
                <w:sz w:val="20"/>
                <w:szCs w:val="20"/>
                <w:color w:val="auto"/>
              </w:rPr>
            </w:pPr>
            <w:r>
              <w:rPr>
                <w:rFonts w:ascii="Times New Roman" w:cs="Times New Roman" w:eastAsia="Times New Roman" w:hAnsi="Times New Roman"/>
                <w:sz w:val="10"/>
                <w:szCs w:val="10"/>
                <w:b w:val="1"/>
                <w:bCs w:val="1"/>
                <w:color w:val="auto"/>
              </w:rPr>
              <w:t>Gains/</w:t>
            </w:r>
          </w:p>
        </w:tc>
        <w:tc>
          <w:tcPr>
            <w:tcW w:w="0" w:type="dxa"/>
            <w:vAlign w:val="bottom"/>
          </w:tcPr>
          <w:p>
            <w:pPr>
              <w:spacing w:after="0"/>
              <w:rPr>
                <w:sz w:val="1"/>
                <w:szCs w:val="1"/>
                <w:color w:val="auto"/>
              </w:rPr>
            </w:pPr>
          </w:p>
        </w:tc>
      </w:tr>
      <w:tr>
        <w:trPr>
          <w:trHeight w:val="118"/>
        </w:trPr>
        <w:tc>
          <w:tcPr>
            <w:tcW w:w="32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Categor</w:t>
            </w:r>
            <w:r>
              <w:rPr>
                <w:rFonts w:ascii="Times New Roman" w:cs="Times New Roman" w:eastAsia="Times New Roman" w:hAnsi="Times New Roman"/>
                <w:sz w:val="10"/>
                <w:szCs w:val="10"/>
                <w:color w:val="auto"/>
              </w:rPr>
              <w:t>y</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Gains</w:t>
            </w:r>
          </w:p>
        </w:tc>
        <w:tc>
          <w:tcPr>
            <w:tcW w:w="200" w:type="dxa"/>
            <w:vAlign w:val="bottom"/>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7"/>
              </w:rPr>
              <w:t>Months</w:t>
            </w:r>
          </w:p>
        </w:tc>
        <w:tc>
          <w:tcPr>
            <w:tcW w:w="160" w:type="dxa"/>
            <w:vAlign w:val="bottom"/>
          </w:tcPr>
          <w:p>
            <w:pPr>
              <w:spacing w:after="0"/>
              <w:rPr>
                <w:sz w:val="10"/>
                <w:szCs w:val="1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1"/>
              </w:rPr>
              <w:t>Months</w:t>
            </w:r>
          </w:p>
        </w:tc>
        <w:tc>
          <w:tcPr>
            <w:tcW w:w="260" w:type="dxa"/>
            <w:vAlign w:val="bottom"/>
          </w:tcPr>
          <w:p>
            <w:pPr>
              <w:spacing w:after="0"/>
              <w:rPr>
                <w:sz w:val="10"/>
                <w:szCs w:val="10"/>
                <w:color w:val="auto"/>
              </w:rPr>
            </w:pPr>
          </w:p>
        </w:tc>
        <w:tc>
          <w:tcPr>
            <w:tcW w:w="880" w:type="dxa"/>
            <w:vAlign w:val="bottom"/>
          </w:tcPr>
          <w:p>
            <w:pPr>
              <w:jc w:val="center"/>
              <w:ind w:right="202"/>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2"/>
              </w:rPr>
              <w:t>(Losses</w:t>
            </w:r>
            <w:r>
              <w:rPr>
                <w:rFonts w:ascii="Times New Roman" w:cs="Times New Roman" w:eastAsia="Times New Roman" w:hAnsi="Times New Roman"/>
                <w:sz w:val="10"/>
                <w:szCs w:val="10"/>
                <w:color w:val="auto"/>
                <w:w w:val="92"/>
              </w:rPr>
              <w:t>)</w:t>
            </w:r>
          </w:p>
        </w:tc>
        <w:tc>
          <w:tcPr>
            <w:tcW w:w="0" w:type="dxa"/>
            <w:vAlign w:val="bottom"/>
          </w:tcPr>
          <w:p>
            <w:pPr>
              <w:spacing w:after="0"/>
              <w:rPr>
                <w:sz w:val="1"/>
                <w:szCs w:val="1"/>
                <w:color w:val="auto"/>
              </w:rPr>
            </w:pPr>
          </w:p>
        </w:tc>
      </w:tr>
      <w:tr>
        <w:trPr>
          <w:trHeight w:val="275"/>
        </w:trPr>
        <w:tc>
          <w:tcPr>
            <w:tcW w:w="3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Fixed-Maturity Securities:</w:t>
            </w: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3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Political subdivisions of States,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Territories and Possessions</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13,823,312</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511,766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(4,373)</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(5,216)</w:t>
            </w: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14,325,489</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502,177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 bonds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Industrial and miscellaneous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35,933,004</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1,262,502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(56,447)</w:t>
            </w:r>
          </w:p>
        </w:tc>
        <w:tc>
          <w:tcPr>
            <w:tcW w:w="16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(6,664)</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37,132,395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1,199,391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Residential mortgage backed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securities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2,808,197</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36,707</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(1,612)</w:t>
            </w:r>
          </w:p>
        </w:tc>
        <w:tc>
          <w:tcPr>
            <w:tcW w:w="160" w:type="dxa"/>
            <w:vAlign w:val="bottom"/>
            <w:tcBorders>
              <w:right w:val="single" w:sz="8" w:color="CCEEFF"/>
            </w:tcBorders>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2,843,292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35,095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Total fixed-maturity securities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52,564,513</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1,810,975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(62,432)</w:t>
            </w:r>
          </w:p>
        </w:tc>
        <w:tc>
          <w:tcPr>
            <w:tcW w:w="16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(11,880)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54,301,176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1,736,663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Preferred stocks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3,410,290</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57,567</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(72)</w:t>
            </w:r>
          </w:p>
        </w:tc>
        <w:tc>
          <w:tcPr>
            <w:tcW w:w="160" w:type="dxa"/>
            <w:vAlign w:val="bottom"/>
            <w:tcBorders>
              <w:right w:val="single" w:sz="8" w:color="CCEEFF"/>
            </w:tcBorders>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(16,931)</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3,450,854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40,564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Common stocks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5,356,576</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437,021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(7,342)</w:t>
            </w:r>
          </w:p>
        </w:tc>
        <w:tc>
          <w:tcPr>
            <w:tcW w:w="16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5,786,255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429,679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equity securities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8,766,866</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494,588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(7,414)</w:t>
            </w:r>
          </w:p>
        </w:tc>
        <w:tc>
          <w:tcPr>
            <w:tcW w:w="160" w:type="dxa"/>
            <w:vAlign w:val="bottom"/>
            <w:tcBorders>
              <w:right w:val="single" w:sz="8" w:color="CCEEFF"/>
            </w:tcBorders>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(16,931)</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9,237,109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470,243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61,331,379</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2,305,563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(69,846)</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(28,811)</w:t>
            </w: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63,538,285</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2,206,906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1080"/>
              <w:spacing w:after="0"/>
              <w:rPr>
                <w:sz w:val="20"/>
                <w:szCs w:val="20"/>
                <w:color w:val="auto"/>
              </w:rPr>
            </w:pPr>
            <w:r>
              <w:rPr>
                <w:rFonts w:ascii="Times New Roman" w:cs="Times New Roman" w:eastAsia="Times New Roman" w:hAnsi="Times New Roman"/>
                <w:sz w:val="10"/>
                <w:szCs w:val="10"/>
                <w:b w:val="1"/>
                <w:bCs w:val="1"/>
                <w:color w:val="auto"/>
              </w:rPr>
              <w:t>December 31, 2014</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Cost or</w:t>
            </w:r>
          </w:p>
        </w:tc>
        <w:tc>
          <w:tcPr>
            <w:tcW w:w="200" w:type="dxa"/>
            <w:vAlign w:val="bottom"/>
          </w:tcPr>
          <w:p>
            <w:pPr>
              <w:spacing w:after="0"/>
              <w:rPr>
                <w:sz w:val="7"/>
                <w:szCs w:val="7"/>
                <w:color w:val="auto"/>
              </w:rPr>
            </w:pPr>
          </w:p>
        </w:tc>
        <w:tc>
          <w:tcPr>
            <w:tcW w:w="11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Gross Unrealized Losses</w:t>
            </w: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tcPr>
          <w:p>
            <w:pPr>
              <w:jc w:val="center"/>
              <w:ind w:right="320"/>
              <w:spacing w:after="0" w:line="81" w:lineRule="exact"/>
              <w:rPr>
                <w:sz w:val="20"/>
                <w:szCs w:val="20"/>
                <w:color w:val="auto"/>
              </w:rPr>
            </w:pPr>
            <w:r>
              <w:rPr>
                <w:rFonts w:ascii="Times New Roman" w:cs="Times New Roman" w:eastAsia="Times New Roman" w:hAnsi="Times New Roman"/>
                <w:sz w:val="8"/>
                <w:szCs w:val="8"/>
                <w:b w:val="1"/>
                <w:bCs w:val="1"/>
                <w:color w:val="auto"/>
              </w:rPr>
              <w:t>Net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tcPr>
          <w:p>
            <w:pPr>
              <w:jc w:val="right"/>
              <w:ind w:right="540"/>
              <w:spacing w:after="0" w:line="107"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200" w:type="dxa"/>
            <w:vAlign w:val="bottom"/>
          </w:tcPr>
          <w:p>
            <w:pPr>
              <w:spacing w:after="0"/>
              <w:rPr>
                <w:sz w:val="9"/>
                <w:szCs w:val="9"/>
                <w:color w:val="auto"/>
              </w:rPr>
            </w:pPr>
          </w:p>
        </w:tc>
        <w:tc>
          <w:tcPr>
            <w:tcW w:w="1180" w:type="dxa"/>
            <w:vAlign w:val="bottom"/>
            <w:gridSpan w:val="2"/>
          </w:tcPr>
          <w:p>
            <w:pPr>
              <w:jc w:val="center"/>
              <w:ind w:right="420"/>
              <w:spacing w:after="0" w:line="107"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200" w:type="dxa"/>
            <w:vAlign w:val="bottom"/>
          </w:tcPr>
          <w:p>
            <w:pPr>
              <w:spacing w:after="0"/>
              <w:rPr>
                <w:sz w:val="9"/>
                <w:szCs w:val="9"/>
                <w:color w:val="auto"/>
              </w:rPr>
            </w:pPr>
          </w:p>
        </w:tc>
        <w:tc>
          <w:tcPr>
            <w:tcW w:w="110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0"/>
                <w:szCs w:val="10"/>
                <w:b w:val="1"/>
                <w:bCs w:val="1"/>
                <w:color w:val="auto"/>
                <w:w w:val="97"/>
              </w:rPr>
              <w:t>Less than 12</w:t>
            </w:r>
          </w:p>
        </w:tc>
        <w:tc>
          <w:tcPr>
            <w:tcW w:w="160" w:type="dxa"/>
            <w:vAlign w:val="bottom"/>
          </w:tcPr>
          <w:p>
            <w:pPr>
              <w:spacing w:after="0"/>
              <w:rPr>
                <w:sz w:val="9"/>
                <w:szCs w:val="9"/>
                <w:color w:val="auto"/>
              </w:rPr>
            </w:pPr>
          </w:p>
        </w:tc>
        <w:tc>
          <w:tcPr>
            <w:tcW w:w="132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0"/>
                <w:szCs w:val="10"/>
                <w:b w:val="1"/>
                <w:bCs w:val="1"/>
                <w:color w:val="auto"/>
                <w:w w:val="93"/>
              </w:rPr>
              <w:t>More than 12</w:t>
            </w:r>
          </w:p>
        </w:tc>
        <w:tc>
          <w:tcPr>
            <w:tcW w:w="260" w:type="dxa"/>
            <w:vAlign w:val="bottom"/>
          </w:tcPr>
          <w:p>
            <w:pPr>
              <w:spacing w:after="0"/>
              <w:rPr>
                <w:sz w:val="9"/>
                <w:szCs w:val="9"/>
                <w:color w:val="auto"/>
              </w:rPr>
            </w:pPr>
          </w:p>
        </w:tc>
        <w:tc>
          <w:tcPr>
            <w:tcW w:w="880" w:type="dxa"/>
            <w:vAlign w:val="bottom"/>
          </w:tcPr>
          <w:p>
            <w:pPr>
              <w:jc w:val="center"/>
              <w:ind w:right="202"/>
              <w:spacing w:after="0" w:line="108" w:lineRule="exact"/>
              <w:rPr>
                <w:sz w:val="20"/>
                <w:szCs w:val="20"/>
                <w:color w:val="auto"/>
              </w:rPr>
            </w:pPr>
            <w:r>
              <w:rPr>
                <w:rFonts w:ascii="Times New Roman" w:cs="Times New Roman" w:eastAsia="Times New Roman" w:hAnsi="Times New Roman"/>
                <w:sz w:val="10"/>
                <w:szCs w:val="10"/>
                <w:b w:val="1"/>
                <w:bCs w:val="1"/>
                <w:color w:val="auto"/>
                <w:w w:val="97"/>
              </w:rPr>
              <w:t>Fair</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center"/>
              <w:ind w:right="320"/>
              <w:spacing w:after="0" w:line="107" w:lineRule="exact"/>
              <w:rPr>
                <w:sz w:val="20"/>
                <w:szCs w:val="20"/>
                <w:color w:val="auto"/>
              </w:rPr>
            </w:pPr>
            <w:r>
              <w:rPr>
                <w:rFonts w:ascii="Times New Roman" w:cs="Times New Roman" w:eastAsia="Times New Roman" w:hAnsi="Times New Roman"/>
                <w:sz w:val="10"/>
                <w:szCs w:val="10"/>
                <w:b w:val="1"/>
                <w:bCs w:val="1"/>
                <w:color w:val="auto"/>
              </w:rPr>
              <w:t>Gains/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Categor</w:t>
            </w:r>
            <w:r>
              <w:rPr>
                <w:rFonts w:ascii="Times New Roman" w:cs="Times New Roman" w:eastAsia="Times New Roman" w:hAnsi="Times New Roman"/>
                <w:sz w:val="10"/>
                <w:szCs w:val="10"/>
                <w:color w:val="auto"/>
              </w:rPr>
              <w:t>y</w:t>
            </w: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Cost</w:t>
            </w: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0"/>
                <w:szCs w:val="10"/>
                <w:b w:val="1"/>
                <w:bCs w:val="1"/>
                <w:color w:val="auto"/>
                <w:w w:val="95"/>
              </w:rPr>
              <w:t>Gains</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0"/>
                <w:szCs w:val="10"/>
                <w:b w:val="1"/>
                <w:bCs w:val="1"/>
                <w:color w:val="auto"/>
                <w:w w:val="97"/>
              </w:rPr>
              <w:t>Months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0"/>
                <w:szCs w:val="10"/>
                <w:b w:val="1"/>
                <w:bCs w:val="1"/>
                <w:color w:val="auto"/>
                <w:w w:val="91"/>
              </w:rPr>
              <w:t>Months</w:t>
            </w: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0"/>
                <w:szCs w:val="10"/>
                <w:b w:val="1"/>
                <w:bCs w:val="1"/>
                <w:color w:val="auto"/>
                <w:w w:val="92"/>
              </w:rPr>
              <w:t>(Losses</w:t>
            </w:r>
            <w:r>
              <w:rPr>
                <w:rFonts w:ascii="Times New Roman" w:cs="Times New Roman" w:eastAsia="Times New Roman" w:hAnsi="Times New Roman"/>
                <w:sz w:val="10"/>
                <w:szCs w:val="10"/>
                <w:color w:val="auto"/>
                <w:w w:val="92"/>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Fixed-Maturity Securities:</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3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Political subdivisions of States,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Territories and Possessions</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13,862,141</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412,490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(23,813)</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(6,379)</w:t>
            </w: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14,244,439</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382,298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 bonds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Industrial and miscellaneous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36,221,300</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803,440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(118,092)</w:t>
            </w:r>
          </w:p>
        </w:tc>
        <w:tc>
          <w:tcPr>
            <w:tcW w:w="16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(30,228)</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36,876,420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655,120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fixed-maturity securities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50,083,441</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1,215,930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(141,905)</w:t>
            </w:r>
          </w:p>
        </w:tc>
        <w:tc>
          <w:tcPr>
            <w:tcW w:w="160" w:type="dxa"/>
            <w:vAlign w:val="bottom"/>
            <w:tcBorders>
              <w:right w:val="single" w:sz="8" w:color="CCEEFF"/>
            </w:tcBorders>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(36,607)</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51,120,859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1,037,418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Preferred stocks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3,172,632</w:t>
            </w:r>
          </w:p>
        </w:tc>
        <w:tc>
          <w:tcPr>
            <w:tcW w:w="2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19,180</w:t>
            </w: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(2,647)</w:t>
            </w:r>
          </w:p>
        </w:tc>
        <w:tc>
          <w:tcPr>
            <w:tcW w:w="16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(62,886)</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3,126,280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(46,352)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4,448,677</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444,950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(2,177)</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4,891,449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442,772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Total equity securities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7,621,309</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464,130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(2,647)</w:t>
            </w:r>
          </w:p>
        </w:tc>
        <w:tc>
          <w:tcPr>
            <w:tcW w:w="16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(65,063)</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8,017,729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396,420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57,704,750</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1,680,060</w:t>
            </w:r>
          </w:p>
        </w:tc>
        <w:tc>
          <w:tcPr>
            <w:tcW w:w="22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(144,552)</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(101,670)</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59,138,588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1,433,838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2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color w:val="auto"/>
        </w:rPr>
        <w:t>A summary of the amortized cost and fair value of the Company’s investments in available-for-sale fixed-maturity securities by contractual maturity as of March 31, 2015 and December 31, 2014 is shown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80" w:type="dxa"/>
            <w:vAlign w:val="bottom"/>
            <w:gridSpan w:val="5"/>
          </w:tcPr>
          <w:p>
            <w:pPr>
              <w:jc w:val="right"/>
              <w:ind w:right="1200"/>
              <w:spacing w:after="0"/>
              <w:rPr>
                <w:sz w:val="20"/>
                <w:szCs w:val="20"/>
                <w:color w:val="auto"/>
              </w:rPr>
            </w:pPr>
            <w:r>
              <w:rPr>
                <w:rFonts w:ascii="Times New Roman" w:cs="Times New Roman" w:eastAsia="Times New Roman" w:hAnsi="Times New Roman"/>
                <w:sz w:val="10"/>
                <w:szCs w:val="10"/>
                <w:b w:val="1"/>
                <w:bCs w:val="1"/>
                <w:color w:val="auto"/>
              </w:rPr>
              <w:t>March 31, 2015</w:t>
            </w:r>
          </w:p>
        </w:tc>
        <w:tc>
          <w:tcPr>
            <w:tcW w:w="200" w:type="dxa"/>
            <w:vAlign w:val="bottom"/>
          </w:tcPr>
          <w:p>
            <w:pPr>
              <w:spacing w:after="0"/>
              <w:rPr>
                <w:sz w:val="10"/>
                <w:szCs w:val="1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 2014</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6"/>
              </w:rPr>
              <w:t>Amortized</w:t>
            </w: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Remaining Time to Maturit</w:t>
            </w:r>
            <w:r>
              <w:rPr>
                <w:rFonts w:ascii="Times New Roman" w:cs="Times New Roman" w:eastAsia="Times New Roman" w:hAnsi="Times New Roman"/>
                <w:sz w:val="10"/>
                <w:szCs w:val="10"/>
                <w:color w:val="auto"/>
              </w:rPr>
              <w:t>y</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200" w:type="dxa"/>
            <w:vAlign w:val="bottom"/>
          </w:tcPr>
          <w:p>
            <w:pPr>
              <w:spacing w:after="0"/>
              <w:rPr>
                <w:sz w:val="11"/>
                <w:szCs w:val="11"/>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rPr>
              <w:t>Cost</w:t>
            </w:r>
          </w:p>
        </w:tc>
        <w:tc>
          <w:tcPr>
            <w:tcW w:w="300" w:type="dxa"/>
            <w:vAlign w:val="bottom"/>
          </w:tcPr>
          <w:p>
            <w:pPr>
              <w:spacing w:after="0"/>
              <w:rPr>
                <w:sz w:val="11"/>
                <w:szCs w:val="11"/>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than one year</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357,260</w:t>
            </w: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361,005</w:t>
            </w:r>
          </w:p>
        </w:tc>
        <w:tc>
          <w:tcPr>
            <w:tcW w:w="2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482,833</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487,507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One to five years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14,056,049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14,579,816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11,640,381</w:t>
            </w:r>
          </w:p>
        </w:tc>
        <w:tc>
          <w:tcPr>
            <w:tcW w:w="3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11,943,127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Five to ten years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30,450,200</w:t>
            </w: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31,434,892</w:t>
            </w:r>
          </w:p>
        </w:tc>
        <w:tc>
          <w:tcPr>
            <w:tcW w:w="2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32,283,921</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32,865,231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More than 10 years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4,892,807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5,082,171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5,676,306</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5,824,994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Residential mortgage backed securities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2,808,197</w:t>
            </w: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2,843,292</w:t>
            </w:r>
          </w:p>
        </w:tc>
        <w:tc>
          <w:tcPr>
            <w:tcW w:w="2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52,564,513</w:t>
            </w: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54,301,176</w:t>
            </w:r>
          </w:p>
        </w:tc>
        <w:tc>
          <w:tcPr>
            <w:tcW w:w="240" w:type="dxa"/>
            <w:vAlign w:val="bottom"/>
          </w:tcPr>
          <w:p>
            <w:pPr>
              <w:spacing w:after="0"/>
              <w:rPr>
                <w:sz w:val="12"/>
                <w:szCs w:val="12"/>
                <w:color w:val="auto"/>
              </w:rPr>
            </w:pP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50,083,441</w:t>
            </w:r>
          </w:p>
        </w:tc>
        <w:tc>
          <w:tcPr>
            <w:tcW w:w="220" w:type="dxa"/>
            <w:vAlign w:val="bottom"/>
          </w:tcPr>
          <w:p>
            <w:pPr>
              <w:spacing w:after="0"/>
              <w:rPr>
                <w:sz w:val="12"/>
                <w:szCs w:val="12"/>
                <w:color w:val="auto"/>
              </w:rPr>
            </w:pP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51,120,859</w:t>
            </w: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560" w:type="dxa"/>
            <w:vAlign w:val="bottom"/>
            <w:gridSpan w:val="15"/>
          </w:tcPr>
          <w:p>
            <w:pPr>
              <w:spacing w:after="0"/>
              <w:rPr>
                <w:sz w:val="20"/>
                <w:szCs w:val="20"/>
                <w:color w:val="auto"/>
              </w:rPr>
            </w:pPr>
            <w:r>
              <w:rPr>
                <w:rFonts w:ascii="Times New Roman" w:cs="Times New Roman" w:eastAsia="Times New Roman" w:hAnsi="Times New Roman"/>
                <w:sz w:val="12"/>
                <w:szCs w:val="12"/>
                <w:color w:val="auto"/>
              </w:rPr>
              <w:t>The actual maturities may differ from contractual maturities because certain borrowers have the right to call or prepay obligations with or without penalties.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2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Held-to-Maturity Securities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00"/>
          </w:tcPr>
          <w:p>
            <w:pPr>
              <w:spacing w:after="0" w:line="20" w:lineRule="exact"/>
              <w:rPr>
                <w:sz w:val="1"/>
                <w:szCs w:val="1"/>
                <w:color w:val="auto"/>
              </w:rPr>
            </w:pPr>
          </w:p>
        </w:tc>
        <w:tc>
          <w:tcPr>
            <w:tcW w:w="7560" w:type="dxa"/>
            <w:vAlign w:val="bottom"/>
            <w:gridSpan w:val="1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888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The amortized cost and fair value of investments in held-to-maturity fixed-maturity securities as of March 31, 2015 and December 31, 2014 are summarized as follows: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1160"/>
              <w:spacing w:after="0"/>
              <w:rPr>
                <w:sz w:val="20"/>
                <w:szCs w:val="20"/>
                <w:color w:val="auto"/>
              </w:rPr>
            </w:pPr>
            <w:r>
              <w:rPr>
                <w:rFonts w:ascii="Times New Roman" w:cs="Times New Roman" w:eastAsia="Times New Roman" w:hAnsi="Times New Roman"/>
                <w:sz w:val="10"/>
                <w:szCs w:val="10"/>
                <w:b w:val="1"/>
                <w:bCs w:val="1"/>
                <w:color w:val="auto"/>
              </w:rPr>
              <w:t>March 31, 2015</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Cost or</w:t>
            </w:r>
          </w:p>
        </w:tc>
        <w:tc>
          <w:tcPr>
            <w:tcW w:w="200" w:type="dxa"/>
            <w:vAlign w:val="bottom"/>
          </w:tcPr>
          <w:p>
            <w:pPr>
              <w:spacing w:after="0"/>
              <w:rPr>
                <w:sz w:val="7"/>
                <w:szCs w:val="7"/>
                <w:color w:val="auto"/>
              </w:rPr>
            </w:pPr>
          </w:p>
        </w:tc>
        <w:tc>
          <w:tcPr>
            <w:tcW w:w="118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Gross Unrealized Losses</w:t>
            </w: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gridSpan w:val="2"/>
          </w:tcPr>
          <w:p>
            <w:pPr>
              <w:jc w:val="center"/>
              <w:ind w:right="420"/>
              <w:spacing w:after="0" w:line="81" w:lineRule="exact"/>
              <w:rPr>
                <w:sz w:val="20"/>
                <w:szCs w:val="20"/>
                <w:color w:val="auto"/>
              </w:rPr>
            </w:pPr>
            <w:r>
              <w:rPr>
                <w:rFonts w:ascii="Times New Roman" w:cs="Times New Roman" w:eastAsia="Times New Roman" w:hAnsi="Times New Roman"/>
                <w:sz w:val="8"/>
                <w:szCs w:val="8"/>
                <w:b w:val="1"/>
                <w:bCs w:val="1"/>
                <w:color w:val="auto"/>
              </w:rPr>
              <w:t>Net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tcPr>
          <w:p>
            <w:pPr>
              <w:jc w:val="right"/>
              <w:ind w:right="540"/>
              <w:spacing w:after="0" w:line="107"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200" w:type="dxa"/>
            <w:vAlign w:val="bottom"/>
          </w:tcPr>
          <w:p>
            <w:pPr>
              <w:spacing w:after="0"/>
              <w:rPr>
                <w:sz w:val="9"/>
                <w:szCs w:val="9"/>
                <w:color w:val="auto"/>
              </w:rPr>
            </w:pPr>
          </w:p>
        </w:tc>
        <w:tc>
          <w:tcPr>
            <w:tcW w:w="1180" w:type="dxa"/>
            <w:vAlign w:val="bottom"/>
            <w:gridSpan w:val="3"/>
          </w:tcPr>
          <w:p>
            <w:pPr>
              <w:jc w:val="center"/>
              <w:ind w:right="420"/>
              <w:spacing w:after="0" w:line="107"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200" w:type="dxa"/>
            <w:vAlign w:val="bottom"/>
          </w:tcPr>
          <w:p>
            <w:pPr>
              <w:spacing w:after="0"/>
              <w:rPr>
                <w:sz w:val="9"/>
                <w:szCs w:val="9"/>
                <w:color w:val="auto"/>
              </w:rPr>
            </w:pPr>
          </w:p>
        </w:tc>
        <w:tc>
          <w:tcPr>
            <w:tcW w:w="1080" w:type="dxa"/>
            <w:vAlign w:val="bottom"/>
            <w:gridSpan w:val="2"/>
          </w:tcPr>
          <w:p>
            <w:pPr>
              <w:jc w:val="right"/>
              <w:ind w:right="440"/>
              <w:spacing w:after="0" w:line="108" w:lineRule="exact"/>
              <w:rPr>
                <w:sz w:val="20"/>
                <w:szCs w:val="20"/>
                <w:color w:val="auto"/>
              </w:rPr>
            </w:pPr>
            <w:r>
              <w:rPr>
                <w:rFonts w:ascii="Times New Roman" w:cs="Times New Roman" w:eastAsia="Times New Roman" w:hAnsi="Times New Roman"/>
                <w:sz w:val="10"/>
                <w:szCs w:val="10"/>
                <w:b w:val="1"/>
                <w:bCs w:val="1"/>
                <w:color w:val="auto"/>
              </w:rPr>
              <w:t>Less than 12</w:t>
            </w:r>
          </w:p>
        </w:tc>
        <w:tc>
          <w:tcPr>
            <w:tcW w:w="180" w:type="dxa"/>
            <w:vAlign w:val="bottom"/>
          </w:tcPr>
          <w:p>
            <w:pPr>
              <w:spacing w:after="0"/>
              <w:rPr>
                <w:sz w:val="9"/>
                <w:szCs w:val="9"/>
                <w:color w:val="auto"/>
              </w:rPr>
            </w:pPr>
          </w:p>
        </w:tc>
        <w:tc>
          <w:tcPr>
            <w:tcW w:w="132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0"/>
                <w:szCs w:val="10"/>
                <w:b w:val="1"/>
                <w:bCs w:val="1"/>
                <w:color w:val="auto"/>
                <w:w w:val="93"/>
              </w:rPr>
              <w:t>More than 12</w:t>
            </w:r>
          </w:p>
        </w:tc>
        <w:tc>
          <w:tcPr>
            <w:tcW w:w="200" w:type="dxa"/>
            <w:vAlign w:val="bottom"/>
          </w:tcPr>
          <w:p>
            <w:pPr>
              <w:spacing w:after="0"/>
              <w:rPr>
                <w:sz w:val="9"/>
                <w:szCs w:val="9"/>
                <w:color w:val="auto"/>
              </w:rPr>
            </w:pPr>
          </w:p>
        </w:tc>
        <w:tc>
          <w:tcPr>
            <w:tcW w:w="940" w:type="dxa"/>
            <w:vAlign w:val="bottom"/>
          </w:tcPr>
          <w:p>
            <w:pPr>
              <w:jc w:val="center"/>
              <w:ind w:right="144"/>
              <w:spacing w:after="0" w:line="108" w:lineRule="exact"/>
              <w:rPr>
                <w:sz w:val="20"/>
                <w:szCs w:val="20"/>
                <w:color w:val="auto"/>
              </w:rPr>
            </w:pPr>
            <w:r>
              <w:rPr>
                <w:rFonts w:ascii="Times New Roman" w:cs="Times New Roman" w:eastAsia="Times New Roman" w:hAnsi="Times New Roman"/>
                <w:sz w:val="10"/>
                <w:szCs w:val="10"/>
                <w:b w:val="1"/>
                <w:bCs w:val="1"/>
                <w:color w:val="auto"/>
                <w:w w:val="97"/>
              </w:rPr>
              <w:t>Fair</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tcPr>
          <w:p>
            <w:pPr>
              <w:jc w:val="center"/>
              <w:ind w:right="420"/>
              <w:spacing w:after="0" w:line="107" w:lineRule="exact"/>
              <w:rPr>
                <w:sz w:val="20"/>
                <w:szCs w:val="20"/>
                <w:color w:val="auto"/>
              </w:rPr>
            </w:pPr>
            <w:r>
              <w:rPr>
                <w:rFonts w:ascii="Times New Roman" w:cs="Times New Roman" w:eastAsia="Times New Roman" w:hAnsi="Times New Roman"/>
                <w:sz w:val="10"/>
                <w:szCs w:val="10"/>
                <w:b w:val="1"/>
                <w:bCs w:val="1"/>
                <w:color w:val="auto"/>
              </w:rPr>
              <w:t>Gains/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Categor</w:t>
            </w:r>
            <w:r>
              <w:rPr>
                <w:rFonts w:ascii="Times New Roman" w:cs="Times New Roman" w:eastAsia="Times New Roman" w:hAnsi="Times New Roman"/>
                <w:sz w:val="10"/>
                <w:szCs w:val="10"/>
                <w:color w:val="auto"/>
              </w:rPr>
              <w:t>y</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1"/>
                <w:szCs w:val="11"/>
                <w:color w:val="auto"/>
              </w:rPr>
            </w:pPr>
          </w:p>
        </w:tc>
        <w:tc>
          <w:tcPr>
            <w:tcW w:w="1180" w:type="dxa"/>
            <w:vAlign w:val="bottom"/>
            <w:gridSpan w:val="3"/>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Gains</w:t>
            </w:r>
          </w:p>
        </w:tc>
        <w:tc>
          <w:tcPr>
            <w:tcW w:w="200" w:type="dxa"/>
            <w:vAlign w:val="bottom"/>
          </w:tcPr>
          <w:p>
            <w:pPr>
              <w:spacing w:after="0"/>
              <w:rPr>
                <w:sz w:val="11"/>
                <w:szCs w:val="11"/>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Months</w:t>
            </w:r>
          </w:p>
        </w:tc>
        <w:tc>
          <w:tcPr>
            <w:tcW w:w="180" w:type="dxa"/>
            <w:vAlign w:val="bottom"/>
          </w:tcPr>
          <w:p>
            <w:pPr>
              <w:spacing w:after="0"/>
              <w:rPr>
                <w:sz w:val="11"/>
                <w:szCs w:val="1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1"/>
              </w:rPr>
              <w:t>Months</w:t>
            </w:r>
          </w:p>
        </w:tc>
        <w:tc>
          <w:tcPr>
            <w:tcW w:w="200" w:type="dxa"/>
            <w:vAlign w:val="bottom"/>
          </w:tcPr>
          <w:p>
            <w:pPr>
              <w:spacing w:after="0"/>
              <w:rPr>
                <w:sz w:val="11"/>
                <w:szCs w:val="11"/>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300" w:type="dxa"/>
            <w:vAlign w:val="bottom"/>
          </w:tcPr>
          <w:p>
            <w:pPr>
              <w:spacing w:after="0"/>
              <w:rPr>
                <w:sz w:val="11"/>
                <w:szCs w:val="11"/>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2"/>
              </w:rPr>
              <w:t>(Losses</w:t>
            </w:r>
            <w:r>
              <w:rPr>
                <w:rFonts w:ascii="Times New Roman" w:cs="Times New Roman" w:eastAsia="Times New Roman" w:hAnsi="Times New Roman"/>
                <w:sz w:val="10"/>
                <w:szCs w:val="10"/>
                <w:color w:val="auto"/>
                <w:w w:val="92"/>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606,362</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205,656</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812,018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205,656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Political subdivisions of States,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Territories and Possessions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1,414,362</w:t>
            </w:r>
          </w:p>
        </w:tc>
        <w:tc>
          <w:tcPr>
            <w:tcW w:w="20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61,683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(26,250)</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1,449,795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35,433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Corporate and other bonds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Industrial and miscellaneous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3,111,514</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142,142</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(50,273)</w:t>
            </w:r>
          </w:p>
        </w:tc>
        <w:tc>
          <w:tcPr>
            <w:tcW w:w="180" w:type="dxa"/>
            <w:vAlign w:val="bottom"/>
            <w:tcBorders>
              <w:right w:val="single" w:sz="8" w:color="CCEEFF"/>
            </w:tcBorders>
            <w:shd w:val="clear" w:color="auto" w:fill="CCEEFF"/>
          </w:tcPr>
          <w:p>
            <w:pPr>
              <w:spacing w:after="0"/>
              <w:rPr>
                <w:sz w:val="12"/>
                <w:szCs w:val="12"/>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3,203,383</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91,869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19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5,132,238</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409,481</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(50,273)</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(26,250)</w:t>
            </w:r>
          </w:p>
        </w:tc>
        <w:tc>
          <w:tcPr>
            <w:tcW w:w="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5,465,196</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332,958</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130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19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2" w:right="1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16"/>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 2014</w:t>
            </w: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restart"/>
          </w:tcPr>
          <w:p>
            <w:pPr>
              <w:ind w:left="480"/>
              <w:spacing w:after="0"/>
              <w:rPr>
                <w:sz w:val="20"/>
                <w:szCs w:val="20"/>
                <w:color w:val="auto"/>
              </w:rPr>
            </w:pPr>
            <w:r>
              <w:rPr>
                <w:rFonts w:ascii="Times New Roman" w:cs="Times New Roman" w:eastAsia="Times New Roman" w:hAnsi="Times New Roman"/>
                <w:sz w:val="10"/>
                <w:szCs w:val="10"/>
                <w:b w:val="1"/>
                <w:bCs w:val="1"/>
                <w:color w:val="auto"/>
              </w:rPr>
              <w:t>Cost or</w:t>
            </w:r>
          </w:p>
        </w:tc>
        <w:tc>
          <w:tcPr>
            <w:tcW w:w="240" w:type="dxa"/>
            <w:vAlign w:val="bottom"/>
          </w:tcPr>
          <w:p>
            <w:pPr>
              <w:spacing w:after="0"/>
              <w:rPr>
                <w:sz w:val="7"/>
                <w:szCs w:val="7"/>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Gross Unrealized Losses</w:t>
            </w: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Net</w:t>
            </w:r>
          </w:p>
        </w:tc>
        <w:tc>
          <w:tcPr>
            <w:tcW w:w="0" w:type="dxa"/>
            <w:vAlign w:val="bottom"/>
          </w:tcPr>
          <w:p>
            <w:pPr>
              <w:spacing w:after="0"/>
              <w:rPr>
                <w:sz w:val="1"/>
                <w:szCs w:val="1"/>
                <w:color w:val="auto"/>
              </w:rPr>
            </w:pPr>
          </w:p>
        </w:tc>
      </w:tr>
      <w:tr>
        <w:trPr>
          <w:trHeight w:val="116"/>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ind w:left="420"/>
              <w:spacing w:after="0" w:line="107"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240" w:type="dxa"/>
            <w:vAlign w:val="bottom"/>
          </w:tcPr>
          <w:p>
            <w:pPr>
              <w:spacing w:after="0"/>
              <w:rPr>
                <w:sz w:val="9"/>
                <w:szCs w:val="9"/>
                <w:color w:val="auto"/>
              </w:rPr>
            </w:pPr>
          </w:p>
        </w:tc>
        <w:tc>
          <w:tcPr>
            <w:tcW w:w="138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860" w:type="dxa"/>
            <w:vAlign w:val="bottom"/>
          </w:tcPr>
          <w:p>
            <w:pPr>
              <w:jc w:val="center"/>
              <w:ind w:left="252"/>
              <w:spacing w:after="0" w:line="108" w:lineRule="exact"/>
              <w:rPr>
                <w:sz w:val="20"/>
                <w:szCs w:val="20"/>
                <w:color w:val="auto"/>
              </w:rPr>
            </w:pPr>
            <w:r>
              <w:rPr>
                <w:rFonts w:ascii="Times New Roman" w:cs="Times New Roman" w:eastAsia="Times New Roman" w:hAnsi="Times New Roman"/>
                <w:sz w:val="10"/>
                <w:szCs w:val="10"/>
                <w:b w:val="1"/>
                <w:bCs w:val="1"/>
                <w:color w:val="auto"/>
                <w:w w:val="97"/>
              </w:rPr>
              <w:t>Less than 12</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3"/>
              </w:rPr>
              <w:t>More than 12</w:t>
            </w:r>
          </w:p>
        </w:tc>
        <w:tc>
          <w:tcPr>
            <w:tcW w:w="240" w:type="dxa"/>
            <w:vAlign w:val="bottom"/>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7"/>
              </w:rPr>
              <w:t>Fair</w:t>
            </w:r>
          </w:p>
        </w:tc>
        <w:tc>
          <w:tcPr>
            <w:tcW w:w="220" w:type="dxa"/>
            <w:vAlign w:val="bottom"/>
          </w:tcPr>
          <w:p>
            <w:pPr>
              <w:spacing w:after="0"/>
              <w:rPr>
                <w:sz w:val="9"/>
                <w:szCs w:val="9"/>
                <w:color w:val="auto"/>
              </w:rPr>
            </w:pPr>
          </w:p>
        </w:tc>
        <w:tc>
          <w:tcPr>
            <w:tcW w:w="112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Gains/</w:t>
            </w:r>
          </w:p>
        </w:tc>
        <w:tc>
          <w:tcPr>
            <w:tcW w:w="0" w:type="dxa"/>
            <w:vAlign w:val="bottom"/>
          </w:tcPr>
          <w:p>
            <w:pPr>
              <w:spacing w:after="0"/>
              <w:rPr>
                <w:sz w:val="1"/>
                <w:szCs w:val="1"/>
                <w:color w:val="auto"/>
              </w:rPr>
            </w:pPr>
          </w:p>
        </w:tc>
      </w:tr>
      <w:tr>
        <w:trPr>
          <w:trHeight w:val="134"/>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Categor</w:t>
            </w:r>
            <w:r>
              <w:rPr>
                <w:rFonts w:ascii="Times New Roman" w:cs="Times New Roman" w:eastAsia="Times New Roman" w:hAnsi="Times New Roman"/>
                <w:sz w:val="10"/>
                <w:szCs w:val="10"/>
                <w:color w:val="auto"/>
              </w:rPr>
              <w:t>y</w:t>
            </w:r>
          </w:p>
        </w:tc>
        <w:tc>
          <w:tcPr>
            <w:tcW w:w="120" w:type="dxa"/>
            <w:vAlign w:val="bottom"/>
          </w:tcPr>
          <w:p>
            <w:pPr>
              <w:spacing w:after="0"/>
              <w:rPr>
                <w:sz w:val="11"/>
                <w:szCs w:val="11"/>
                <w:color w:val="auto"/>
              </w:rPr>
            </w:pPr>
          </w:p>
        </w:tc>
        <w:tc>
          <w:tcPr>
            <w:tcW w:w="11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0"/>
                <w:szCs w:val="10"/>
                <w:b w:val="1"/>
                <w:bCs w:val="1"/>
                <w:color w:val="auto"/>
              </w:rPr>
              <w:t>Cost</w:t>
            </w:r>
          </w:p>
        </w:tc>
        <w:tc>
          <w:tcPr>
            <w:tcW w:w="240" w:type="dxa"/>
            <w:vAlign w:val="bottom"/>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Gains</w:t>
            </w:r>
          </w:p>
        </w:tc>
        <w:tc>
          <w:tcPr>
            <w:tcW w:w="220" w:type="dxa"/>
            <w:vAlign w:val="bottom"/>
          </w:tcPr>
          <w:p>
            <w:pPr>
              <w:spacing w:after="0"/>
              <w:rPr>
                <w:sz w:val="11"/>
                <w:szCs w:val="11"/>
                <w:color w:val="auto"/>
              </w:rPr>
            </w:pPr>
          </w:p>
        </w:tc>
        <w:tc>
          <w:tcPr>
            <w:tcW w:w="860" w:type="dxa"/>
            <w:vAlign w:val="bottom"/>
            <w:tcBorders>
              <w:bottom w:val="single" w:sz="8" w:color="auto"/>
            </w:tcBorders>
          </w:tcPr>
          <w:p>
            <w:pPr>
              <w:jc w:val="center"/>
              <w:ind w:left="252"/>
              <w:spacing w:after="0"/>
              <w:rPr>
                <w:sz w:val="20"/>
                <w:szCs w:val="20"/>
                <w:color w:val="auto"/>
              </w:rPr>
            </w:pPr>
            <w:r>
              <w:rPr>
                <w:rFonts w:ascii="Times New Roman" w:cs="Times New Roman" w:eastAsia="Times New Roman" w:hAnsi="Times New Roman"/>
                <w:sz w:val="10"/>
                <w:szCs w:val="10"/>
                <w:b w:val="1"/>
                <w:bCs w:val="1"/>
                <w:color w:val="auto"/>
                <w:w w:val="97"/>
              </w:rPr>
              <w:t>Months</w:t>
            </w:r>
          </w:p>
        </w:tc>
        <w:tc>
          <w:tcPr>
            <w:tcW w:w="3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Months</w:t>
            </w:r>
          </w:p>
        </w:tc>
        <w:tc>
          <w:tcPr>
            <w:tcW w:w="240" w:type="dxa"/>
            <w:vAlign w:val="bottom"/>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220" w:type="dxa"/>
            <w:vAlign w:val="bottom"/>
          </w:tcPr>
          <w:p>
            <w:pPr>
              <w:spacing w:after="0"/>
              <w:rPr>
                <w:sz w:val="11"/>
                <w:szCs w:val="1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(Losses</w:t>
            </w:r>
            <w:r>
              <w:rPr>
                <w:rFonts w:ascii="Times New Roman" w:cs="Times New Roman" w:eastAsia="Times New Roman" w:hAnsi="Times New Roman"/>
                <w:sz w:val="10"/>
                <w:szCs w:val="10"/>
                <w:color w:val="auto"/>
                <w:w w:val="92"/>
              </w:rPr>
              <w:t>)</w:t>
            </w:r>
          </w:p>
        </w:tc>
        <w:tc>
          <w:tcPr>
            <w:tcW w:w="0" w:type="dxa"/>
            <w:vAlign w:val="bottom"/>
          </w:tcPr>
          <w:p>
            <w:pPr>
              <w:spacing w:after="0"/>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606,353</w:t>
            </w:r>
          </w:p>
        </w:tc>
        <w:tc>
          <w:tcPr>
            <w:tcW w:w="420" w:type="dxa"/>
            <w:vAlign w:val="bottom"/>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183,200</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789,553</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183,200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Political subdivisions of States,</w:t>
            </w: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Territories and Possessions</w:t>
            </w: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1,413,303</w:t>
            </w:r>
          </w:p>
        </w:tc>
        <w:tc>
          <w:tcPr>
            <w:tcW w:w="4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49,981</w:t>
            </w:r>
          </w:p>
        </w:tc>
        <w:tc>
          <w:tcPr>
            <w:tcW w:w="4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(12,247)</w:t>
            </w:r>
          </w:p>
        </w:tc>
        <w:tc>
          <w:tcPr>
            <w:tcW w:w="3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1,451,037</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37,734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Corporate and other bonds</w:t>
            </w: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Industrial and miscellaneous</w:t>
            </w: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3,109,079</w:t>
            </w: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98,306</w:t>
            </w:r>
          </w:p>
        </w:tc>
        <w:tc>
          <w:tcPr>
            <w:tcW w:w="4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(52,921)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3,154,464</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45,385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5,128,735</w:t>
            </w:r>
          </w:p>
        </w:tc>
        <w:tc>
          <w:tcPr>
            <w:tcW w:w="420" w:type="dxa"/>
            <w:vAlign w:val="bottom"/>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331,487</w:t>
            </w: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(52,921)</w:t>
            </w: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(12,247)</w:t>
            </w:r>
          </w:p>
        </w:tc>
        <w:tc>
          <w:tcPr>
            <w:tcW w:w="36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5,395,054</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266,319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Held-to-maturity U.S. Treasury securities are held in trust pursuant to the New York State Department of Financial Services’ minimum funds requirement.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summary of the amortized cost and fair value of the Company’s investments in held-to-maturity securities by contractual maturity as of March 31, 2015 and December 31, 2014 is shown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March 31, 2015</w:t>
            </w:r>
          </w:p>
        </w:tc>
        <w:tc>
          <w:tcPr>
            <w:tcW w:w="8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December 31, 2014</w:t>
            </w: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2"/>
        </w:trPr>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304"/>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Remaining Time to Maturit</w:t>
            </w:r>
            <w:r>
              <w:rPr>
                <w:rFonts w:ascii="Times New Roman" w:cs="Times New Roman" w:eastAsia="Times New Roman" w:hAnsi="Times New Roman"/>
                <w:sz w:val="10"/>
                <w:szCs w:val="10"/>
                <w:color w:val="auto"/>
              </w:rPr>
              <w:t>y</w:t>
            </w:r>
          </w:p>
        </w:tc>
        <w:tc>
          <w:tcPr>
            <w:tcW w:w="220" w:type="dxa"/>
            <w:vAlign w:val="bottom"/>
          </w:tcPr>
          <w:p>
            <w:pPr>
              <w:spacing w:after="0"/>
              <w:rPr>
                <w:sz w:val="11"/>
                <w:szCs w:val="11"/>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Cost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220" w:type="dxa"/>
            <w:vAlign w:val="bottom"/>
          </w:tcPr>
          <w:p>
            <w:pPr>
              <w:spacing w:after="0"/>
              <w:rPr>
                <w:sz w:val="11"/>
                <w:szCs w:val="11"/>
                <w:color w:val="auto"/>
              </w:rPr>
            </w:pPr>
          </w:p>
        </w:tc>
        <w:tc>
          <w:tcPr>
            <w:tcW w:w="940" w:type="dxa"/>
            <w:vAlign w:val="bottom"/>
          </w:tcPr>
          <w:p>
            <w:pPr>
              <w:jc w:val="right"/>
              <w:ind w:right="424"/>
              <w:spacing w:after="0"/>
              <w:rPr>
                <w:sz w:val="20"/>
                <w:szCs w:val="20"/>
                <w:color w:val="auto"/>
              </w:rPr>
            </w:pPr>
            <w:r>
              <w:rPr>
                <w:rFonts w:ascii="Times New Roman" w:cs="Times New Roman" w:eastAsia="Times New Roman" w:hAnsi="Times New Roman"/>
                <w:sz w:val="10"/>
                <w:szCs w:val="10"/>
                <w:b w:val="1"/>
                <w:bCs w:val="1"/>
                <w:color w:val="auto"/>
              </w:rPr>
              <w:t>Cost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Fair Value</w:t>
            </w:r>
          </w:p>
        </w:tc>
      </w:tr>
      <w:tr>
        <w:trPr>
          <w:trHeight w:val="142"/>
        </w:trPr>
        <w:tc>
          <w:tcPr>
            <w:tcW w:w="5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than one year</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One to five years</w:t>
            </w:r>
          </w:p>
        </w:tc>
        <w:tc>
          <w:tcPr>
            <w:tcW w:w="22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500,000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505,380</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Five to ten years</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3,530,867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3,624,128</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3,522,927</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3,563,401</w:t>
            </w:r>
          </w:p>
        </w:tc>
        <w:tc>
          <w:tcPr>
            <w:tcW w:w="12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More than 10 years</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1,101,371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1,335,688</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1,605,808</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1,831,653</w:t>
            </w:r>
          </w:p>
        </w:tc>
        <w:tc>
          <w:tcPr>
            <w:tcW w:w="120" w:type="dxa"/>
            <w:vAlign w:val="bottom"/>
          </w:tcPr>
          <w:p>
            <w:pPr>
              <w:spacing w:after="0"/>
              <w:rPr>
                <w:sz w:val="12"/>
                <w:szCs w:val="12"/>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5,132,238</w:t>
            </w: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5,465,196</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5,128,735</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5,395,054</w:t>
            </w:r>
          </w:p>
        </w:tc>
        <w:tc>
          <w:tcPr>
            <w:tcW w:w="120" w:type="dxa"/>
            <w:vAlign w:val="bottom"/>
            <w:shd w:val="clear" w:color="auto" w:fill="CCEEFF"/>
          </w:tcPr>
          <w:p>
            <w:pPr>
              <w:spacing w:after="0"/>
              <w:rPr>
                <w:sz w:val="14"/>
                <w:szCs w:val="14"/>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Investment Income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Major categories of the Company’s net investment income are summarized as follows:</w:t>
      </w:r>
    </w:p>
    <w:p>
      <w:pPr>
        <w:spacing w:after="0" w:line="208"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11"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0"/>
          <w:szCs w:val="1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-4445</wp:posOffset>
            </wp:positionV>
            <wp:extent cx="1607185"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07185" cy="11430"/>
                    </a:xfrm>
                    <a:prstGeom prst="rect">
                      <a:avLst/>
                    </a:prstGeom>
                    <a:noFill/>
                  </pic:spPr>
                </pic:pic>
              </a:graphicData>
            </a:graphic>
          </wp:anchor>
        </w:drawing>
      </w:r>
    </w:p>
    <w:p>
      <w:pPr>
        <w:spacing w:after="0" w:line="19" w:lineRule="exact"/>
        <w:rPr>
          <w:sz w:val="20"/>
          <w:szCs w:val="20"/>
          <w:color w:val="auto"/>
        </w:rPr>
      </w:pPr>
    </w:p>
    <w:tbl>
      <w:tblPr>
        <w:tblLayout w:type="fixed"/>
        <w:tblInd w:w="2860" w:type="dxa"/>
        <w:tblCellMar>
          <w:top w:w="0" w:type="dxa"/>
          <w:left w:w="0" w:type="dxa"/>
          <w:bottom w:w="0" w:type="dxa"/>
          <w:right w:w="0" w:type="dxa"/>
        </w:tblCellMar>
      </w:tblPr>
      <w:tr>
        <w:trPr>
          <w:trHeight w:val="116"/>
        </w:trPr>
        <w:tc>
          <w:tcPr>
            <w:tcW w:w="2200" w:type="dxa"/>
            <w:vAlign w:val="bottom"/>
          </w:tcPr>
          <w:p>
            <w:pPr>
              <w:spacing w:after="0"/>
              <w:rPr>
                <w:sz w:val="10"/>
                <w:szCs w:val="10"/>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2015</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jc w:val="right"/>
              <w:ind w:right="422"/>
              <w:spacing w:after="0"/>
              <w:rPr>
                <w:sz w:val="20"/>
                <w:szCs w:val="20"/>
                <w:color w:val="auto"/>
              </w:rPr>
            </w:pPr>
            <w:r>
              <w:rPr>
                <w:rFonts w:ascii="Times New Roman" w:cs="Times New Roman" w:eastAsia="Times New Roman" w:hAnsi="Times New Roman"/>
                <w:sz w:val="10"/>
                <w:szCs w:val="10"/>
                <w:b w:val="1"/>
                <w:bCs w:val="1"/>
                <w:color w:val="auto"/>
              </w:rPr>
              <w:t>2014</w:t>
            </w:r>
          </w:p>
        </w:tc>
        <w:tc>
          <w:tcPr>
            <w:tcW w:w="120" w:type="dxa"/>
            <w:vAlign w:val="bottom"/>
          </w:tcPr>
          <w:p>
            <w:pPr>
              <w:spacing w:after="0"/>
              <w:rPr>
                <w:sz w:val="10"/>
                <w:szCs w:val="10"/>
                <w:color w:val="auto"/>
              </w:rPr>
            </w:pPr>
          </w:p>
        </w:tc>
      </w:tr>
      <w:tr>
        <w:trPr>
          <w:trHeight w:val="286"/>
        </w:trPr>
        <w:tc>
          <w:tcPr>
            <w:tcW w:w="2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9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Fixed-maturity securities</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510,955</w:t>
            </w: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342,918</w:t>
            </w:r>
          </w:p>
        </w:tc>
        <w:tc>
          <w:tcPr>
            <w:tcW w:w="120" w:type="dxa"/>
            <w:vAlign w:val="bottom"/>
            <w:shd w:val="clear" w:color="auto" w:fill="CCEEFF"/>
          </w:tcPr>
          <w:p>
            <w:pPr>
              <w:spacing w:after="0"/>
              <w:rPr>
                <w:sz w:val="12"/>
                <w:szCs w:val="12"/>
                <w:color w:val="auto"/>
              </w:rPr>
            </w:pPr>
          </w:p>
        </w:tc>
      </w:tr>
      <w:tr>
        <w:trPr>
          <w:trHeight w:val="144"/>
        </w:trPr>
        <w:tc>
          <w:tcPr>
            <w:tcW w:w="2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Equity securities</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122,569</w:t>
            </w: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114,513</w:t>
            </w:r>
          </w:p>
        </w:tc>
      </w:tr>
      <w:tr>
        <w:trPr>
          <w:trHeight w:val="144"/>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94</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20,619</w:t>
            </w:r>
          </w:p>
        </w:tc>
      </w:tr>
      <w:tr>
        <w:trPr>
          <w:trHeight w:val="20"/>
        </w:trPr>
        <w:tc>
          <w:tcPr>
            <w:tcW w:w="22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Total</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633,618</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478,050</w:t>
            </w:r>
          </w:p>
        </w:tc>
        <w:tc>
          <w:tcPr>
            <w:tcW w:w="120" w:type="dxa"/>
            <w:vAlign w:val="bottom"/>
          </w:tcPr>
          <w:p>
            <w:pPr>
              <w:spacing w:after="0"/>
              <w:rPr>
                <w:sz w:val="12"/>
                <w:szCs w:val="12"/>
                <w:color w:val="auto"/>
              </w:rPr>
            </w:pPr>
          </w:p>
        </w:tc>
      </w:tr>
      <w:tr>
        <w:trPr>
          <w:trHeight w:val="144"/>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Expenses:</w:t>
            </w:r>
          </w:p>
        </w:tc>
        <w:tc>
          <w:tcPr>
            <w:tcW w:w="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Investment expenses</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58,962</w:t>
            </w: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99,262</w:t>
            </w:r>
          </w:p>
        </w:tc>
      </w:tr>
      <w:tr>
        <w:trPr>
          <w:trHeight w:val="20"/>
        </w:trPr>
        <w:tc>
          <w:tcPr>
            <w:tcW w:w="2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Net investment income</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574,656</w:t>
            </w: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378,788</w:t>
            </w:r>
          </w:p>
        </w:tc>
        <w:tc>
          <w:tcPr>
            <w:tcW w:w="120" w:type="dxa"/>
            <w:vAlign w:val="bottom"/>
            <w:shd w:val="clear" w:color="auto" w:fill="CCEEFF"/>
          </w:tcPr>
          <w:p>
            <w:pPr>
              <w:spacing w:after="0"/>
              <w:rPr>
                <w:sz w:val="14"/>
                <w:szCs w:val="14"/>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Proceeds from the sale and maturity of fixed-maturity securities were $716,892 and $2,176,834 for the three months ended March 31, 2015 and 2014, respectively.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47" w:right="1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color w:val="auto"/>
        </w:rPr>
        <w:t>Proceeds from the sale of equity securities were $-0- and $1,287,326 for the three months ended March 31, 2015 and 2014,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net realized (losses) gains on investments are summarized as follows:</w:t>
      </w:r>
    </w:p>
    <w:p>
      <w:pPr>
        <w:spacing w:after="0" w:line="208"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11"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0"/>
          <w:szCs w:val="1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-4445</wp:posOffset>
            </wp:positionV>
            <wp:extent cx="1607185"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07185" cy="11430"/>
                    </a:xfrm>
                    <a:prstGeom prst="rect">
                      <a:avLst/>
                    </a:prstGeom>
                    <a:noFill/>
                  </pic:spPr>
                </pic:pic>
              </a:graphicData>
            </a:graphic>
          </wp:anchor>
        </w:drawing>
      </w:r>
    </w:p>
    <w:p>
      <w:pPr>
        <w:spacing w:after="0" w:line="19" w:lineRule="exact"/>
        <w:rPr>
          <w:sz w:val="20"/>
          <w:szCs w:val="20"/>
          <w:color w:val="auto"/>
        </w:rPr>
      </w:pPr>
    </w:p>
    <w:tbl>
      <w:tblPr>
        <w:tblLayout w:type="fixed"/>
        <w:tblInd w:w="2860" w:type="dxa"/>
        <w:tblCellMar>
          <w:top w:w="0" w:type="dxa"/>
          <w:left w:w="0" w:type="dxa"/>
          <w:bottom w:w="0" w:type="dxa"/>
          <w:right w:w="0" w:type="dxa"/>
        </w:tblCellMar>
      </w:tblPr>
      <w:tr>
        <w:trPr>
          <w:trHeight w:val="116"/>
        </w:trPr>
        <w:tc>
          <w:tcPr>
            <w:tcW w:w="3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2015</w:t>
            </w: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2014</w:t>
            </w:r>
          </w:p>
        </w:tc>
        <w:tc>
          <w:tcPr>
            <w:tcW w:w="120" w:type="dxa"/>
            <w:vAlign w:val="bottom"/>
          </w:tcPr>
          <w:p>
            <w:pPr>
              <w:spacing w:after="0"/>
              <w:rPr>
                <w:sz w:val="10"/>
                <w:szCs w:val="10"/>
                <w:color w:val="auto"/>
              </w:rPr>
            </w:pPr>
          </w:p>
        </w:tc>
      </w:tr>
      <w:tr>
        <w:trPr>
          <w:trHeight w:val="286"/>
        </w:trPr>
        <w:tc>
          <w:tcPr>
            <w:tcW w:w="3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Fixed-maturity securities: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Gross realized gains</w:t>
            </w: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89,256</w:t>
            </w:r>
          </w:p>
        </w:tc>
      </w:tr>
      <w:tr>
        <w:trPr>
          <w:trHeight w:val="144"/>
        </w:trPr>
        <w:tc>
          <w:tcPr>
            <w:tcW w:w="3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Gross realized losses</w:t>
            </w:r>
          </w:p>
        </w:tc>
        <w:tc>
          <w:tcPr>
            <w:tcW w:w="26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(67,494)</w:t>
            </w:r>
          </w:p>
        </w:tc>
        <w:tc>
          <w:tcPr>
            <w:tcW w:w="2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(26,399)</w:t>
            </w:r>
          </w:p>
        </w:tc>
      </w:tr>
      <w:tr>
        <w:trPr>
          <w:trHeight w:val="20"/>
        </w:trPr>
        <w:tc>
          <w:tcPr>
            <w:tcW w:w="3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3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(67,494)</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62,857</w:t>
            </w:r>
          </w:p>
        </w:tc>
      </w:tr>
      <w:tr>
        <w:trPr>
          <w:trHeight w:val="142"/>
        </w:trPr>
        <w:tc>
          <w:tcPr>
            <w:tcW w:w="31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Gross realized gains</w:t>
            </w:r>
          </w:p>
        </w:tc>
        <w:tc>
          <w:tcPr>
            <w:tcW w:w="2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136,059</w:t>
            </w:r>
          </w:p>
        </w:tc>
        <w:tc>
          <w:tcPr>
            <w:tcW w:w="120" w:type="dxa"/>
            <w:vAlign w:val="bottom"/>
          </w:tcPr>
          <w:p>
            <w:pPr>
              <w:spacing w:after="0"/>
              <w:rPr>
                <w:sz w:val="12"/>
                <w:szCs w:val="12"/>
                <w:color w:val="auto"/>
              </w:rPr>
            </w:pPr>
          </w:p>
        </w:tc>
      </w:tr>
      <w:tr>
        <w:trPr>
          <w:trHeight w:val="14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Gross realized losses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(10,568)</w:t>
            </w:r>
          </w:p>
        </w:tc>
      </w:tr>
      <w:tr>
        <w:trPr>
          <w:trHeight w:val="20"/>
        </w:trPr>
        <w:tc>
          <w:tcPr>
            <w:tcW w:w="3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125,491</w:t>
            </w:r>
          </w:p>
        </w:tc>
        <w:tc>
          <w:tcPr>
            <w:tcW w:w="120" w:type="dxa"/>
            <w:vAlign w:val="bottom"/>
          </w:tcPr>
          <w:p>
            <w:pPr>
              <w:spacing w:after="0"/>
              <w:rPr>
                <w:sz w:val="12"/>
                <w:szCs w:val="12"/>
                <w:color w:val="auto"/>
              </w:rPr>
            </w:pPr>
          </w:p>
        </w:tc>
      </w:tr>
      <w:tr>
        <w:trPr>
          <w:trHeight w:val="142"/>
        </w:trPr>
        <w:tc>
          <w:tcPr>
            <w:tcW w:w="31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Net realized (losses) gains</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(67,494)</w:t>
            </w: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188,348</w:t>
            </w:r>
          </w:p>
        </w:tc>
        <w:tc>
          <w:tcPr>
            <w:tcW w:w="120" w:type="dxa"/>
            <w:vAlign w:val="bottom"/>
          </w:tcPr>
          <w:p>
            <w:pPr>
              <w:spacing w:after="0"/>
              <w:rPr>
                <w:sz w:val="12"/>
                <w:szCs w:val="12"/>
                <w:color w:val="auto"/>
              </w:rPr>
            </w:pPr>
          </w:p>
        </w:tc>
      </w:tr>
      <w:tr>
        <w:trPr>
          <w:trHeight w:val="20"/>
        </w:trPr>
        <w:tc>
          <w:tcPr>
            <w:tcW w:w="3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Impairment Review</w:t>
      </w:r>
    </w:p>
    <w:p>
      <w:pPr>
        <w:spacing w:after="0" w:line="1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Impairment of investment securities results in a charge to operations when a market decline to below cost is deemed to be other-than-temporary. The Company regularly reviews its fixed-maturity securities and equity securities portfolios to evaluate the necessity of recording impairment losses for other-than-temporary declines in the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other comprehensive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other comprehensive income for the noncredit portion of a previous OTTI is amortized prospectively over the remaining life of the security on the basis of timing of future estimated cash flows of the security.</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OTTI losses are recorded in the condensed consolidated statements of income and comprehensive income as net realized losses on investments and result in a permanent reduction of the cost basis of the underlying investment. The determination of OTTI is a subjective process and different judgments and assumptions could affect the timing of loss realization. At March 31, 2015, there were 24 securities that accounted for the gross unrealized loss. The Company determined that none of the unrealized losses were deemed to be OTTI for its portfolio of fixed-maturity securities and equity securities for the three months ended March 31, 2015 and 2014.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the Company’s cost basis.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color w:val="auto"/>
        </w:rPr>
        <w:t>The Company held securities with unrealized losses representing declines that were considered temporary at March 31, 2015 and December 31, 2014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5"/>
          </w:tcPr>
          <w:p>
            <w:pPr>
              <w:jc w:val="right"/>
              <w:ind w:right="940"/>
              <w:spacing w:after="0"/>
              <w:rPr>
                <w:sz w:val="20"/>
                <w:szCs w:val="20"/>
                <w:color w:val="auto"/>
              </w:rPr>
            </w:pPr>
            <w:r>
              <w:rPr>
                <w:rFonts w:ascii="Times New Roman" w:cs="Times New Roman" w:eastAsia="Times New Roman" w:hAnsi="Times New Roman"/>
                <w:sz w:val="10"/>
                <w:szCs w:val="10"/>
                <w:b w:val="1"/>
                <w:bCs w:val="1"/>
                <w:color w:val="auto"/>
              </w:rPr>
              <w:t>March 31, 2015</w:t>
            </w: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Less than 12 months</w:t>
            </w:r>
          </w:p>
        </w:tc>
        <w:tc>
          <w:tcPr>
            <w:tcW w:w="9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w w:val="93"/>
              </w:rPr>
              <w:t>12 months or more</w:t>
            </w: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restart"/>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Fair</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920" w:type="dxa"/>
            <w:vAlign w:val="bottom"/>
          </w:tcPr>
          <w:p>
            <w:pPr>
              <w:jc w:val="right"/>
              <w:ind w:right="364"/>
              <w:spacing w:after="0" w:line="81" w:lineRule="exact"/>
              <w:rPr>
                <w:sz w:val="20"/>
                <w:szCs w:val="20"/>
                <w:color w:val="auto"/>
              </w:rPr>
            </w:pPr>
            <w:r>
              <w:rPr>
                <w:rFonts w:ascii="Times New Roman" w:cs="Times New Roman" w:eastAsia="Times New Roman" w:hAnsi="Times New Roman"/>
                <w:sz w:val="8"/>
                <w:szCs w:val="8"/>
                <w:b w:val="1"/>
                <w:bCs w:val="1"/>
                <w:color w:val="auto"/>
              </w:rPr>
              <w:t>No. of</w:t>
            </w: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7"/>
              </w:rPr>
              <w:t>Fair</w:t>
            </w:r>
          </w:p>
        </w:tc>
        <w:tc>
          <w:tcPr>
            <w:tcW w:w="60" w:type="dxa"/>
            <w:vAlign w:val="bottom"/>
          </w:tcPr>
          <w:p>
            <w:pPr>
              <w:spacing w:after="0"/>
              <w:rPr>
                <w:sz w:val="7"/>
                <w:szCs w:val="7"/>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Unrealized</w:t>
            </w:r>
          </w:p>
        </w:tc>
        <w:tc>
          <w:tcPr>
            <w:tcW w:w="92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No. of</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jc w:val="right"/>
              <w:ind w:right="284"/>
              <w:spacing w:after="0" w:line="81" w:lineRule="exact"/>
              <w:rPr>
                <w:sz w:val="20"/>
                <w:szCs w:val="20"/>
                <w:color w:val="auto"/>
              </w:rPr>
            </w:pPr>
            <w:r>
              <w:rPr>
                <w:rFonts w:ascii="Times New Roman" w:cs="Times New Roman" w:eastAsia="Times New Roman" w:hAnsi="Times New Roman"/>
                <w:sz w:val="8"/>
                <w:szCs w:val="8"/>
                <w:b w:val="1"/>
                <w:bCs w:val="1"/>
                <w:color w:val="auto"/>
              </w:rPr>
              <w:t>Aggregate</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0" w:type="dxa"/>
            <w:vAlign w:val="bottom"/>
          </w:tcPr>
          <w:p>
            <w:pPr>
              <w:spacing w:after="0"/>
              <w:rPr>
                <w:sz w:val="1"/>
                <w:szCs w:val="1"/>
                <w:color w:val="auto"/>
              </w:rPr>
            </w:pPr>
          </w:p>
        </w:tc>
      </w:tr>
      <w:tr>
        <w:trPr>
          <w:trHeight w:val="126"/>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Categor</w:t>
            </w:r>
            <w:r>
              <w:rPr>
                <w:rFonts w:ascii="Times New Roman" w:cs="Times New Roman" w:eastAsia="Times New Roman" w:hAnsi="Times New Roman"/>
                <w:sz w:val="12"/>
                <w:szCs w:val="12"/>
                <w:color w:val="auto"/>
              </w:rPr>
              <w:t>y</w:t>
            </w:r>
          </w:p>
        </w:tc>
        <w:tc>
          <w:tcPr>
            <w:tcW w:w="1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3"/>
              </w:rPr>
              <w:t>Positions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Positions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04"/>
              <w:spacing w:after="0"/>
              <w:rPr>
                <w:sz w:val="20"/>
                <w:szCs w:val="20"/>
                <w:color w:val="auto"/>
              </w:rPr>
            </w:pPr>
            <w:r>
              <w:rPr>
                <w:rFonts w:ascii="Times New Roman" w:cs="Times New Roman" w:eastAsia="Times New Roman" w:hAnsi="Times New Roman"/>
                <w:sz w:val="10"/>
                <w:szCs w:val="10"/>
                <w:b w:val="1"/>
                <w:bCs w:val="1"/>
                <w:color w:val="auto"/>
              </w:rPr>
              <w:t>Fair</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300" w:type="dxa"/>
            <w:vAlign w:val="bottom"/>
            <w:tcBorders>
              <w:bottom w:val="single" w:sz="8" w:color="auto"/>
            </w:tcBorders>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Value</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2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Held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20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Held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0"/>
                <w:szCs w:val="10"/>
                <w:b w:val="1"/>
                <w:bCs w:val="1"/>
                <w:color w:val="auto"/>
              </w:rPr>
              <w:t>Value</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4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Fixed-Maturity Securities:</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4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Political subdivisions of</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States, Territories and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Possessions</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548,802</w:t>
            </w:r>
          </w:p>
        </w:tc>
        <w:tc>
          <w:tcPr>
            <w:tcW w:w="3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(4,373)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116,919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(5,216)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665,721</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(9,589)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bonds industrial and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miscellaneous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2,555,063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(56,447)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483,170</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(6,664)</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3,038,233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(63,111)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Residential mortgage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backed securities</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362,660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(1,612)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362,660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fixed-maturity</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3,466,525</w:t>
            </w:r>
          </w:p>
        </w:tc>
        <w:tc>
          <w:tcPr>
            <w:tcW w:w="3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(62,432)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600,089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(11,880)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4,066,614</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(74,312)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Preferred stocks</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731,250</w:t>
            </w:r>
          </w:p>
        </w:tc>
        <w:tc>
          <w:tcPr>
            <w:tcW w:w="380" w:type="dxa"/>
            <w:vAlign w:val="bottom"/>
            <w:gridSpan w:val="2"/>
          </w:tcPr>
          <w:p>
            <w:pPr>
              <w:jc w:val="right"/>
              <w:ind w:right="32"/>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940,600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(16,931)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1,671,850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(17,003)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887,495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(7,342)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887,495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equity securities</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1,618,745</w:t>
            </w:r>
          </w:p>
        </w:tc>
        <w:tc>
          <w:tcPr>
            <w:tcW w:w="3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(7,414)</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940,600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(16,931)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2,559,345</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(24,345)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5,085,270</w:t>
            </w:r>
          </w:p>
        </w:tc>
        <w:tc>
          <w:tcPr>
            <w:tcW w:w="3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(69,846)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1,540,689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(28,811)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6,625,959</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(98,657)</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22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jc w:val="right"/>
              <w:ind w:right="40"/>
              <w:spacing w:after="0"/>
              <w:rPr>
                <w:sz w:val="20"/>
                <w:szCs w:val="20"/>
                <w:color w:val="auto"/>
              </w:rPr>
            </w:pPr>
            <w:r>
              <w:rPr>
                <w:rFonts w:ascii="Times New Roman" w:cs="Times New Roman" w:eastAsia="Times New Roman" w:hAnsi="Times New Roman"/>
                <w:sz w:val="12"/>
                <w:szCs w:val="12"/>
                <w:color w:val="auto"/>
                <w:w w:val="82"/>
              </w:rPr>
              <w:t>12</w:t>
            </w: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2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0"/>
                <w:szCs w:val="10"/>
                <w:b w:val="1"/>
                <w:bCs w:val="1"/>
                <w:color w:val="auto"/>
              </w:rPr>
              <w:t>December 31, 2014</w:t>
            </w: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Less than 12 months</w:t>
            </w:r>
          </w:p>
        </w:tc>
        <w:tc>
          <w:tcPr>
            <w:tcW w:w="9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96"/>
              </w:rPr>
              <w:t>12 months or more</w:t>
            </w: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restart"/>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Fair</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920" w:type="dxa"/>
            <w:vAlign w:val="bottom"/>
          </w:tcPr>
          <w:p>
            <w:pPr>
              <w:jc w:val="right"/>
              <w:ind w:right="364"/>
              <w:spacing w:after="0" w:line="81" w:lineRule="exact"/>
              <w:rPr>
                <w:sz w:val="20"/>
                <w:szCs w:val="20"/>
                <w:color w:val="auto"/>
              </w:rPr>
            </w:pPr>
            <w:r>
              <w:rPr>
                <w:rFonts w:ascii="Times New Roman" w:cs="Times New Roman" w:eastAsia="Times New Roman" w:hAnsi="Times New Roman"/>
                <w:sz w:val="8"/>
                <w:szCs w:val="8"/>
                <w:b w:val="1"/>
                <w:bCs w:val="1"/>
                <w:color w:val="auto"/>
              </w:rPr>
              <w:t>No. of</w:t>
            </w: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7"/>
              </w:rPr>
              <w:t>Fair</w:t>
            </w:r>
          </w:p>
        </w:tc>
        <w:tc>
          <w:tcPr>
            <w:tcW w:w="80" w:type="dxa"/>
            <w:vAlign w:val="bottom"/>
          </w:tcPr>
          <w:p>
            <w:pPr>
              <w:spacing w:after="0"/>
              <w:rPr>
                <w:sz w:val="7"/>
                <w:szCs w:val="7"/>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Unrealized</w:t>
            </w:r>
          </w:p>
        </w:tc>
        <w:tc>
          <w:tcPr>
            <w:tcW w:w="1020" w:type="dxa"/>
            <w:vAlign w:val="bottom"/>
            <w:gridSpan w:val="2"/>
          </w:tcPr>
          <w:p>
            <w:pPr>
              <w:jc w:val="center"/>
              <w:ind w:right="100"/>
              <w:spacing w:after="0" w:line="81" w:lineRule="exact"/>
              <w:rPr>
                <w:sz w:val="20"/>
                <w:szCs w:val="20"/>
                <w:color w:val="auto"/>
              </w:rPr>
            </w:pPr>
            <w:r>
              <w:rPr>
                <w:rFonts w:ascii="Times New Roman" w:cs="Times New Roman" w:eastAsia="Times New Roman" w:hAnsi="Times New Roman"/>
                <w:sz w:val="8"/>
                <w:szCs w:val="8"/>
                <w:b w:val="1"/>
                <w:bCs w:val="1"/>
                <w:color w:val="auto"/>
              </w:rPr>
              <w:t>No. of</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jc w:val="right"/>
              <w:ind w:right="264"/>
              <w:spacing w:after="0" w:line="81" w:lineRule="exact"/>
              <w:rPr>
                <w:sz w:val="20"/>
                <w:szCs w:val="20"/>
                <w:color w:val="auto"/>
              </w:rPr>
            </w:pPr>
            <w:r>
              <w:rPr>
                <w:rFonts w:ascii="Times New Roman" w:cs="Times New Roman" w:eastAsia="Times New Roman" w:hAnsi="Times New Roman"/>
                <w:sz w:val="8"/>
                <w:szCs w:val="8"/>
                <w:b w:val="1"/>
                <w:bCs w:val="1"/>
                <w:color w:val="auto"/>
              </w:rPr>
              <w:t>Aggregate</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0" w:type="dxa"/>
            <w:vAlign w:val="bottom"/>
          </w:tcPr>
          <w:p>
            <w:pPr>
              <w:spacing w:after="0"/>
              <w:rPr>
                <w:sz w:val="1"/>
                <w:szCs w:val="1"/>
                <w:color w:val="auto"/>
              </w:rPr>
            </w:pPr>
          </w:p>
        </w:tc>
      </w:tr>
      <w:tr>
        <w:trPr>
          <w:trHeight w:val="126"/>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1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Positions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Positions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04"/>
              <w:spacing w:after="0"/>
              <w:rPr>
                <w:sz w:val="20"/>
                <w:szCs w:val="20"/>
                <w:color w:val="auto"/>
              </w:rPr>
            </w:pPr>
            <w:r>
              <w:rPr>
                <w:rFonts w:ascii="Times New Roman" w:cs="Times New Roman" w:eastAsia="Times New Roman" w:hAnsi="Times New Roman"/>
                <w:sz w:val="10"/>
                <w:szCs w:val="10"/>
                <w:b w:val="1"/>
                <w:bCs w:val="1"/>
                <w:color w:val="auto"/>
              </w:rPr>
              <w:t>Fair</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300" w:type="dxa"/>
            <w:vAlign w:val="bottom"/>
            <w:tcBorders>
              <w:bottom w:val="single" w:sz="8" w:color="auto"/>
            </w:tcBorders>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Value</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240" w:type="dxa"/>
            <w:vAlign w:val="bottom"/>
          </w:tcPr>
          <w:p>
            <w:pPr>
              <w:spacing w:after="0"/>
              <w:rPr>
                <w:sz w:val="13"/>
                <w:szCs w:val="13"/>
                <w:color w:val="auto"/>
              </w:rPr>
            </w:pPr>
          </w:p>
        </w:tc>
        <w:tc>
          <w:tcPr>
            <w:tcW w:w="9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0"/>
                <w:szCs w:val="10"/>
                <w:b w:val="1"/>
                <w:bCs w:val="1"/>
                <w:color w:val="auto"/>
              </w:rPr>
              <w:t>Held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20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Held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0"/>
                <w:szCs w:val="10"/>
                <w:b w:val="1"/>
                <w:bCs w:val="1"/>
                <w:color w:val="auto"/>
              </w:rPr>
              <w:t>Value</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4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Fixed-Maturity Securities:</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4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Political subdivisions of</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States, Territories and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Possessions</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3,013,648</w:t>
            </w:r>
          </w:p>
        </w:tc>
        <w:tc>
          <w:tcPr>
            <w:tcW w:w="3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(23,813)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126,658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(6,379)</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3,140,306</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(30,192)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bonds industrial and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miscellaneous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6,325,579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(118,092)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714,640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(30,228)</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7,040,219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(148,320)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fixed-maturity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9,339,227</w:t>
            </w:r>
          </w:p>
        </w:tc>
        <w:tc>
          <w:tcPr>
            <w:tcW w:w="380" w:type="dxa"/>
            <w:vAlign w:val="bottom"/>
            <w:gridSpan w:val="2"/>
          </w:tcPr>
          <w:p>
            <w:pPr>
              <w:jc w:val="right"/>
              <w:ind w:right="32"/>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(141,905)</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841,298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(36,607)</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10,180,525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(178,512)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Preferred stocks</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656,325</w:t>
            </w:r>
          </w:p>
        </w:tc>
        <w:tc>
          <w:tcPr>
            <w:tcW w:w="3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(2,647)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1,448,376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(62,886)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2,104,701</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(65,533)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Common stocks</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267,000</w:t>
            </w:r>
          </w:p>
        </w:tc>
        <w:tc>
          <w:tcPr>
            <w:tcW w:w="8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(2,177)</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(2,177)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equity securities</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656,325</w:t>
            </w:r>
          </w:p>
        </w:tc>
        <w:tc>
          <w:tcPr>
            <w:tcW w:w="380" w:type="dxa"/>
            <w:vAlign w:val="bottom"/>
            <w:gridSpan w:val="2"/>
          </w:tcPr>
          <w:p>
            <w:pPr>
              <w:jc w:val="right"/>
              <w:ind w:right="32"/>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(2,647)</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1,715,376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(65,063)</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2,371,701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(67,710)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9,995,552</w:t>
            </w:r>
          </w:p>
        </w:tc>
        <w:tc>
          <w:tcPr>
            <w:tcW w:w="380" w:type="dxa"/>
            <w:vAlign w:val="bottom"/>
            <w:gridSpan w:val="2"/>
          </w:tcPr>
          <w:p>
            <w:pPr>
              <w:jc w:val="right"/>
              <w:ind w:right="32"/>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(144,552)</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2,556,674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(101,670)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12,552,226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(246,222)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w w:val="82"/>
              </w:rPr>
              <w:t>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2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29" w:right="1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color w:val="auto"/>
        </w:rPr>
        <w:t>Note 4 - Fair Value Measurements</w:t>
      </w:r>
    </w:p>
    <w:p>
      <w:pPr>
        <w:spacing w:after="0" w:line="17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Company follows GAAP guidance regarding fair value measurements. The valuation technique used to fair value the financial instruments is the market approach which uses prices and other relevant information generated by market transactions involving identical or comparable assets.</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This guidance establishes a three-level hierarchy that prioritizes the inputs to valuation techniques used to measure fair value. 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2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i w:val="1"/>
          <w:iCs w:val="1"/>
          <w:color w:val="auto"/>
        </w:rPr>
        <w:t>Level 1</w:t>
      </w:r>
      <w:r>
        <w:rPr>
          <w:rFonts w:ascii="Times New Roman" w:cs="Times New Roman" w:eastAsia="Times New Roman" w:hAnsi="Times New Roman"/>
          <w:sz w:val="12"/>
          <w:szCs w:val="12"/>
          <w:color w:val="auto"/>
        </w:rPr>
        <w:t>—Inputs to the valuation methodology are quoted prices (unadjusted) for identical assets or liabilities traded in active markets. Included are those investments traded on an active exchange, such as the NASDAQ Global Select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Market, U.S. Treasury securities and obligations of U.S. government agencies, together with corporate debt securities that are generally investment grade.</w:t>
      </w:r>
    </w:p>
    <w:p>
      <w:pPr>
        <w:spacing w:after="0" w:line="1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i w:val="1"/>
          <w:iCs w:val="1"/>
          <w:color w:val="auto"/>
        </w:rPr>
        <w:t>Level 2</w:t>
      </w:r>
      <w:r>
        <w:rPr>
          <w:rFonts w:ascii="Times New Roman" w:cs="Times New Roman" w:eastAsia="Times New Roman" w:hAnsi="Times New Roman"/>
          <w:sz w:val="12"/>
          <w:szCs w:val="12"/>
          <w:color w:val="auto"/>
        </w:rPr>
        <w:t>—Inputs to the valuation methodology include quoted prices for similar assets or liabilities in active markets, quoted prices for identical or similar assets or liabilities in markets that are not active, inputs other than quoted prices that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are observable for the asset or liability and market-corroborated inputs. Municipal and corporate bonds, and residential mortgage backed securities that are traded in less active markets are classified as Level 2. These securities are valued using market price quotations for recently executed transactions.</w:t>
      </w:r>
    </w:p>
    <w:p>
      <w:pPr>
        <w:spacing w:after="0" w:line="13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i w:val="1"/>
          <w:iCs w:val="1"/>
          <w:color w:val="auto"/>
        </w:rPr>
        <w:t>Level 3</w:t>
      </w:r>
      <w:r>
        <w:rPr>
          <w:rFonts w:ascii="Times New Roman" w:cs="Times New Roman" w:eastAsia="Times New Roman" w:hAnsi="Times New Roman"/>
          <w:sz w:val="12"/>
          <w:szCs w:val="12"/>
          <w:color w:val="auto"/>
        </w:rPr>
        <w:t>—Inputs to the valuation methodology are unobservable for the asset or liability and are significant to the fair value measurement. Material assumptions and factors considered in pricing investment securities and other assets may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include appraisals, projected cash flows, market clearing activity or liquidity circumstances in the security or similar securities that may have occurred since the prior pricing period.</w:t>
      </w:r>
    </w:p>
    <w:p>
      <w:pPr>
        <w:spacing w:after="0" w:line="1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color w:val="auto"/>
        </w:rPr>
        <w:t>The Company’s investments are allocated among pricing input levels at March 31, 2015 and December 31, 2014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3"/>
          </w:tcPr>
          <w:p>
            <w:pPr>
              <w:jc w:val="right"/>
              <w:ind w:right="687"/>
              <w:spacing w:after="0"/>
              <w:rPr>
                <w:sz w:val="20"/>
                <w:szCs w:val="20"/>
                <w:color w:val="auto"/>
              </w:rPr>
            </w:pPr>
            <w:r>
              <w:rPr>
                <w:rFonts w:ascii="Times New Roman" w:cs="Times New Roman" w:eastAsia="Times New Roman" w:hAnsi="Times New Roman"/>
                <w:sz w:val="10"/>
                <w:szCs w:val="10"/>
                <w:b w:val="1"/>
                <w:bCs w:val="1"/>
                <w:color w:val="auto"/>
              </w:rPr>
              <w:t>March 31, 2015</w:t>
            </w: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42"/>
        </w:trPr>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12"/>
                <w:szCs w:val="12"/>
                <w:color w:val="auto"/>
              </w:rPr>
            </w:pPr>
          </w:p>
        </w:tc>
      </w:tr>
      <w:tr>
        <w:trPr>
          <w:trHeight w:val="275"/>
        </w:trPr>
        <w:tc>
          <w:tcPr>
            <w:tcW w:w="60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Fixed-maturity securities available for sale</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Political subdivisions of</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States, Territories and</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Possessions</w:t>
            </w: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14,325,489</w:t>
            </w:r>
          </w:p>
        </w:tc>
        <w:tc>
          <w:tcPr>
            <w:tcW w:w="92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14,325,489</w:t>
            </w:r>
          </w:p>
        </w:tc>
      </w:tr>
      <w:tr>
        <w:trPr>
          <w:trHeight w:val="144"/>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Corporate and other</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bonds industrial and</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miscellaneous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29,444,211</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7,688,184</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37,132,395</w:t>
            </w:r>
          </w:p>
        </w:tc>
      </w:tr>
      <w:tr>
        <w:trPr>
          <w:trHeight w:val="144"/>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Residential mortgage backed securities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2,843,292</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2,843,292</w:t>
            </w:r>
          </w:p>
        </w:tc>
        <w:tc>
          <w:tcPr>
            <w:tcW w:w="120" w:type="dxa"/>
            <w:vAlign w:val="bottom"/>
            <w:shd w:val="clear" w:color="auto" w:fill="CCEEFF"/>
          </w:tcPr>
          <w:p>
            <w:pPr>
              <w:spacing w:after="0"/>
              <w:rPr>
                <w:sz w:val="12"/>
                <w:szCs w:val="12"/>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 fixed maturities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29,444,211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24,856,965</w:t>
            </w: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54,301,176</w:t>
            </w:r>
          </w:p>
        </w:tc>
      </w:tr>
      <w:tr>
        <w:trPr>
          <w:trHeight w:val="144"/>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9,237,109</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9,237,109</w:t>
            </w:r>
          </w:p>
        </w:tc>
        <w:tc>
          <w:tcPr>
            <w:tcW w:w="120" w:type="dxa"/>
            <w:vAlign w:val="bottom"/>
            <w:shd w:val="clear" w:color="auto" w:fill="CCEEFF"/>
          </w:tcPr>
          <w:p>
            <w:pPr>
              <w:spacing w:after="0"/>
              <w:rPr>
                <w:sz w:val="12"/>
                <w:szCs w:val="12"/>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 investments</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38,681,320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24,856,965</w:t>
            </w:r>
          </w:p>
        </w:tc>
        <w:tc>
          <w:tcPr>
            <w:tcW w:w="920" w:type="dxa"/>
            <w:vAlign w:val="bottom"/>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63,538,285</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0"/>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607"/>
              <w:spacing w:after="0"/>
              <w:rPr>
                <w:sz w:val="20"/>
                <w:szCs w:val="20"/>
                <w:color w:val="auto"/>
              </w:rPr>
            </w:pPr>
            <w:r>
              <w:rPr>
                <w:rFonts w:ascii="Times New Roman" w:cs="Times New Roman" w:eastAsia="Times New Roman" w:hAnsi="Times New Roman"/>
                <w:sz w:val="10"/>
                <w:szCs w:val="10"/>
                <w:b w:val="1"/>
                <w:bCs w:val="1"/>
                <w:color w:val="auto"/>
              </w:rPr>
              <w:t>December 31, 2014</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 in thousands</w:t>
            </w: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12"/>
                <w:szCs w:val="12"/>
                <w:color w:val="auto"/>
              </w:rPr>
            </w:pPr>
          </w:p>
        </w:tc>
      </w:tr>
      <w:tr>
        <w:trPr>
          <w:trHeight w:val="275"/>
        </w:trPr>
        <w:tc>
          <w:tcPr>
            <w:tcW w:w="60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Fixed-maturity investments available for sale</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Political subdivisions of</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States, Territories and</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Possessions</w:t>
            </w: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14,244,439</w:t>
            </w:r>
          </w:p>
        </w:tc>
        <w:tc>
          <w:tcPr>
            <w:tcW w:w="92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14,244,439</w:t>
            </w:r>
          </w:p>
        </w:tc>
      </w:tr>
      <w:tr>
        <w:trPr>
          <w:trHeight w:val="144"/>
        </w:trPr>
        <w:tc>
          <w:tcPr>
            <w:tcW w:w="608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Corporate and other</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bonds industrial and</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miscellaneous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29,257,850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7,618,570</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36,876,420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 fixed maturities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29,257,850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21,863,009</w:t>
            </w: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51,120,859</w:t>
            </w:r>
          </w:p>
        </w:tc>
      </w:tr>
      <w:tr>
        <w:trPr>
          <w:trHeight w:val="144"/>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Equity investments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8,017,729</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8,017,729</w:t>
            </w:r>
          </w:p>
        </w:tc>
        <w:tc>
          <w:tcPr>
            <w:tcW w:w="120" w:type="dxa"/>
            <w:vAlign w:val="bottom"/>
            <w:shd w:val="clear" w:color="auto" w:fill="CCEEFF"/>
          </w:tcPr>
          <w:p>
            <w:pPr>
              <w:spacing w:after="0"/>
              <w:rPr>
                <w:sz w:val="12"/>
                <w:szCs w:val="12"/>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 investments</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37,275,579</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21,863,009</w:t>
            </w:r>
          </w:p>
        </w:tc>
        <w:tc>
          <w:tcPr>
            <w:tcW w:w="920" w:type="dxa"/>
            <w:vAlign w:val="bottom"/>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59,138,588</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5 - Fair Value of Financial Instruments</w:t>
      </w:r>
    </w:p>
    <w:p>
      <w:pPr>
        <w:spacing w:after="0" w:line="17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GAAP requires all entities to disclose the fair value of financial instruments, both assets and liabilities recognized and not recognized in the balance sheet, for which it is practicable to estimate fair value. The Company uses the following methods and assumptions in estimating its fair value disclosures for financial instruments: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Equity securities and fixed income securities available-for-sale: </w:t>
      </w:r>
      <w:r>
        <w:rPr>
          <w:rFonts w:ascii="Times New Roman" w:cs="Times New Roman" w:eastAsia="Times New Roman" w:hAnsi="Times New Roman"/>
          <w:sz w:val="12"/>
          <w:szCs w:val="12"/>
          <w:color w:val="auto"/>
        </w:rPr>
        <w:t>Fair value disclosures for these investments are included in “Note 3 - Investments.”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Cash and cash equivalents: </w:t>
      </w:r>
      <w:r>
        <w:rPr>
          <w:rFonts w:ascii="Times New Roman" w:cs="Times New Roman" w:eastAsia="Times New Roman" w:hAnsi="Times New Roman"/>
          <w:sz w:val="12"/>
          <w:szCs w:val="12"/>
          <w:color w:val="auto"/>
        </w:rPr>
        <w:t>The carrying values of cash and cash equivalents approximate their fair values because of the short-term nature of these instruments.</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 xml:space="preserve">Premiums receivable and reinsurance receivables: </w:t>
      </w:r>
      <w:r>
        <w:rPr>
          <w:rFonts w:ascii="Times New Roman" w:cs="Times New Roman" w:eastAsia="Times New Roman" w:hAnsi="Times New Roman"/>
          <w:sz w:val="12"/>
          <w:szCs w:val="12"/>
          <w:color w:val="auto"/>
        </w:rPr>
        <w:t>The carrying values reported in the accompanying condensed consolidated balance sheets for these financial instruments approximate their fair values due to the short-term nature of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assets.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17" w:name="page18"/>
    <w:bookmarkEnd w:id="17"/>
    <w:p>
      <w:pPr>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 xml:space="preserve">Real estate: </w:t>
      </w:r>
      <w:r>
        <w:rPr>
          <w:rFonts w:ascii="Times New Roman" w:cs="Times New Roman" w:eastAsia="Times New Roman" w:hAnsi="Times New Roman"/>
          <w:sz w:val="12"/>
          <w:szCs w:val="12"/>
          <w:color w:val="auto"/>
        </w:rPr>
        <w:t>The fair value of the land and building included in property and equipment, which is used in the Company’s operations, approximates the carrying value. The fair value was based on an appraisal prepared using the sales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comparison approach, and accordingly the real estate is a Level 3 asset under the fair value hierarchy.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Reinsurance balances payable: </w:t>
      </w:r>
      <w:r>
        <w:rPr>
          <w:rFonts w:ascii="Times New Roman" w:cs="Times New Roman" w:eastAsia="Times New Roman" w:hAnsi="Times New Roman"/>
          <w:sz w:val="12"/>
          <w:szCs w:val="12"/>
          <w:color w:val="auto"/>
        </w:rPr>
        <w:t>The carrying value reported in the condensed consolidated balance sheets for these financial instruments approximates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estimated fair values of the Company’s financial instruments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March 31, 2015</w:t>
            </w:r>
          </w:p>
        </w:tc>
        <w:tc>
          <w:tcPr>
            <w:tcW w:w="8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 2014</w:t>
            </w: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Carrying Value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160" w:type="dxa"/>
            <w:vAlign w:val="bottom"/>
          </w:tcPr>
          <w:p>
            <w:pPr>
              <w:spacing w:after="0"/>
              <w:rPr>
                <w:sz w:val="12"/>
                <w:szCs w:val="12"/>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Carrying Value</w:t>
            </w:r>
          </w:p>
        </w:tc>
        <w:tc>
          <w:tcPr>
            <w:tcW w:w="300" w:type="dxa"/>
            <w:vAlign w:val="bottom"/>
          </w:tcPr>
          <w:p>
            <w:pPr>
              <w:spacing w:after="0"/>
              <w:rPr>
                <w:sz w:val="12"/>
                <w:szCs w:val="12"/>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Fixed-maturity securities held-to-maturity</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5,132,238</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5,465,196</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5,128,735</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95"/>
              </w:rPr>
              <w:t>5,395,054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6,283,655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6,283,655</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9,906,878</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5"/>
              </w:rPr>
              <w:t>9,906,878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Premiums receivable</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9,428,166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9,428,166</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8,946,899</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95"/>
              </w:rPr>
              <w:t>8,946,899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Receivables - reinsurance contracts</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1,436,205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1,436,205</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1,301,549</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5"/>
              </w:rPr>
              <w:t>1,301,549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Reinsurance receivables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36,551,604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36,551,604</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35,575,276</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35,575,276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Real estate, net of accumulated depreciation</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1,749,484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1,816,122</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1,762,345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5"/>
              </w:rPr>
              <w:t>1,816,122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Reinsurance balances payable</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2,018,556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2,018,556</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2,096,363</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95"/>
              </w:rPr>
              <w:t>2,096,363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60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Note 6 – Property and Casualty Insurance Activity</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Premiums Earned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Premiums written, ceded and earned are as follows: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Direct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Assumed</w:t>
            </w:r>
          </w:p>
        </w:tc>
        <w:tc>
          <w:tcPr>
            <w:tcW w:w="16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Ceded</w:t>
            </w:r>
          </w:p>
        </w:tc>
        <w:tc>
          <w:tcPr>
            <w:tcW w:w="300" w:type="dxa"/>
            <w:vAlign w:val="bottom"/>
          </w:tcPr>
          <w:p>
            <w:pPr>
              <w:spacing w:after="0"/>
              <w:rPr>
                <w:sz w:val="24"/>
                <w:szCs w:val="24"/>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Net</w:t>
            </w:r>
          </w:p>
        </w:tc>
        <w:tc>
          <w:tcPr>
            <w:tcW w:w="0" w:type="dxa"/>
            <w:vAlign w:val="bottom"/>
          </w:tcPr>
          <w:p>
            <w:pPr>
              <w:spacing w:after="0"/>
              <w:rPr>
                <w:sz w:val="1"/>
                <w:szCs w:val="1"/>
                <w:color w:val="auto"/>
              </w:rPr>
            </w:pPr>
          </w:p>
        </w:tc>
      </w:tr>
      <w:tr>
        <w:trPr>
          <w:trHeight w:val="286"/>
        </w:trPr>
        <w:tc>
          <w:tcPr>
            <w:tcW w:w="60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Three months ended March 31, 2015</w:t>
            </w: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Premiums written</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19,489,429</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7,911</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(8,619,406)</w:t>
            </w: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10,877,934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 in unearned premiums</w:t>
            </w:r>
          </w:p>
        </w:tc>
        <w:tc>
          <w:tcPr>
            <w:tcW w:w="160" w:type="dxa"/>
            <w:vAlign w:val="bottom"/>
          </w:tcPr>
          <w:p>
            <w:pPr>
              <w:spacing w:after="0"/>
              <w:rPr>
                <w:sz w:val="12"/>
                <w:szCs w:val="1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(472,331)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3,912</w:t>
            </w:r>
          </w:p>
        </w:tc>
        <w:tc>
          <w:tcPr>
            <w:tcW w:w="16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(23,716)</w:t>
            </w:r>
          </w:p>
        </w:tc>
        <w:tc>
          <w:tcPr>
            <w:tcW w:w="30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(492,135)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Premiums earned</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19,017,098</w:t>
            </w: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11,823</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(8,643,122)</w:t>
            </w: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10,385,799</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820" w:type="dxa"/>
            <w:vAlign w:val="bottom"/>
            <w:tcBorders>
              <w:top w:val="single" w:sz="8" w:color="CCEEFF"/>
            </w:tcBorders>
          </w:tcPr>
          <w:p>
            <w:pPr>
              <w:spacing w:after="0"/>
              <w:rPr>
                <w:sz w:val="10"/>
                <w:szCs w:val="10"/>
                <w:color w:val="auto"/>
              </w:rPr>
            </w:pPr>
          </w:p>
        </w:tc>
        <w:tc>
          <w:tcPr>
            <w:tcW w:w="52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Three months ended March 31, 2014</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Premiums written</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16,347,445</w:t>
            </w:r>
          </w:p>
        </w:tc>
        <w:tc>
          <w:tcPr>
            <w:tcW w:w="14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7,647</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(9,769,829)</w:t>
            </w: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5"/>
              </w:rPr>
              <w:t>6,585,263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unearned premiums</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(1,133,528)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2,654</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471,922</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(658,952)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Premiums earned</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15,213,917</w:t>
            </w:r>
          </w:p>
        </w:tc>
        <w:tc>
          <w:tcPr>
            <w:tcW w:w="14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10,301</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(9,297,907)</w:t>
            </w: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5,926,311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Premium receipts in advance of the policy effective date are recorded as advance premiums. The balance of advance premiums as of March 31, 2015 and December 31, 2014 was approximately $1,414,000 and $1,007,000, respectively.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auto"/>
        </w:rPr>
        <w:t>Loss and Loss Adjustment Expense Reserves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provides a reconciliation of the beginning and ending balances for unpaid losses and loss adjustment expense (“LAE”) reserves: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60" w:type="dxa"/>
            <w:vAlign w:val="bottom"/>
            <w:gridSpan w:val="5"/>
          </w:tcPr>
          <w:p>
            <w:pPr>
              <w:jc w:val="right"/>
              <w:ind w:right="74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0"/>
                <w:szCs w:val="10"/>
                <w:b w:val="1"/>
                <w:bCs w:val="1"/>
                <w:color w:val="auto"/>
              </w:rPr>
              <w:t>2015</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8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reinsurance recoverables</w:t>
            </w: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39,912,683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34,503,229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2"/>
                <w:szCs w:val="12"/>
                <w:color w:val="auto"/>
              </w:rPr>
              <w:t>Net balance, beginning of period</w:t>
            </w:r>
          </w:p>
        </w:tc>
        <w:tc>
          <w:tcPr>
            <w:tcW w:w="28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(18,249,526)</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(17,363,975)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21,663,157</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17,139,254</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2"/>
                <w:szCs w:val="12"/>
                <w:color w:val="auto"/>
              </w:rPr>
              <w:t>Incurred related to:</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year</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6,956,761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4,121,732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2"/>
                <w:szCs w:val="12"/>
                <w:color w:val="auto"/>
              </w:rPr>
              <w:t>Prior years</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106,456</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203,222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incurred</w:t>
            </w:r>
          </w:p>
        </w:tc>
        <w:tc>
          <w:tcPr>
            <w:tcW w:w="2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7,063,217</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4,324,954</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Paid related to:</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1,685,306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1,082,950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2"/>
                <w:szCs w:val="12"/>
                <w:color w:val="auto"/>
              </w:rPr>
              <w:t>Current year</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3,201,258</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1,455,086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Prior years</w:t>
            </w:r>
          </w:p>
        </w:tc>
        <w:tc>
          <w:tcPr>
            <w:tcW w:w="2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4,886,564</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2,538,036</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balance at end of period</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23,839,810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18,926,172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2"/>
                <w:szCs w:val="12"/>
                <w:color w:val="auto"/>
              </w:rPr>
              <w:t>Add reinsurance recoverables</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18,311,454</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21,117,082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end of period</w:t>
            </w:r>
          </w:p>
        </w:tc>
        <w:tc>
          <w:tcPr>
            <w:tcW w:w="280" w:type="dxa"/>
            <w:vAlign w:val="bottom"/>
            <w:tcBorders>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42,151,264</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40,034,254</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Incurred losses and LAE are net of reinsurance recoveries under reinsurance contracts of $5,448,387 and $6,718,463 for the three months ended March 31, 2015 and 2014, respectively.</w:t>
      </w:r>
    </w:p>
    <w:p>
      <w:pPr>
        <w:spacing w:after="0" w:line="1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Prior year incurred loss and LAE development is based upon estimates by line of business and accident year. Prior year loss development incurred during the three months ended March 31, 2015 and 2014 was $106,456 and $203,222, respectively. The Company’s management continually monitors claims activity to assess the appropriateness of carried case and incurred but not reported (“IBNR”) reserves, giving consideration to Company and industry trends.</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and including losses that have been incurred but not yet been reported. The process includes using actuarial methodologies to assist in establishing these estimates, judgments relative to estimates of future claims severity and frequency, the length of time before losses will develop to their ultimate level and the possible changes in the law and other external factors that are often beyond the Company’s control. Several actuarial reserving methodologies are used to estimate required loss reserves. The process produces carried reserves set by management based upon the actuaries’ best estimate and is the result of numerous best estimates made by line of business, accident year, and loss and LAE. The amount of loss and LAE reserves for reported claims (“case reserve”) is based primarily upon a case-by-case evaluation of coverage, liability, injury severity, and any other information considered pertinent to estimating the exposure presented by the claim. The amounts of loss and LAE reserves for unreported claims and development on known claims (IBNR reserves) are determined using historical information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19" w:name="page20"/>
    <w:bookmarkEnd w:id="19"/>
    <w:p>
      <w:pPr>
        <w:jc w:val="both"/>
        <w:spacing w:after="0" w:line="260" w:lineRule="auto"/>
        <w:rPr>
          <w:sz w:val="20"/>
          <w:szCs w:val="20"/>
          <w:color w:val="auto"/>
        </w:rPr>
      </w:pPr>
      <w:r>
        <w:rPr>
          <w:rFonts w:ascii="Times New Roman" w:cs="Times New Roman" w:eastAsia="Times New Roman" w:hAnsi="Times New Roman"/>
          <w:sz w:val="12"/>
          <w:szCs w:val="12"/>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year’s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years. Several methods are used, varying by product line and accident year, in order to select the estimated year-end loss reserves. These methods include the following: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Paid Loss Development </w:t>
      </w:r>
      <w:r>
        <w:rPr>
          <w:rFonts w:ascii="Times New Roman" w:cs="Times New Roman" w:eastAsia="Times New Roman" w:hAnsi="Times New Roman"/>
          <w:sz w:val="12"/>
          <w:szCs w:val="12"/>
          <w:color w:val="auto"/>
        </w:rPr>
        <w:t>– historical patterns of paid loss development are used to project future paid loss emergence in order to estimate required reserves.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Incurred Loss Development </w:t>
      </w:r>
      <w:r>
        <w:rPr>
          <w:rFonts w:ascii="Times New Roman" w:cs="Times New Roman" w:eastAsia="Times New Roman" w:hAnsi="Times New Roman"/>
          <w:sz w:val="12"/>
          <w:szCs w:val="12"/>
          <w:color w:val="auto"/>
        </w:rPr>
        <w:t>– historical patterns of incurred loss development, reflecting both paid losses and changes in case reserves, are used to project future incurred loss emergence in order to estimate required reserves.</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Paid Bornhuetter-Ferguson (“BF”) </w:t>
      </w:r>
      <w:r>
        <w:rPr>
          <w:rFonts w:ascii="Times New Roman" w:cs="Times New Roman" w:eastAsia="Times New Roman" w:hAnsi="Times New Roman"/>
          <w:sz w:val="12"/>
          <w:szCs w:val="12"/>
          <w:color w:val="auto"/>
        </w:rPr>
        <w:t>– an estimated loss ratio for a particular accident year is determined, and is weighted against the portion of the accident year claims that have been paid, based on historical paid loss development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Incurred Bornhuetter-Ferguson (“BF”) </w:t>
      </w:r>
      <w:r>
        <w:rPr>
          <w:rFonts w:ascii="Times New Roman" w:cs="Times New Roman" w:eastAsia="Times New Roman" w:hAnsi="Times New Roman"/>
          <w:sz w:val="12"/>
          <w:szCs w:val="12"/>
          <w:color w:val="auto"/>
        </w:rPr>
        <w:t>- an estimated loss ratio for a particular accident year is determined, and is weighted against the portion of the accident year claims that have been reported, based on historical incurred loss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3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12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is not aware of any claims trends that have emerged or that would cause future adverse development that have not already been considered in existing case reserves and in its current loss development factors.</w:t>
      </w:r>
    </w:p>
    <w:p>
      <w:pPr>
        <w:spacing w:after="0" w:line="16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In New York State, lawsuits for negligence are subject to certain limitations and must be commenced within three years from the date of the accident or are otherwise barred. Accordingly, the Company’s exposure to unreported claims (‘pure’ IBNR) for accident years 2011 and prior is limited although there remains the possibility of adverse development on reported claims (‘case development’ IBNR).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20" w:name="page21"/>
    <w:bookmarkEnd w:id="20"/>
    <w:p>
      <w:pPr>
        <w:jc w:val="both"/>
        <w:spacing w:after="0" w:line="280" w:lineRule="auto"/>
        <w:rPr>
          <w:sz w:val="20"/>
          <w:szCs w:val="20"/>
          <w:color w:val="auto"/>
        </w:rPr>
      </w:pPr>
      <w:r>
        <w:rPr>
          <w:rFonts w:ascii="Times New Roman" w:cs="Times New Roman" w:eastAsia="Times New Roman" w:hAnsi="Times New Roman"/>
          <w:sz w:val="12"/>
          <w:szCs w:val="12"/>
          <w:color w:val="auto"/>
        </w:rPr>
        <w:t>The Company was previously a one-third participant in a pool arrangement. Effective November 1, 1997, the Company withdrew from its participation in the pool arrangement. Accordingly, the Company will only be participating in losses and allocated loss adjustment expenses that occurred prior to that date.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Commercial Auto Line of Business</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Effective October 1, 2014 the Company decided that it would no longer accept applications for new commercial auto policies. The action was taken following a series of underwriting and pricing measures which were intended to improve the profitability of this line of business. The actions taken did not yield the hoped for results. In February 2015, the Company made the decision that it will no longer offer renewals on its existing commercial auto policies beginning with those that expire on or after May 1, 2015. The Company had 599 and 730 commercial auto policies in force as of March 31, 2015 and December 31, 2014,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Reinsurance</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Company’s quota share reinsurance treaty in effect for the three months ended March 31, 2015 for its Personal Lines business, which primarily consists of homeowners’ policies, were covered under the July 1, 2014/June 30, 2015 treaty year. The Company did not renew its expiring Commercial Lines quota share reinsurance treaty on July 1, 2014. The Company’s quota share reinsurance treaties in effect for the three months ended March 31, 2014 for both its Personal Lines business and Commercial Lines business were covered under the July 1, 2013/June 30, 2014 treaty year. The Company’s personal lines quota share treaty that covered the July 1, 2013/June 30, 2014 treaty year is a two year treaty expiring on June 30, 2015. Effective July 1, 2014, the Company had the option to increase the quota share percentage from 75% to a maximum of 85% or decrease the quota share percentage from 75% to a minimum of 55% by giving no less than 30 days advance notice. On May 12, 2014, the Company notified the personal lines reinsurers of its election to reduce the ceding percentage in the personal lines quota share treaty from 75% to 55% effective July 1, 2014. In addition to the change in the personal lines quota share treaty discussed above, the Company entered into new annual treaties with different terms effective July 1, 2014. The Company’s treaties for the July 1, 2013/ June 30, 2014 and July 1, 2014/June 30, 2015 treaty years provide for the following material terms: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45"/>
              <w:spacing w:after="0"/>
              <w:rPr>
                <w:sz w:val="20"/>
                <w:szCs w:val="20"/>
                <w:color w:val="auto"/>
              </w:rPr>
            </w:pPr>
            <w:r>
              <w:rPr>
                <w:rFonts w:ascii="Times New Roman" w:cs="Times New Roman" w:eastAsia="Times New Roman" w:hAnsi="Times New Roman"/>
                <w:sz w:val="10"/>
                <w:szCs w:val="10"/>
                <w:b w:val="1"/>
                <w:bCs w:val="1"/>
                <w:color w:val="auto"/>
              </w:rPr>
              <w:t>Treaty Year</w:t>
            </w: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4"/>
              </w:rPr>
              <w:t>July 1, 2014</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4"/>
              </w:rPr>
              <w:t>July 1, 2013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to</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to</w:t>
            </w:r>
          </w:p>
        </w:tc>
        <w:tc>
          <w:tcPr>
            <w:tcW w:w="0" w:type="dxa"/>
            <w:vAlign w:val="bottom"/>
          </w:tcPr>
          <w:p>
            <w:pPr>
              <w:spacing w:after="0"/>
              <w:rPr>
                <w:sz w:val="1"/>
                <w:szCs w:val="1"/>
                <w:color w:val="auto"/>
              </w:rPr>
            </w:pPr>
          </w:p>
        </w:tc>
      </w:tr>
      <w:tr>
        <w:trPr>
          <w:trHeight w:val="134"/>
        </w:trPr>
        <w:tc>
          <w:tcPr>
            <w:tcW w:w="87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0"/>
                <w:szCs w:val="10"/>
                <w:b w:val="1"/>
                <w:bCs w:val="1"/>
                <w:color w:val="auto"/>
              </w:rPr>
              <w:t>Line of Busines</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0"/>
                <w:szCs w:val="10"/>
                <w:b w:val="1"/>
                <w:bCs w:val="1"/>
                <w:color w:val="auto"/>
                <w:w w:val="96"/>
              </w:rPr>
              <w:t>June 30, 2015</w:t>
            </w: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0"/>
                <w:szCs w:val="10"/>
                <w:b w:val="1"/>
                <w:bCs w:val="1"/>
                <w:color w:val="auto"/>
                <w:w w:val="96"/>
              </w:rPr>
              <w:t>June 30, 2014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884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Homeowners, dwelling fire and canine legal liability</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Quota share treaty:</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74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Percent ceded</w:t>
            </w: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55%</w:t>
            </w:r>
          </w:p>
        </w:tc>
        <w:tc>
          <w:tcPr>
            <w:tcW w:w="20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Risk retained</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74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Losses per occurrence subject to quota share reinsurance coverage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800,000</w:t>
            </w:r>
          </w:p>
        </w:tc>
        <w:tc>
          <w:tcPr>
            <w:tcW w:w="2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Excess of loss coverage above quota share coverage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in excess of</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in excess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Total reinsurance coverage per occurrence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3,640,000</w:t>
            </w:r>
          </w:p>
        </w:tc>
        <w:tc>
          <w:tcPr>
            <w:tcW w:w="2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Losses per occurrence subject to reinsurance coverage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Expiration date</w:t>
            </w:r>
          </w:p>
        </w:tc>
        <w:tc>
          <w:tcPr>
            <w:tcW w:w="1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June 30, 2015</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June 30, 2015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Personal Umbrella</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Quota share treaty:</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74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Percent ceded - first million dollars of coverage</w:t>
            </w:r>
          </w:p>
        </w:tc>
        <w:tc>
          <w:tcPr>
            <w:tcW w:w="18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90%</w:t>
            </w:r>
          </w:p>
        </w:tc>
        <w:tc>
          <w:tcPr>
            <w:tcW w:w="20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Percent ceded - excess of one million dollars of coverage</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74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Total reinsurance coverage per occurrence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2,900,000</w:t>
            </w:r>
          </w:p>
        </w:tc>
        <w:tc>
          <w:tcPr>
            <w:tcW w:w="2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Losses per occurrence subject to quota share reinsurance coverage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Expiration date</w:t>
            </w:r>
          </w:p>
        </w:tc>
        <w:tc>
          <w:tcPr>
            <w:tcW w:w="1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June 30, 2015</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June 30, 2014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740" w:type="dxa"/>
            <w:vAlign w:val="bottom"/>
            <w:gridSpan w:val="6"/>
          </w:tcPr>
          <w:p>
            <w:pPr>
              <w:spacing w:after="0" w:line="135" w:lineRule="exact"/>
              <w:rPr>
                <w:sz w:val="20"/>
                <w:szCs w:val="20"/>
                <w:color w:val="auto"/>
              </w:rPr>
            </w:pPr>
            <w:r>
              <w:rPr>
                <w:rFonts w:ascii="Times New Roman" w:cs="Times New Roman" w:eastAsia="Times New Roman" w:hAnsi="Times New Roman"/>
                <w:sz w:val="12"/>
                <w:szCs w:val="12"/>
                <w:color w:val="auto"/>
              </w:rPr>
              <w:t>Commercial Lines:</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liability commercial policies, except for commercial auto</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Quota share treaty:</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Percent ceded (terminated effective July 1, 2014)</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None</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74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Risk retained</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2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Losses per occurrence subject to quota share reinsurance coverage</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None</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Excess of loss coverage above quota share coverage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3,600,000</w:t>
            </w:r>
          </w:p>
        </w:tc>
        <w:tc>
          <w:tcPr>
            <w:tcW w:w="2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in excess of</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in excess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2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reinsurance coverage per occurrence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Losses per occurrence subject to reinsurance coverage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4,000,000</w:t>
            </w:r>
          </w:p>
        </w:tc>
        <w:tc>
          <w:tcPr>
            <w:tcW w:w="2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40" w:type="dxa"/>
            <w:vAlign w:val="bottom"/>
            <w:gridSpan w:val="8"/>
          </w:tcPr>
          <w:p>
            <w:pPr>
              <w:spacing w:after="0" w:line="135" w:lineRule="exact"/>
              <w:rPr>
                <w:sz w:val="20"/>
                <w:szCs w:val="20"/>
                <w:color w:val="auto"/>
              </w:rPr>
            </w:pPr>
            <w:r>
              <w:rPr>
                <w:rFonts w:ascii="Times New Roman" w:cs="Times New Roman" w:eastAsia="Times New Roman" w:hAnsi="Times New Roman"/>
                <w:sz w:val="12"/>
                <w:szCs w:val="12"/>
                <w:color w:val="auto"/>
              </w:rPr>
              <w:t>Commercial Auto:</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Excess of loss coverage in excess of risk retained</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in excess of</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in excess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300,000</w:t>
            </w:r>
          </w:p>
        </w:tc>
        <w:tc>
          <w:tcPr>
            <w:tcW w:w="0" w:type="dxa"/>
            <w:vAlign w:val="bottom"/>
          </w:tcPr>
          <w:p>
            <w:pPr>
              <w:spacing w:after="0"/>
              <w:rPr>
                <w:sz w:val="1"/>
                <w:szCs w:val="1"/>
                <w:color w:val="auto"/>
              </w:rPr>
            </w:pPr>
          </w:p>
        </w:tc>
      </w:tr>
      <w:tr>
        <w:trPr>
          <w:trHeight w:val="135"/>
        </w:trPr>
        <w:tc>
          <w:tcPr>
            <w:tcW w:w="8840" w:type="dxa"/>
            <w:vAlign w:val="bottom"/>
            <w:gridSpan w:val="8"/>
          </w:tcPr>
          <w:p>
            <w:pPr>
              <w:spacing w:after="0" w:line="135" w:lineRule="exact"/>
              <w:rPr>
                <w:sz w:val="20"/>
                <w:szCs w:val="20"/>
                <w:color w:val="auto"/>
              </w:rPr>
            </w:pPr>
            <w:r>
              <w:rPr>
                <w:rFonts w:ascii="Times New Roman" w:cs="Times New Roman" w:eastAsia="Times New Roman" w:hAnsi="Times New Roman"/>
                <w:sz w:val="12"/>
                <w:szCs w:val="12"/>
                <w:color w:val="auto"/>
              </w:rPr>
              <w:t>Catastrophe Reinsurance:</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loss subject to personal lines quota share treaty</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Risk retained per catastrophe occurrence (1)</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1,800,000</w:t>
            </w:r>
          </w:p>
        </w:tc>
        <w:tc>
          <w:tcPr>
            <w:tcW w:w="2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Catastrophe loss coverage in excess of quota share coverage (2) (3)</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137,000,000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86,000,000</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00" w:hanging="195"/>
        <w:spacing w:after="0"/>
        <w:tabs>
          <w:tab w:leader="none" w:pos="5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Plus losses in excess of catastrophe coverage.</w:t>
      </w:r>
    </w:p>
    <w:p>
      <w:pPr>
        <w:spacing w:after="0" w:line="168" w:lineRule="exact"/>
        <w:rPr>
          <w:rFonts w:ascii="Times New Roman" w:cs="Times New Roman" w:eastAsia="Times New Roman" w:hAnsi="Times New Roman"/>
          <w:sz w:val="12"/>
          <w:szCs w:val="12"/>
          <w:color w:val="auto"/>
        </w:rPr>
      </w:pPr>
    </w:p>
    <w:p>
      <w:pPr>
        <w:ind w:left="500" w:hanging="195"/>
        <w:spacing w:after="0" w:line="280" w:lineRule="auto"/>
        <w:tabs>
          <w:tab w:leader="none" w:pos="5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July 1, 2014, the Company’s catastrophe treaty also covers losses caused by severe winter weather during any consecutive 28 day period. Effective July 1, 2014, the duration of a catastrophe occurrence from windstorm, hail, tornado, hurricane and cyclone has been extended to 96 consecutive hours from 72 consecutive hours.</w:t>
      </w:r>
    </w:p>
    <w:p>
      <w:pPr>
        <w:spacing w:after="0" w:line="128" w:lineRule="exact"/>
        <w:rPr>
          <w:rFonts w:ascii="Times New Roman" w:cs="Times New Roman" w:eastAsia="Times New Roman" w:hAnsi="Times New Roman"/>
          <w:sz w:val="12"/>
          <w:szCs w:val="12"/>
          <w:color w:val="auto"/>
        </w:rPr>
      </w:pPr>
    </w:p>
    <w:p>
      <w:pPr>
        <w:ind w:left="500" w:hanging="195"/>
        <w:spacing w:after="0"/>
        <w:tabs>
          <w:tab w:leader="none" w:pos="5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Catastrophe coverage is limited on an annual basis to two times the per occurrence amounts.</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11" w:right="1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color w:val="auto"/>
        </w:rPr>
        <w:t>The single maximum risks per occurrence to which the Company is subject under the treaties that expired on June 30, 2014 and the new treaties effective July 1, 2014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0"/>
                <w:szCs w:val="10"/>
                <w:b w:val="1"/>
                <w:bCs w:val="1"/>
                <w:color w:val="auto"/>
                <w:w w:val="98"/>
              </w:rPr>
              <w:t>July 1, 2014 - June 30, 2015</w:t>
            </w: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34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0"/>
                <w:szCs w:val="10"/>
                <w:b w:val="1"/>
                <w:bCs w:val="1"/>
                <w:color w:val="auto"/>
                <w:w w:val="98"/>
              </w:rPr>
              <w:t>July 1, 2013 - June 30, 2014</w:t>
            </w: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0"/>
                <w:szCs w:val="10"/>
                <w:b w:val="1"/>
                <w:bCs w:val="1"/>
                <w:color w:val="auto"/>
              </w:rPr>
              <w:t>Treaty</w:t>
            </w:r>
          </w:p>
        </w:tc>
        <w:tc>
          <w:tcPr>
            <w:tcW w:w="120" w:type="dxa"/>
            <w:vAlign w:val="bottom"/>
          </w:tcPr>
          <w:p>
            <w:pPr>
              <w:spacing w:after="0"/>
              <w:rPr>
                <w:sz w:val="12"/>
                <w:szCs w:val="12"/>
                <w:color w:val="auto"/>
              </w:rPr>
            </w:pPr>
          </w:p>
        </w:tc>
        <w:tc>
          <w:tcPr>
            <w:tcW w:w="22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0"/>
                <w:szCs w:val="10"/>
                <w:b w:val="1"/>
                <w:bCs w:val="1"/>
                <w:color w:val="auto"/>
              </w:rPr>
              <w:t>Extent of Loss</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0"/>
                <w:szCs w:val="10"/>
                <w:b w:val="1"/>
                <w:bCs w:val="1"/>
                <w:color w:val="auto"/>
              </w:rPr>
              <w:t>Risk Retained</w:t>
            </w:r>
          </w:p>
        </w:tc>
        <w:tc>
          <w:tcPr>
            <w:tcW w:w="260" w:type="dxa"/>
            <w:vAlign w:val="bottom"/>
          </w:tcPr>
          <w:p>
            <w:pPr>
              <w:spacing w:after="0"/>
              <w:rPr>
                <w:sz w:val="12"/>
                <w:szCs w:val="12"/>
                <w:color w:val="auto"/>
              </w:rPr>
            </w:pPr>
          </w:p>
        </w:tc>
        <w:tc>
          <w:tcPr>
            <w:tcW w:w="22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0"/>
                <w:szCs w:val="10"/>
                <w:b w:val="1"/>
                <w:bCs w:val="1"/>
                <w:color w:val="auto"/>
              </w:rPr>
              <w:t>Extent of Loss</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0"/>
                <w:szCs w:val="10"/>
                <w:b w:val="1"/>
                <w:bCs w:val="1"/>
                <w:color w:val="auto"/>
              </w:rPr>
              <w:t>Risk Retained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$800,000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360,000</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$1,200,000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$ 800,000 - $4,000,000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None(1)</w:t>
            </w:r>
          </w:p>
        </w:tc>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$ 1,200,000 - $2,900,000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None(1)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$4,000,000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100%</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$2,900,000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Umbrella</w:t>
            </w: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$1,000,000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100,000</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$1,000,000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$ 1,000,000 - $3,000,000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None(1)</w:t>
            </w:r>
          </w:p>
        </w:tc>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$ 1,000,000 - $2,000,000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None(1)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$3,000,000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100%</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$2,000,000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$400,000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400,000</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$400,000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$ 400,000 - $4,000,000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None(1)</w:t>
            </w:r>
          </w:p>
        </w:tc>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$ 400,000 - $2,900,000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None(1)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$4,000,000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100%</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$2,900,000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Auto</w:t>
            </w: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$300,000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300,000</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$300,000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$ 300,000 - $2,000,000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None(1)</w:t>
            </w:r>
          </w:p>
        </w:tc>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$ 300,000 - $2,000,000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None(1)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$2,000,000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100%</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$2,000,000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Catastrophe (2)</w:t>
            </w: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$4,000,000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1,800,000</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$4,000,000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$ 4,000,000 - $141,000,000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None</w:t>
            </w:r>
          </w:p>
        </w:tc>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$ 4,000,000 - $90,000,000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None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$141,000,000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100%</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$90,000,000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w:t>
            </w: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40" w:hanging="199"/>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Covered by excess of loss treaties.</w:t>
      </w:r>
    </w:p>
    <w:p>
      <w:pPr>
        <w:spacing w:after="0" w:line="168" w:lineRule="exact"/>
        <w:rPr>
          <w:rFonts w:ascii="Times New Roman" w:cs="Times New Roman" w:eastAsia="Times New Roman" w:hAnsi="Times New Roman"/>
          <w:sz w:val="12"/>
          <w:szCs w:val="12"/>
          <w:color w:val="auto"/>
        </w:rPr>
      </w:pPr>
    </w:p>
    <w:p>
      <w:pPr>
        <w:ind w:left="640" w:hanging="199"/>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Catastrophe coverage is limited on an annual basis to two times the per occurrence amounts.</w:t>
      </w:r>
    </w:p>
    <w:p>
      <w:pPr>
        <w:spacing w:after="0" w:line="16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Ceding Commission Revenue</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Company’s estimated ultimate treaty year loss ratios for treaties in effect for the three months ended March 31, 2015 are attributable to contracts for the July 1, 2014/June 30, 2015 treaty year (“2014/2015 Treaties”). The Company’s estimated ultimate treaty year loss ratios for treaties in effect for the three months ended March 31, 2014 are attributable to contracts for the July 1, 2013/June 30, 2014 treaty year (“2013/2014 Treaties”).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Treaties in effect for the three months ended March 31, 2015</w:t>
      </w:r>
    </w:p>
    <w:p>
      <w:pPr>
        <w:spacing w:after="0" w:line="170" w:lineRule="exact"/>
        <w:rPr>
          <w:sz w:val="20"/>
          <w:szCs w:val="20"/>
          <w:color w:val="auto"/>
        </w:rPr>
      </w:pPr>
    </w:p>
    <w:p>
      <w:pPr>
        <w:jc w:val="both"/>
        <w:ind w:left="320"/>
        <w:spacing w:after="0" w:line="263" w:lineRule="auto"/>
        <w:rPr>
          <w:sz w:val="20"/>
          <w:szCs w:val="20"/>
          <w:color w:val="auto"/>
        </w:rPr>
      </w:pPr>
      <w:r>
        <w:rPr>
          <w:rFonts w:ascii="Times New Roman" w:cs="Times New Roman" w:eastAsia="Times New Roman" w:hAnsi="Times New Roman"/>
          <w:sz w:val="12"/>
          <w:szCs w:val="12"/>
          <w:color w:val="auto"/>
        </w:rPr>
        <w:t>The Company’s estimated ultimate loss ratios (“Loss Ratios”) for the period July 1, 2014 through March 31, 2015, which are attributable to contracts for the 2014/2015 Treaties were lower than the contractual Loss Ratios at which the provisional ceding commissions are earned. As a result of severe winter weather during the three months ended March 31, 2015, the Loss Ratios attributable to these treaties as of March 31, 2015 were greater than the Loss Ratios as of December 31, 2014. Accordingly, for the three months ended March 31, 2015, the Company’s contingent ceding commission earned was reduced as a result of the increase in estimated Loss Ratios for the 2014/2015 Treaties.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2"/>
          <w:szCs w:val="12"/>
          <w:i w:val="1"/>
          <w:iCs w:val="1"/>
          <w:color w:val="auto"/>
        </w:rPr>
        <w:t>Treaties in effect for the three months ended March 31, 2014</w:t>
      </w:r>
    </w:p>
    <w:p>
      <w:pPr>
        <w:spacing w:after="0" w:line="170" w:lineRule="exact"/>
        <w:rPr>
          <w:sz w:val="20"/>
          <w:szCs w:val="20"/>
          <w:color w:val="auto"/>
        </w:rPr>
      </w:pPr>
    </w:p>
    <w:p>
      <w:pPr>
        <w:jc w:val="both"/>
        <w:ind w:left="320"/>
        <w:spacing w:after="0" w:line="263" w:lineRule="auto"/>
        <w:rPr>
          <w:sz w:val="20"/>
          <w:szCs w:val="20"/>
          <w:color w:val="auto"/>
        </w:rPr>
      </w:pPr>
      <w:r>
        <w:rPr>
          <w:rFonts w:ascii="Times New Roman" w:cs="Times New Roman" w:eastAsia="Times New Roman" w:hAnsi="Times New Roman"/>
          <w:sz w:val="12"/>
          <w:szCs w:val="12"/>
          <w:color w:val="auto"/>
        </w:rPr>
        <w:t>The Company’s estimated ultimate loss ratios (“Loss Ratios”) for the period July 1, 2013 through March 31, 2014, which are attributable to contracts for the 2013/2014 Treaties were lower than the contractual Loss Ratios at which the provisional ceding commissions are earned. As a result of severe winter weather during the three months ended March 31, 2014, the Loss Ratios attributable to these treaties as of March 31, 2014 were greater than the Loss Ratios as of December 31, 2013. Accordingly, for the three months ended March 31, 2014, the Company’s contingent ceding commission earned was reduced as a result of the increase in estimated Loss Ratios for the 2013/2014 Treaties.</w:t>
      </w:r>
    </w:p>
    <w:p>
      <w:pPr>
        <w:spacing w:after="0" w:line="2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In addition to the treaties that were in effect for three months ended March 31, 2015 and 2014, the estimated ultimate loss ratios from prior years’ treaties are subject to change as loss reserves from those periods increase or decrease, resulting in an increase or decrease in the commission rate and contingent ceding commissions earned.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Ceding commissions earned consists of the following:</w:t>
      </w:r>
    </w:p>
    <w:p>
      <w:pPr>
        <w:spacing w:after="0" w:line="208"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11"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0"/>
          <w:szCs w:val="1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5617210</wp:posOffset>
            </wp:positionH>
            <wp:positionV relativeFrom="paragraph">
              <wp:posOffset>-4445</wp:posOffset>
            </wp:positionV>
            <wp:extent cx="160147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01470" cy="1143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8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2015</w:t>
            </w:r>
          </w:p>
        </w:tc>
        <w:tc>
          <w:tcPr>
            <w:tcW w:w="4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2014</w:t>
            </w:r>
          </w:p>
        </w:tc>
        <w:tc>
          <w:tcPr>
            <w:tcW w:w="120" w:type="dxa"/>
            <w:vAlign w:val="bottom"/>
          </w:tcPr>
          <w:p>
            <w:pPr>
              <w:spacing w:after="0"/>
              <w:rPr>
                <w:sz w:val="10"/>
                <w:szCs w:val="10"/>
                <w:color w:val="auto"/>
              </w:rPr>
            </w:pPr>
          </w:p>
        </w:tc>
      </w:tr>
      <w:tr>
        <w:trPr>
          <w:trHeight w:val="142"/>
        </w:trPr>
        <w:tc>
          <w:tcPr>
            <w:tcW w:w="8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Provisional ceding commissions earned</w:t>
            </w:r>
          </w:p>
        </w:tc>
        <w:tc>
          <w:tcPr>
            <w:tcW w:w="680" w:type="dxa"/>
            <w:vAlign w:val="bottom"/>
            <w:shd w:val="clear" w:color="auto" w:fill="CCEEFF"/>
          </w:tcPr>
          <w:p>
            <w:pPr>
              <w:jc w:val="right"/>
              <w:ind w:right="56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2,915,029</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3,376,876</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Contingent ceding commissions earned</w:t>
            </w:r>
          </w:p>
        </w:tc>
        <w:tc>
          <w:tcPr>
            <w:tcW w:w="6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174,375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4,407</w:t>
            </w:r>
          </w:p>
        </w:tc>
      </w:tr>
      <w:tr>
        <w:trPr>
          <w:trHeight w:val="20"/>
        </w:trPr>
        <w:tc>
          <w:tcPr>
            <w:tcW w:w="8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88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6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3,089,404</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3,381,283</w:t>
            </w:r>
          </w:p>
        </w:tc>
        <w:tc>
          <w:tcPr>
            <w:tcW w:w="120" w:type="dxa"/>
            <w:vAlign w:val="bottom"/>
            <w:shd w:val="clear" w:color="auto" w:fill="CCEEFF"/>
          </w:tcPr>
          <w:p>
            <w:pPr>
              <w:spacing w:after="0"/>
              <w:rPr>
                <w:sz w:val="14"/>
                <w:szCs w:val="14"/>
                <w:color w:val="auto"/>
              </w:rPr>
            </w:pP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Provisional ceding commissions are settled monthly. Balances due from reinsurers for contingent ceding commissions on quota share treaties are settled annually based on the loss ratio of each treaty year that ends on June 30.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7 – Bank Line of Credit</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December 27, 2011, Kingstone executed a Promissory Note pursuant to a line of credit (together, the “Trustco Agreement”) with Trustco Bank (“Lender”). Under the Trustco Agreement, Kingstone may receive advances from Lender not to exceed an unpaid principal balance of $500,000 (the “Credit Limit”). On January 25, 2013, the Credit Limit was increased to $600,000. Advances extended under the Trustco Agreement will bear interest at a floating rate based on the Lender’s prime rate, which was 3.75% at March 31, 2015.</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4" w:name="page25"/>
    <w:bookmarkEnd w:id="24"/>
    <w:p>
      <w:pPr>
        <w:jc w:val="both"/>
        <w:spacing w:after="0" w:line="265" w:lineRule="auto"/>
        <w:rPr>
          <w:sz w:val="20"/>
          <w:szCs w:val="20"/>
          <w:color w:val="auto"/>
        </w:rPr>
      </w:pPr>
      <w:r>
        <w:rPr>
          <w:rFonts w:ascii="Times New Roman" w:cs="Times New Roman" w:eastAsia="Times New Roman" w:hAnsi="Times New Roman"/>
          <w:sz w:val="12"/>
          <w:szCs w:val="12"/>
          <w:color w:val="auto"/>
        </w:rPr>
        <w:t>Interest only payments are due monthly. The principal balance is payable on demand, and must be reduced to zero for a minimum of thirty consecutive days during each year of the term of the Trustco Agreement. The line of credit is subject annual renewal at the discretion of the Lender. Lender may set off any depository accounts maintained by Kingstone that are held by Lender. Payment of amounts due pursuant to the Trustco Agreement is secured by all of Kingstone’s cash and deposit accounts, receivables, inventory and fixed assets, and is guaranteed by Kingstone’s subsidiary, Payments, Inc.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line of credit is used for general corporate purposes.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were no outstanding balances under the bank line of credit as of March 31, 2015 and December 31, 2014, or during the three months ended March 31, 2015 and 2014. There are no other fees in connection with this credit line.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8 – Stockholders’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Dividend Declared</w:t>
      </w:r>
    </w:p>
    <w:p>
      <w:pPr>
        <w:spacing w:after="0" w:line="1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Dividends declared and paid on Common Stock were $365,505 and $290,664 for the three months ended March 31, 2015 and 2014, respectively. The Company’s Board of Directors approved a quarterly dividend on May 12, 2015 of $.05 per share payable in cash on June 15, 2015 to stockholders of record as of June 1, 2015 (see Note 13).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Stock Options</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Effective August 12, 2014, the Company adopted the 2014 Equity Participation Plan (the “2014 Plan”) pursuant to which, subject to shareholder approval on or before August 12, 2015 a maximum of 700,000 shares of common stock of the Company are authorized to be issued pursuant to the grant of incentive stock options, non-statutory stock options, stock appreciation rights, restricted stock and stock bonuses. Incentive stock options granted under the 2014 Plan and 2005 Plan expire no later than ten years from the date of grant (except no later than five years for a grant to a 10% stockholder). The Board of Directors or the Stock Option Committee determines the expiration date with respect to non-statutory stock options and the vesting provisions for restricted stock granted under the 2014 Plan and 2005 Plan.</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results of operations for the three months ended March 31, 2015 and 2014 include stock-based stock option compensation expense totaling approximately $39,000 and $13,000, respectively. Stock-based compensation expense related to stock options for the three months ended March 31, 2015 and 2014 is net of estimated forfeitures of 17% and 20%, respectively. Such amounts have been included in the condensed consolidated statements of income and comprehensive income within other operating expenses.</w:t>
      </w:r>
    </w:p>
    <w:p>
      <w:pPr>
        <w:spacing w:after="0" w:line="1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Stock-based compensation expense in 2015 and 2014 is the estimated fair value of options granted amortized on a straight-line basis over the requisite service period for the entire portion of the award. No stock options were granted during the three months ended March 31, 2015 and 2014.</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color w:val="auto"/>
        </w:rPr>
        <w:t>A summary of option activity under the Company’s 2005 Plan for the three months ended March 31, 2015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5"/>
              </w:rPr>
              <w:t>Weighted Average Exercise</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Weighted Average</w:t>
            </w: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960" w:type="dxa"/>
            <w:vAlign w:val="bottom"/>
            <w:vMerge w:val="restart"/>
          </w:tcPr>
          <w:p>
            <w:pPr>
              <w:ind w:left="2620"/>
              <w:spacing w:after="0"/>
              <w:rPr>
                <w:sz w:val="20"/>
                <w:szCs w:val="20"/>
                <w:color w:val="auto"/>
              </w:rPr>
            </w:pPr>
            <w:r>
              <w:rPr>
                <w:rFonts w:ascii="Times New Roman" w:cs="Times New Roman" w:eastAsia="Times New Roman" w:hAnsi="Times New Roman"/>
                <w:sz w:val="12"/>
                <w:szCs w:val="12"/>
                <w:color w:val="auto"/>
              </w:rPr>
              <w:t>Stock Options</w:t>
            </w:r>
          </w:p>
        </w:tc>
        <w:tc>
          <w:tcPr>
            <w:tcW w:w="100" w:type="dxa"/>
            <w:vAlign w:val="bottom"/>
          </w:tcPr>
          <w:p>
            <w:pPr>
              <w:spacing w:after="0"/>
              <w:rPr>
                <w:sz w:val="8"/>
                <w:szCs w:val="8"/>
                <w:color w:val="auto"/>
              </w:rPr>
            </w:pPr>
          </w:p>
        </w:tc>
        <w:tc>
          <w:tcPr>
            <w:tcW w:w="13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2"/>
                <w:szCs w:val="12"/>
                <w:color w:val="auto"/>
              </w:rPr>
              <w:t>Number of Shares</w:t>
            </w:r>
          </w:p>
        </w:tc>
        <w:tc>
          <w:tcPr>
            <w:tcW w:w="10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138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5"/>
              </w:rPr>
              <w:t>Remaining Contractual</w:t>
            </w:r>
          </w:p>
        </w:tc>
        <w:tc>
          <w:tcPr>
            <w:tcW w:w="12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5"/>
              </w:rPr>
              <w:t>Aggregate Intrinsic Value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Price per Share</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1"/>
              </w:rPr>
              <w:t>Term</w:t>
            </w:r>
          </w:p>
        </w:tc>
        <w:tc>
          <w:tcPr>
            <w:tcW w:w="12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January 1, 2015</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421,250</w:t>
            </w: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5.16</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3.13</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1,258,013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Granted</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Exercised</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(120,000)</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2.50</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650,400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March 31, 2015 (1)</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301,250</w:t>
            </w: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6.22</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4.04</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393,238</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59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 and Exercisable at March 31, 2015</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112,500</w:t>
            </w: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6.06</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3.97</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165,163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(1) On August 12, 2014, an additional 50,000 options were granted under the 2014 Plan, which is subject to shareholder approval.</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aggregate intrinsic value of options outstanding and options exercisable at March 31, 2015 is calculated as the difference between the exercise price of the underlying options and the market price of the Company’s Common Stock for the options that had exercise prices that were lower than the $7.53 closing price of the Company’s Common Stock on March 31, 2015. The total intrinsic value of options exercised in the three months ended March 31, 2015 was $650,400, determined as of the date of exercise.</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Participants in the 2014 Plan and 2005 Plan may exercise their outstanding vested options, in whole or in part, by having the Company reduce the number of shares otherwise issuable by a number of shares having a fair market value equal to the exercise price of the option being exercised (“Net Exercise”). All of the 120,000 options exercised during the three months ended March 31, 2015 were Net Exercises. No options were exercised during the three months ended March 31, 2014</w:t>
      </w:r>
    </w:p>
    <w:p>
      <w:pPr>
        <w:spacing w:after="0" w:line="1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As of March 31, 2015, the fair value of unamortized compensation cost related to unvested stock option awards was approximately $123,000, respectively. Unamortized compensation cost as of March 31, 2015 is expected to be recognized over a remaining weighted-average vesting period of .99 years.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2015, there were 1,135 shares reserved for grants under the 2005 Plan and 650,000 shares reserved for grants under the 2014 Plan, which is subject to shareholder approval.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9 – Income Taxes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Income taxes for the three months ended March 31, 2015 and 2014 were computed using the effective tax rate estimated to be applicable for the full year, which is subject to ongoing review and evaluation by management. The Company files a consolidated U.S. federal income tax return that includes all wholly owned subsidiaries. State tax returns are filed on a consolidated or separate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financial statements taken as a whole for the respective periods. The Company has evaluated this year’s amounts in relation to the current and prior reporting periods and determined that a restatement of those prior reporting periods is not appropriate. The Company’s effective tax rate from operations for the three months ended March 31, 2015 and 2014 was 33.4% and 31.8%, respectively.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26" w:name="page27"/>
    <w:bookmarkEnd w:id="26"/>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 reflect temporary differences between the carrying amounts of the assets and liabilities for financial reporting purposes and income tax purposes, tax effected at a various rates depending on whether the temporary differences are subject to federal taxes, state taxes, or both. Significant components of the Company’s deferred tax assets and liabilities are as follows: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60" w:type="dxa"/>
            <w:vAlign w:val="bottom"/>
          </w:tcPr>
          <w:p>
            <w:pPr>
              <w:spacing w:after="0"/>
              <w:rPr>
                <w:sz w:val="10"/>
                <w:szCs w:val="10"/>
                <w:color w:val="auto"/>
              </w:rPr>
            </w:pP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34"/>
        </w:trPr>
        <w:tc>
          <w:tcPr>
            <w:tcW w:w="5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0"/>
                <w:szCs w:val="10"/>
                <w:b w:val="1"/>
                <w:bCs w:val="1"/>
                <w:color w:val="auto"/>
              </w:rPr>
              <w:t>2015</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2014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5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tax asset: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operating loss carryovers (1)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178,199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211,550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Claims reserve discount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619,504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562,941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Unearned premium</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1,802,536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1,741,360</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ceding commission revenue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2,006,871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2,025,224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50,852</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88,148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deferred tax assets</w:t>
            </w: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4,657,962</w:t>
            </w: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4,629,223</w:t>
            </w:r>
          </w:p>
        </w:tc>
        <w:tc>
          <w:tcPr>
            <w:tcW w:w="120" w:type="dxa"/>
            <w:vAlign w:val="bottom"/>
            <w:tcBorders>
              <w:top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tax liability: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Investment in KICO (2)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1,169,000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1,169,000</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acquisition costs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3,072,228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3,055,234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Intangibles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718,964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759,400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331,059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291,689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unrealized appreciation of securities - available for sale</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756,878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491,080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deferred tax liabilities</w:t>
            </w: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6,048,129</w:t>
            </w: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5,766,403</w:t>
            </w:r>
          </w:p>
        </w:tc>
        <w:tc>
          <w:tcPr>
            <w:tcW w:w="120" w:type="dxa"/>
            <w:vAlign w:val="bottom"/>
            <w:tcBorders>
              <w:top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deferred income tax liability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(1,390,167)</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(1,137,180)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_____________________________</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7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(1) The deferred tax assets from net operating loss carryovers (“NOL”) are as follows: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5740" w:type="dxa"/>
            <w:vAlign w:val="bottom"/>
            <w:vMerge w:val="restart"/>
          </w:tcPr>
          <w:p>
            <w:pPr>
              <w:ind w:left="2600"/>
              <w:spacing w:after="0"/>
              <w:rPr>
                <w:sz w:val="20"/>
                <w:szCs w:val="20"/>
                <w:color w:val="auto"/>
              </w:rPr>
            </w:pPr>
            <w:r>
              <w:rPr>
                <w:rFonts w:ascii="Times New Roman" w:cs="Times New Roman" w:eastAsia="Times New Roman" w:hAnsi="Times New Roman"/>
                <w:sz w:val="10"/>
                <w:szCs w:val="10"/>
                <w:b w:val="1"/>
                <w:bCs w:val="1"/>
                <w:color w:val="auto"/>
              </w:rPr>
              <w:t>Type of NOL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4"/>
          </w:tcPr>
          <w:p>
            <w:pPr>
              <w:jc w:val="center"/>
              <w:ind w:right="84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1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74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0"/>
                <w:szCs w:val="10"/>
                <w:b w:val="1"/>
                <w:bCs w:val="1"/>
                <w:color w:val="auto"/>
              </w:rPr>
              <w:t>2015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2014</w:t>
            </w:r>
          </w:p>
        </w:tc>
        <w:tc>
          <w:tcPr>
            <w:tcW w:w="1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State only (A)</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537,300</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567,188</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December 31, 2035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Valuation allowance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(315,438)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(372,638)</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State only, net of valuation allowance</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221,862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194,550</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Amount subject to Annual Limitation, federal only (B)</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17,000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17,000</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December 31, 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deferred tax asset from net operating loss carryovers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238,862</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211,550</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8" w:hanging="8"/>
        <w:spacing w:after="0" w:line="258" w:lineRule="auto"/>
        <w:tabs>
          <w:tab w:leader="none" w:pos="219"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Kingstone generates operating losses for state purposes and has prior year NOLs available. The state NOL as of March 31, 2015 and December 31, 2014 was approximately $7,402,000 and $6,834,000, respectively. KICO, the Company’s insurance underwriting subsidiary, is not subject to state income taxes. KICO’s state tax obligations are paid through a gross premiums tax, which is included in the condensed consolidated statements of income and comprehensive income within other underwriting expenses. A valuation allowance has been recorded due to the uncertainty of generating enough state taxable income to utilize 100% of the available state NOLs over their remaining lives, which expire between 2027 and 2035. Effective January 1, 2015, the enacted state tax rate was reduced to 6.5% from 8.33%, resulting in a current period decrease in the available benefit of the state NOL, net of the corresponding valuation adjustment. The decrease in the available benefit of the state net NOL increased the tax provision in the current period by $49,881.</w:t>
      </w:r>
    </w:p>
    <w:p>
      <w:pPr>
        <w:spacing w:after="0" w:line="24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0" w:right="199" w:bottom="1440" w:gutter="0" w:footer="0" w:header="0"/>
        </w:sectPr>
      </w:pPr>
    </w:p>
    <w:bookmarkStart w:id="27" w:name="page28"/>
    <w:bookmarkEnd w:id="27"/>
    <w:p>
      <w:pPr>
        <w:ind w:left="8" w:hanging="8"/>
        <w:spacing w:after="0" w:line="280" w:lineRule="auto"/>
        <w:tabs>
          <w:tab w:leader="none" w:pos="201"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an NOL of $40,000 that is subject to Internal Revenue Code Section 382, which places a limitation on the utilization of the federal NOL loss to approximately $10,000 per year (“Annual Limitation”) as a result of a greater than 50% ownership change of the Company in 1999. The losses subject to the Annual Limitation will be available for future years, expiring through December 31, 2019.</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(2) Deferred tax liability - investment in KICO</w:t>
      </w:r>
    </w:p>
    <w:p>
      <w:pPr>
        <w:spacing w:after="0" w:line="168"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Under GAAP guidance for business combinations, a temporary difference with an indefinite life exists when the parent has a lower carrying value of its subsidiary for income tax purposes. The Company is required to maintain its deferred tax liability of $1,169,000 related to this temporary difference until the stock of KICO is sold, or the assets of KICO are sold or KICO and the parent are merged.</w:t>
      </w:r>
    </w:p>
    <w:p>
      <w:pPr>
        <w:spacing w:after="0" w:line="14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37"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The Company had no material unrecognized tax benefit and no adjustments to liabilities or operations were required. There were no interest or penalties related to income taxes that have been accrued or recognized as of and for the three months ended March 31, 2015 and 2014. If any had been recognized these would be reported in income tax expense.</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IRS Tax Audit</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tax returns for years ended December 31, 2011 through 2014 are subject to examination, generally for three years after filing.</w:t>
      </w:r>
    </w:p>
    <w:p>
      <w:pPr>
        <w:spacing w:after="0" w:line="168" w:lineRule="exact"/>
        <w:rPr>
          <w:sz w:val="20"/>
          <w:szCs w:val="20"/>
          <w:color w:val="auto"/>
        </w:rPr>
      </w:pPr>
    </w:p>
    <w:p>
      <w:pPr>
        <w:jc w:val="both"/>
        <w:ind w:left="8" w:right="20"/>
        <w:spacing w:after="0" w:line="280" w:lineRule="auto"/>
        <w:rPr>
          <w:sz w:val="20"/>
          <w:szCs w:val="20"/>
          <w:color w:val="auto"/>
        </w:rPr>
      </w:pPr>
      <w:r>
        <w:rPr>
          <w:rFonts w:ascii="Times New Roman" w:cs="Times New Roman" w:eastAsia="Times New Roman" w:hAnsi="Times New Roman"/>
          <w:sz w:val="12"/>
          <w:szCs w:val="12"/>
          <w:color w:val="auto"/>
        </w:rPr>
        <w:t>In March 2014, the Company received a notice that its federal income tax returns for the years ended December 31, 2011 and 2012 were selected for examination by the Internal Revenue Service. On March 31, 2014, the Company was notified that the examination was cancelled.</w:t>
      </w:r>
    </w:p>
    <w:p>
      <w:pPr>
        <w:spacing w:after="0" w:line="1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10 - Net Income Per Common Share</w:t>
      </w:r>
    </w:p>
    <w:p>
      <w:pPr>
        <w:spacing w:after="0" w:line="17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Basic net earnings per common share is computed by dividing income available to common shareholders by the weighted-average number of common shares outstanding. Diluted earnings per share reflect, in periods in which they have a dilutive effect, the impact of common shares issuable upon exercise of stock options. The computation of diluted earnings per share excludes those options with an exercise price in excess of the average market price of the Company’s common shares during the periods presented.</w:t>
      </w:r>
    </w:p>
    <w:p>
      <w:pPr>
        <w:spacing w:after="0" w:line="2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0" w:right="199" w:bottom="1440" w:gutter="0" w:footer="0" w:header="0"/>
        </w:sectPr>
      </w:pPr>
    </w:p>
    <w:bookmarkStart w:id="28" w:name="page29"/>
    <w:bookmarkEnd w:id="28"/>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computation of diluted earnings per share excludes outstanding options in periods where the exercise of such options would be anti-dilutive. For the three months ended March 31, 2015 and 2014, the inclusion of 77,500 and 7,500 options in the computation of diluted earnings per share would have been anti-dilutive for the periods and, as a result, the weighted average number of common shares used in the calculation of diluted earnings per share has not been adjusted for the effect of such options.</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reconciliation of the weighted average number of common shares used in the calculation of basic and diluted earnings per share follows:</w:t>
      </w:r>
    </w:p>
    <w:p>
      <w:pPr>
        <w:spacing w:after="0" w:line="208"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11"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0"/>
          <w:szCs w:val="1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-4445</wp:posOffset>
            </wp:positionV>
            <wp:extent cx="160147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01470" cy="11430"/>
                    </a:xfrm>
                    <a:prstGeom prst="rect">
                      <a:avLst/>
                    </a:prstGeom>
                    <a:noFill/>
                  </pic:spPr>
                </pic:pic>
              </a:graphicData>
            </a:graphic>
          </wp:anchor>
        </w:drawing>
      </w:r>
    </w:p>
    <w:p>
      <w:pPr>
        <w:spacing w:after="0" w:line="19" w:lineRule="exact"/>
        <w:rPr>
          <w:sz w:val="20"/>
          <w:szCs w:val="20"/>
          <w:color w:val="auto"/>
        </w:rPr>
      </w:pPr>
    </w:p>
    <w:tbl>
      <w:tblPr>
        <w:tblLayout w:type="fixed"/>
        <w:tblInd w:w="286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1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2015</w:t>
            </w:r>
          </w:p>
        </w:tc>
        <w:tc>
          <w:tcPr>
            <w:tcW w:w="220" w:type="dxa"/>
            <w:vAlign w:val="bottom"/>
          </w:tcPr>
          <w:p>
            <w:pPr>
              <w:spacing w:after="0"/>
              <w:rPr>
                <w:sz w:val="10"/>
                <w:szCs w:val="10"/>
                <w:color w:val="auto"/>
              </w:rPr>
            </w:pPr>
          </w:p>
        </w:tc>
        <w:tc>
          <w:tcPr>
            <w:tcW w:w="11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0"/>
                <w:szCs w:val="10"/>
                <w:b w:val="1"/>
                <w:bCs w:val="1"/>
                <w:color w:val="auto"/>
              </w:rPr>
              <w:t>2014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7,318,271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7,266,573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Effect of dilutive securities, common share equivalents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26,292</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used for computing diluted earnings per share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7,344,563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7,372,149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11 - Commitments and Contingencies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Litigation</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From time to time, the Company is involved in various legal proceedings in the ordinary course of business. For example, to the extent a claim asserted by a third party in a law 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not subject to any other pending legal proceedings that management believes are likely to have a material adverse effect on the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State Insurance Regulation</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In the aftermath of Superstorm Sandy, the New York State Department of Financial Services (the “DFS”) adopted various regulations that affect insurance companies that operate in the state of New York. Included among the regulations are accelerated claims investigation and settlement requirements and mandatory participation in non-binding mediation proceedings funded by the insurer. Further, in February 2013, the state of New York announced that the DFS commenced an investigation into the claims practices of three insurance companies, including KICO, in connection with Superstorm Sandy claims. The DFS stated that the three insurers had a much larger than average consumer complaint rate with regard to Superstorm Sandy claims and indicated that the three insurers were being investigated for (i) failure to send adjusters in a timely manner; (ii) failure to process claims in a timely manner; and (iii) inability of homeowners to contact insurance company representatives. KICO received a letter from the DFS seeking information and data with regard to the foregoing. KICO has cooperated with the DFS in connection with its investigation. On March 14, 2013, KICO supplied requested information and met with the DFS on May 23, 2013. KICO has not received a response from the DFS since its meeting on May 23, 2013 and believes that such matter will not have any effect on the Company’s financial position or results of operations.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auto"/>
        </w:rPr>
        <w:t>Office Lease</w:t>
      </w:r>
    </w:p>
    <w:p>
      <w:pPr>
        <w:spacing w:after="0" w:line="1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On March 27, 2015, the Company entered into a lease agreement for an additional office facility for KICO located in Valley Stream, NY under a non-cancelable operating lease. In addition to the base rental costs, occupancy lease agreements generally provide for rent escalations resulting from increased assessments from real estate taxes and other charges.</w:t>
      </w:r>
    </w:p>
    <w:p>
      <w:pPr>
        <w:spacing w:after="0" w:line="12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lease commencement date will be determined upon the completion of landlord provided construction, which the Company expects to be on or about July 1, 2015. Rent commencement begins six months after the lease commencement date. The lease has a term of seven years and six months.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Rent expense under the lease will be recognized on a straight-line basis over the lease term.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2015, aggregate future minimum rental commitments under this agreement are as follows:</w:t>
      </w:r>
    </w:p>
    <w:p>
      <w:pPr>
        <w:spacing w:after="0" w:line="190"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0"/>
          <w:szCs w:val="10"/>
          <w:b w:val="1"/>
          <w:bCs w:val="1"/>
          <w:color w:val="auto"/>
        </w:rPr>
        <w:t>For the Year</w:t>
      </w:r>
    </w:p>
    <w:p>
      <w:pPr>
        <w:spacing w:after="0" w:line="11"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0"/>
          <w:szCs w:val="10"/>
          <w:b w:val="1"/>
          <w:bCs w:val="1"/>
          <w:color w:val="auto"/>
        </w:rPr>
        <w:t>Ending</w:t>
      </w:r>
    </w:p>
    <w:p>
      <w:pPr>
        <w:spacing w:after="0" w:line="21" w:lineRule="exact"/>
        <w:rPr>
          <w:sz w:val="20"/>
          <w:szCs w:val="20"/>
          <w:color w:val="auto"/>
        </w:rPr>
      </w:pPr>
    </w:p>
    <w:tbl>
      <w:tblPr>
        <w:tblLayout w:type="fixed"/>
        <w:tblInd w:w="2860" w:type="dxa"/>
        <w:tblCellMar>
          <w:top w:w="0" w:type="dxa"/>
          <w:left w:w="0" w:type="dxa"/>
          <w:bottom w:w="0" w:type="dxa"/>
          <w:right w:w="0" w:type="dxa"/>
        </w:tblCellMar>
      </w:tblPr>
      <w:tr>
        <w:trPr>
          <w:trHeight w:val="116"/>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10"/>
                <w:szCs w:val="10"/>
                <w:color w:val="auto"/>
              </w:rPr>
            </w:pPr>
          </w:p>
        </w:tc>
      </w:tr>
      <w:tr>
        <w:trPr>
          <w:trHeight w:val="142"/>
        </w:trPr>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2015</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100,750</w:t>
            </w:r>
          </w:p>
        </w:tc>
        <w:tc>
          <w:tcPr>
            <w:tcW w:w="120" w:type="dxa"/>
            <w:vAlign w:val="bottom"/>
          </w:tcPr>
          <w:p>
            <w:pPr>
              <w:spacing w:after="0"/>
              <w:rPr>
                <w:sz w:val="12"/>
                <w:szCs w:val="12"/>
                <w:color w:val="auto"/>
              </w:rPr>
            </w:pPr>
          </w:p>
        </w:tc>
      </w:tr>
      <w:tr>
        <w:trPr>
          <w:trHeight w:val="144"/>
        </w:trPr>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2017</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104,276</w:t>
            </w:r>
          </w:p>
        </w:tc>
        <w:tc>
          <w:tcPr>
            <w:tcW w:w="120" w:type="dxa"/>
            <w:vAlign w:val="bottom"/>
            <w:shd w:val="clear" w:color="auto" w:fill="CCEEFF"/>
          </w:tcPr>
          <w:p>
            <w:pPr>
              <w:spacing w:after="0"/>
              <w:rPr>
                <w:sz w:val="12"/>
                <w:szCs w:val="12"/>
                <w:color w:val="auto"/>
              </w:rPr>
            </w:pPr>
          </w:p>
        </w:tc>
      </w:tr>
      <w:tr>
        <w:trPr>
          <w:trHeight w:val="144"/>
        </w:trPr>
        <w:tc>
          <w:tcPr>
            <w:tcW w:w="4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2018</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107,926</w:t>
            </w:r>
          </w:p>
        </w:tc>
        <w:tc>
          <w:tcPr>
            <w:tcW w:w="120" w:type="dxa"/>
            <w:vAlign w:val="bottom"/>
          </w:tcPr>
          <w:p>
            <w:pPr>
              <w:spacing w:after="0"/>
              <w:rPr>
                <w:sz w:val="12"/>
                <w:szCs w:val="12"/>
                <w:color w:val="auto"/>
              </w:rPr>
            </w:pPr>
          </w:p>
        </w:tc>
      </w:tr>
      <w:tr>
        <w:trPr>
          <w:trHeight w:val="144"/>
        </w:trPr>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2019</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111,703</w:t>
            </w:r>
          </w:p>
        </w:tc>
      </w:tr>
      <w:tr>
        <w:trPr>
          <w:trHeight w:val="144"/>
        </w:trPr>
        <w:tc>
          <w:tcPr>
            <w:tcW w:w="4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Thereafter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359,119</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4"/>
              </w:rPr>
              <w:t>Total</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783,774</w:t>
            </w:r>
          </w:p>
        </w:tc>
        <w:tc>
          <w:tcPr>
            <w:tcW w:w="120" w:type="dxa"/>
            <w:vAlign w:val="bottom"/>
            <w:shd w:val="clear" w:color="auto" w:fill="CCEEFF"/>
          </w:tcPr>
          <w:p>
            <w:pPr>
              <w:spacing w:after="0"/>
              <w:rPr>
                <w:sz w:val="14"/>
                <w:szCs w:val="14"/>
                <w:color w:val="auto"/>
              </w:rPr>
            </w:pPr>
          </w:p>
        </w:tc>
      </w:tr>
      <w:tr>
        <w:trPr>
          <w:trHeight w:val="20"/>
        </w:trPr>
        <w:tc>
          <w:tcPr>
            <w:tcW w:w="4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was no rent expense for the three months March 31, 2015 and 2014.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12 – Premium Finance Placement Fees</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Company’s wholly owned subsidiary, Payments Inc. (“Payments”), is licensed as a premium finance agency in the state of New York. Prior to February 1, 2008, Payments provided premium financing in connection with the obtaining of insurance policies. Effective February 1, 2008, Payments sold its outstanding premium finance loan portfolio. The purchaser of the portfolio (the “Purchaser”) agreed that, during the five year period ended February 1, 2013 (which period was extended to February 1, 2015), it would purchase, assume and service all eligible premium finance contracts originated by Payments in the state of New York (the “Agreement”). In connection with such purchases, Payments was entitled to receive a fee generally equal to a percentage of the amount financed.</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July 17, 2014, the Purchaser terminated the Agreement effective February 1, 2015. Following any expiration or termination of the obligation of the Purchaser to purchase premium finance contracts, Payments was entitled to receive the fees for an additional two years (“Termination Period”) with regard to contracts for policies from the Company’s producers. On March 26, 2015, the Company and the Purchaser agreed to amend the Termination Period to end as of March 31, 2015. The Company received a one-time payment of $350,000 in exchange for the fees that the Company would have received during the Termination Period. The Company’s premium financing business consisted of the placement fees that Payments earned from placing contracts.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color w:val="auto"/>
        </w:rPr>
        <w:t>Placement fee revenue included in other income and the related direct expenses included in other operating expenses in the condensed consolidated statements of net income and comprehensive income are as follows (unaudited):</w:t>
      </w:r>
    </w:p>
    <w:p>
      <w:pPr>
        <w:spacing w:after="0" w:line="204"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p>
      <w:pPr>
        <w:jc w:val="center"/>
        <w:ind w:left="2980"/>
        <w:spacing w:after="0" w:line="236" w:lineRule="auto"/>
        <w:rPr>
          <w:sz w:val="20"/>
          <w:szCs w:val="20"/>
          <w:color w:val="auto"/>
        </w:rPr>
      </w:pPr>
      <w:r>
        <w:rPr>
          <w:rFonts w:ascii="Times New Roman" w:cs="Times New Roman" w:eastAsia="Times New Roman" w:hAnsi="Times New Roman"/>
          <w:sz w:val="10"/>
          <w:szCs w:val="1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-5715</wp:posOffset>
            </wp:positionV>
            <wp:extent cx="1607185"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07185" cy="11430"/>
                    </a:xfrm>
                    <a:prstGeom prst="rect">
                      <a:avLst/>
                    </a:prstGeom>
                    <a:noFill/>
                  </pic:spPr>
                </pic:pic>
              </a:graphicData>
            </a:graphic>
          </wp:anchor>
        </w:drawing>
      </w:r>
    </w:p>
    <w:p>
      <w:pPr>
        <w:spacing w:after="0" w:line="17" w:lineRule="exact"/>
        <w:rPr>
          <w:sz w:val="20"/>
          <w:szCs w:val="20"/>
          <w:color w:val="auto"/>
        </w:rPr>
      </w:pPr>
    </w:p>
    <w:tbl>
      <w:tblPr>
        <w:tblLayout w:type="fixed"/>
        <w:tblInd w:w="2860" w:type="dxa"/>
        <w:tblCellMar>
          <w:top w:w="0" w:type="dxa"/>
          <w:left w:w="0" w:type="dxa"/>
          <w:bottom w:w="0" w:type="dxa"/>
          <w:right w:w="0" w:type="dxa"/>
        </w:tblCellMar>
      </w:tblPr>
      <w:tr>
        <w:trPr>
          <w:trHeight w:val="116"/>
        </w:trPr>
        <w:tc>
          <w:tcPr>
            <w:tcW w:w="3100" w:type="dxa"/>
            <w:vAlign w:val="bottom"/>
          </w:tcPr>
          <w:p>
            <w:pPr>
              <w:spacing w:after="0"/>
              <w:rPr>
                <w:sz w:val="10"/>
                <w:szCs w:val="10"/>
                <w:color w:val="auto"/>
              </w:rPr>
            </w:pPr>
          </w:p>
        </w:tc>
        <w:tc>
          <w:tcPr>
            <w:tcW w:w="7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2015</w:t>
            </w:r>
          </w:p>
        </w:tc>
        <w:tc>
          <w:tcPr>
            <w:tcW w:w="4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0"/>
                <w:szCs w:val="10"/>
                <w:b w:val="1"/>
                <w:bCs w:val="1"/>
                <w:color w:val="auto"/>
              </w:rPr>
              <w:t>2014</w:t>
            </w:r>
          </w:p>
        </w:tc>
        <w:tc>
          <w:tcPr>
            <w:tcW w:w="120" w:type="dxa"/>
            <w:vAlign w:val="bottom"/>
          </w:tcPr>
          <w:p>
            <w:pPr>
              <w:spacing w:after="0"/>
              <w:rPr>
                <w:sz w:val="10"/>
                <w:szCs w:val="10"/>
                <w:color w:val="auto"/>
              </w:rPr>
            </w:pPr>
          </w:p>
        </w:tc>
      </w:tr>
      <w:tr>
        <w:trPr>
          <w:trHeight w:val="142"/>
        </w:trPr>
        <w:tc>
          <w:tcPr>
            <w:tcW w:w="3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Placement fee revenue</w:t>
            </w:r>
          </w:p>
        </w:tc>
        <w:tc>
          <w:tcPr>
            <w:tcW w:w="720" w:type="dxa"/>
            <w:vAlign w:val="bottom"/>
            <w:shd w:val="clear" w:color="auto" w:fill="CCEEFF"/>
          </w:tcPr>
          <w:p>
            <w:pPr>
              <w:jc w:val="right"/>
              <w:ind w:right="60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54,343</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69,443</w:t>
            </w:r>
          </w:p>
        </w:tc>
      </w:tr>
      <w:tr>
        <w:trPr>
          <w:trHeight w:val="144"/>
        </w:trPr>
        <w:tc>
          <w:tcPr>
            <w:tcW w:w="3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Early termination fee</w:t>
            </w: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r>
      <w:tr>
        <w:trPr>
          <w:trHeight w:val="14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Direct expenses</w:t>
            </w:r>
          </w:p>
        </w:tc>
        <w:tc>
          <w:tcPr>
            <w:tcW w:w="7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(12,989)</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(11,538)</w:t>
            </w:r>
          </w:p>
        </w:tc>
      </w:tr>
      <w:tr>
        <w:trPr>
          <w:trHeight w:val="20"/>
        </w:trPr>
        <w:tc>
          <w:tcPr>
            <w:tcW w:w="3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Net income before taxes from placement fees</w:t>
            </w:r>
          </w:p>
        </w:tc>
        <w:tc>
          <w:tcPr>
            <w:tcW w:w="720" w:type="dxa"/>
            <w:vAlign w:val="bottom"/>
          </w:tcPr>
          <w:p>
            <w:pPr>
              <w:jc w:val="right"/>
              <w:ind w:right="60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391,354</w:t>
            </w:r>
          </w:p>
        </w:tc>
        <w:tc>
          <w:tcPr>
            <w:tcW w:w="220" w:type="dxa"/>
            <w:vAlign w:val="bottom"/>
          </w:tcPr>
          <w:p>
            <w:pPr>
              <w:spacing w:after="0"/>
              <w:rPr>
                <w:sz w:val="12"/>
                <w:szCs w:val="12"/>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57,905</w:t>
            </w:r>
          </w:p>
        </w:tc>
      </w:tr>
      <w:tr>
        <w:trPr>
          <w:trHeight w:val="20"/>
        </w:trPr>
        <w:tc>
          <w:tcPr>
            <w:tcW w:w="3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13 – Subsequent Events</w:t>
      </w:r>
    </w:p>
    <w:p>
      <w:pPr>
        <w:spacing w:after="0" w:line="17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The Company has evaluated events that occurred subsequent to March 31, 2015 through the date these financial statements were issued for matters that required disclosure or adjustment in these condensed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Dividends Declared and Paid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May 12, 2015, the Company’s Board of Directors approved a dividend of $.05 per share payable in cash on June 15, 2015 to stockholders of record as of June 1, 2015.</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0" w:right="219" w:bottom="1440" w:gutter="0" w:footer="0" w:header="0"/>
        </w:sectPr>
      </w:pPr>
    </w:p>
    <w:bookmarkStart w:id="31" w:name="page32"/>
    <w:bookmarkEnd w:id="31"/>
    <w:p>
      <w:pPr>
        <w:spacing w:after="0"/>
        <w:tabs>
          <w:tab w:leader="none" w:pos="1080" w:val="left"/>
        </w:tabs>
        <w:rPr>
          <w:sz w:val="20"/>
          <w:szCs w:val="20"/>
          <w:color w:val="auto"/>
        </w:rPr>
      </w:pPr>
      <w:r>
        <w:rPr>
          <w:rFonts w:ascii="Times New Roman" w:cs="Times New Roman" w:eastAsia="Times New Roman" w:hAnsi="Times New Roman"/>
          <w:sz w:val="12"/>
          <w:szCs w:val="12"/>
          <w:b w:val="1"/>
          <w:bCs w:val="1"/>
          <w:u w:val="single" w:color="auto"/>
          <w:color w:val="auto"/>
        </w:rPr>
        <w:t>ITEM 2</w:t>
      </w:r>
      <w:r>
        <w:rPr>
          <w:rFonts w:ascii="Times New Roman" w:cs="Times New Roman" w:eastAsia="Times New Roman" w:hAnsi="Times New Roman"/>
          <w:sz w:val="12"/>
          <w:szCs w:val="12"/>
          <w:b w:val="1"/>
          <w:bCs w:val="1"/>
          <w:color w:val="auto"/>
        </w:rPr>
        <w:t>.</w:t>
      </w:r>
      <w:r>
        <w:rPr>
          <w:sz w:val="20"/>
          <w:szCs w:val="20"/>
          <w:color w:val="auto"/>
        </w:rPr>
        <w:tab/>
      </w:r>
      <w:r>
        <w:rPr>
          <w:rFonts w:ascii="Times New Roman" w:cs="Times New Roman" w:eastAsia="Times New Roman" w:hAnsi="Times New Roman"/>
          <w:sz w:val="11"/>
          <w:szCs w:val="11"/>
          <w:b w:val="1"/>
          <w:bCs w:val="1"/>
          <w:u w:val="single" w:color="auto"/>
          <w:color w:val="auto"/>
        </w:rPr>
        <w:t>MANAGEMENT’S DISCUSSION AND ANALYSIS OF FINANCIAL CONDITION AND RESULTS OF OPERATIONS</w:t>
      </w:r>
      <w:r>
        <w:rPr>
          <w:rFonts w:ascii="Times New Roman" w:cs="Times New Roman" w:eastAsia="Times New Roman" w:hAnsi="Times New Roman"/>
          <w:sz w:val="11"/>
          <w:szCs w:val="11"/>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72"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We offer property and casualty insurance products to small businesses and individuals in New York State through our subsidiary, Kingstone Insurance Company (“KICO”). KICO’s insureds are located primarily in downstate New York, consisting of New York City, Long Island and Westchester County.</w:t>
      </w:r>
    </w:p>
    <w:p>
      <w:pPr>
        <w:spacing w:after="0" w:line="12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for a one year period. Earned premiums represent premiums received from insureds, which are recognized as revenue over the period of time that insurance coverage is provided (i.e., ratably over the one year life of the policy). A significant period of time normally elapses between the receipt of insurance premiums and the payment of insurance claims. During this time, KICO invests the premiums, earns investment income and generates net realized and unrealized investment gains and losses on investments.</w:t>
      </w:r>
    </w:p>
    <w:p>
      <w:pPr>
        <w:spacing w:after="0" w:line="14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for losses, various loss adjustment expenses (“LAE”) are incurred such as insurance adjusters’ fees and litigation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Other operating expenses include our corporate expenses as a holding company. These expenses include legal and auditing fees, executive employment costs, and other costs directly associated with being a public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Product Lines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product lines include the following:</w:t>
      </w:r>
    </w:p>
    <w:p>
      <w:pPr>
        <w:spacing w:after="0" w:line="164" w:lineRule="exact"/>
        <w:rPr>
          <w:sz w:val="20"/>
          <w:szCs w:val="20"/>
          <w:color w:val="auto"/>
        </w:rPr>
      </w:pPr>
    </w:p>
    <w:p>
      <w:pPr>
        <w:jc w:val="both"/>
        <w:ind w:firstLine="432"/>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 xml:space="preserve">Personal lines. </w:t>
      </w:r>
      <w:r>
        <w:rPr>
          <w:rFonts w:ascii="Times New Roman" w:cs="Times New Roman" w:eastAsia="Times New Roman" w:hAnsi="Times New Roman"/>
          <w:sz w:val="12"/>
          <w:szCs w:val="12"/>
          <w:color w:val="auto"/>
        </w:rPr>
        <w:t>Our largest line of business is personal lines, consisting of homeowners, dwelling fire, 3-4 family dwelling package, cooperative and condominium, renters, equipment breakdown and service line endorsements,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personal umbrella policies.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Commercial liability</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We offer business owners policies, which consist primarily of small business retail risks without a residential exposure. We also write artisan’s liability policies and special multi-peril property and liability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policies.</w:t>
      </w:r>
    </w:p>
    <w:p>
      <w:pPr>
        <w:spacing w:after="0" w:line="153" w:lineRule="exact"/>
        <w:rPr>
          <w:sz w:val="20"/>
          <w:szCs w:val="20"/>
          <w:color w:val="auto"/>
        </w:rPr>
      </w:pPr>
    </w:p>
    <w:p>
      <w:pPr>
        <w:jc w:val="both"/>
        <w:ind w:firstLine="432"/>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 xml:space="preserve">Commercial automobile. </w:t>
      </w:r>
      <w:r>
        <w:rPr>
          <w:rFonts w:ascii="Times New Roman" w:cs="Times New Roman" w:eastAsia="Times New Roman" w:hAnsi="Times New Roman"/>
          <w:sz w:val="12"/>
          <w:szCs w:val="12"/>
          <w:color w:val="auto"/>
        </w:rPr>
        <w:t>We provide physical damage and liability coverage for light vehicles owned by small contractors and artisans. Due to the poor performance of this line, effective October 1, 2014, we decided to no longer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accept new commercial auto policies. In February 2015, we decided to no longer offer renewals to our existing commercial auto policies beginning with those that expired on or after May 1, 2015.</w:t>
      </w:r>
    </w:p>
    <w:p>
      <w:pPr>
        <w:spacing w:after="0" w:line="120" w:lineRule="exact"/>
        <w:rPr>
          <w:sz w:val="20"/>
          <w:szCs w:val="20"/>
          <w:color w:val="auto"/>
        </w:rPr>
      </w:pPr>
    </w:p>
    <w:p>
      <w:pPr>
        <w:jc w:val="both"/>
        <w:ind w:right="20" w:firstLine="432"/>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 xml:space="preserve">Livery physical damage. </w:t>
      </w:r>
      <w:r>
        <w:rPr>
          <w:rFonts w:ascii="Times New Roman" w:cs="Times New Roman" w:eastAsia="Times New Roman" w:hAnsi="Times New Roman"/>
          <w:sz w:val="12"/>
          <w:szCs w:val="12"/>
          <w:color w:val="auto"/>
        </w:rPr>
        <w:t>We write for-hire vehicle physical damage only policies for livery and car service vehicles and taxicabs. These policies insure only the physical damage portion of insurance for such vehicles, with no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liability coverage included.</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Other. </w:t>
      </w:r>
      <w:r>
        <w:rPr>
          <w:rFonts w:ascii="Times New Roman" w:cs="Times New Roman" w:eastAsia="Times New Roman" w:hAnsi="Times New Roman"/>
          <w:sz w:val="12"/>
          <w:szCs w:val="12"/>
          <w:color w:val="auto"/>
        </w:rPr>
        <w:t>We write canine legal liability policies and also have a small participation in mandatory state joint underwriting associations.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b w:val="1"/>
          <w:bCs w:val="1"/>
          <w:color w:val="auto"/>
        </w:rPr>
        <w:t>Key Measures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utilize the following key measures in analyzing the results of our insurance underwriting business:</w:t>
      </w:r>
    </w:p>
    <w:p>
      <w:pPr>
        <w:spacing w:after="0" w:line="164" w:lineRule="exact"/>
        <w:rPr>
          <w:sz w:val="20"/>
          <w:szCs w:val="20"/>
          <w:color w:val="auto"/>
        </w:rPr>
      </w:pPr>
    </w:p>
    <w:p>
      <w:pPr>
        <w:jc w:val="both"/>
        <w:ind w:right="20" w:firstLine="432"/>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 xml:space="preserve">Net loss ratio. </w:t>
      </w:r>
      <w:r>
        <w:rPr>
          <w:rFonts w:ascii="Times New Roman" w:cs="Times New Roman" w:eastAsia="Times New Roman" w:hAnsi="Times New Roman"/>
          <w:sz w:val="12"/>
          <w:szCs w:val="12"/>
          <w:color w:val="auto"/>
        </w:rPr>
        <w:t>The net loss ratio is a measure of the underwriting profitability of an insurance company’s business. Expressed as a percentage, this is the ratio of net losses and loss adjustment expenses (“LAE”) incurred to net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premiums earned.</w:t>
      </w:r>
    </w:p>
    <w:p>
      <w:pPr>
        <w:spacing w:after="0" w:line="120" w:lineRule="exact"/>
        <w:rPr>
          <w:sz w:val="20"/>
          <w:szCs w:val="20"/>
          <w:color w:val="auto"/>
        </w:rPr>
      </w:pPr>
    </w:p>
    <w:p>
      <w:pPr>
        <w:jc w:val="both"/>
        <w:ind w:firstLine="432"/>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Net underwriting expense ratio</w:t>
      </w:r>
      <w:r>
        <w:rPr>
          <w:rFonts w:ascii="Times New Roman" w:cs="Times New Roman" w:eastAsia="Times New Roman" w:hAnsi="Times New Roman"/>
          <w:sz w:val="12"/>
          <w:szCs w:val="12"/>
          <w:color w:val="auto"/>
        </w:rPr>
        <w:t>. The net underwriting expense ratio is a measure of an insurance company’s operational efficiency in administering its business. Expressed as a percentage, this is the ratio of the sum of acquisition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costs (the most significant being commissions paid to our producers) and other underwriting expenses less ceding commission revenue less other income to net premiums earned.</w:t>
      </w:r>
    </w:p>
    <w:p>
      <w:pPr>
        <w:spacing w:after="0" w:line="120" w:lineRule="exact"/>
        <w:rPr>
          <w:sz w:val="20"/>
          <w:szCs w:val="20"/>
          <w:color w:val="auto"/>
        </w:rPr>
      </w:pPr>
    </w:p>
    <w:p>
      <w:pPr>
        <w:jc w:val="both"/>
        <w:ind w:firstLine="432"/>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Net combined ratio</w:t>
      </w:r>
      <w:r>
        <w:rPr>
          <w:rFonts w:ascii="Times New Roman" w:cs="Times New Roman" w:eastAsia="Times New Roman" w:hAnsi="Times New Roman"/>
          <w:sz w:val="12"/>
          <w:szCs w:val="12"/>
          <w:color w:val="auto"/>
        </w:rPr>
        <w:t>. The net combined ratio is a measure of an insurance company’s overall underwriting profit. This is the sum of the net loss and net underwriting expense ratios. If the net combined ratio is at or above 100</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percent, an insurance company cannot be profitable without investment income, and may not be profitable if investment income is insufficient.</w:t>
      </w:r>
    </w:p>
    <w:p>
      <w:pPr>
        <w:spacing w:after="0" w:line="12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Underwriting income</w:t>
      </w:r>
      <w:r>
        <w:rPr>
          <w:rFonts w:ascii="Times New Roman" w:cs="Times New Roman" w:eastAsia="Times New Roman" w:hAnsi="Times New Roman"/>
          <w:sz w:val="12"/>
          <w:szCs w:val="12"/>
          <w:color w:val="auto"/>
        </w:rPr>
        <w:t>. Underwriting income is net pre-tax income attributable to our insurance underwriting business before investment activity. It excludes net investment income, net realized gains from investments,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7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condensed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consolidated financial statements and related notes. In preparing these financial statements, our management has utilized information available including our past history, industry standards and the current economic environment, among other factors, in forming its estimates and judgments of certain amounts included in the consolidated financial statements, giving due consideration to materiality. It is possible that the ultimate outcome as anticipated by our management in formulating its estimates inherent in these financial statements might not materialize. However,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companies in similar businesses.</w:t>
      </w:r>
    </w:p>
    <w:p>
      <w:pPr>
        <w:spacing w:after="0" w:line="14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33" w:name="page34"/>
    <w:bookmarkEnd w:id="33"/>
    <w:p>
      <w:pPr>
        <w:ind w:left="8"/>
        <w:spacing w:after="0"/>
        <w:rPr>
          <w:sz w:val="20"/>
          <w:szCs w:val="20"/>
          <w:color w:val="auto"/>
        </w:rPr>
      </w:pPr>
      <w:r>
        <w:rPr>
          <w:rFonts w:ascii="Times New Roman" w:cs="Times New Roman" w:eastAsia="Times New Roman" w:hAnsi="Times New Roman"/>
          <w:sz w:val="12"/>
          <w:szCs w:val="12"/>
          <w:b w:val="1"/>
          <w:bCs w:val="1"/>
          <w:color w:val="auto"/>
        </w:rPr>
        <w:t>Consolidated Results of Operations</w:t>
      </w:r>
    </w:p>
    <w:p>
      <w:pPr>
        <w:spacing w:after="0" w:line="16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Three Months Ended March 31, 2015 Compared to Three Months Ended March 31, 2014</w:t>
      </w:r>
    </w:p>
    <w:p>
      <w:pPr>
        <w:spacing w:after="0" w:line="17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following table summarizes the changes in the results of our operations (in thousands) for the periods indicated:</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w w:val="99"/>
              </w:rPr>
              <w:t>Three months ended March 31,</w:t>
            </w:r>
          </w:p>
        </w:tc>
        <w:tc>
          <w:tcPr>
            <w:tcW w:w="5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 in thousands)</w:t>
            </w:r>
          </w:p>
        </w:tc>
        <w:tc>
          <w:tcPr>
            <w:tcW w:w="520" w:type="dxa"/>
            <w:vAlign w:val="bottom"/>
          </w:tcPr>
          <w:p>
            <w:pPr>
              <w:spacing w:after="0"/>
              <w:rPr>
                <w:sz w:val="13"/>
                <w:szCs w:val="13"/>
                <w:color w:val="auto"/>
              </w:rPr>
            </w:pPr>
          </w:p>
        </w:tc>
        <w:tc>
          <w:tcPr>
            <w:tcW w:w="82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99"/>
              </w:rPr>
              <w:t>2015</w:t>
            </w: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2014</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20" w:type="dxa"/>
            <w:vAlign w:val="bottom"/>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Percent</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Revenue</w:t>
            </w:r>
            <w:r>
              <w:rPr>
                <w:rFonts w:ascii="Times New Roman" w:cs="Times New Roman" w:eastAsia="Times New Roman" w:hAnsi="Times New Roman"/>
                <w:sz w:val="12"/>
                <w:szCs w:val="12"/>
                <w:color w:val="auto"/>
              </w:rPr>
              <w:t>s</w:t>
            </w:r>
          </w:p>
        </w:tc>
        <w:tc>
          <w:tcPr>
            <w:tcW w:w="4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Direct written premiums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19,489</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16,347</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3,142</w:t>
            </w:r>
          </w:p>
        </w:tc>
        <w:tc>
          <w:tcPr>
            <w:tcW w:w="7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19.2</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Assumed written premiums</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19,497</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16,355</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3,142</w:t>
            </w:r>
          </w:p>
        </w:tc>
        <w:tc>
          <w:tcPr>
            <w:tcW w:w="7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19.2</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top w:val="single" w:sz="8" w:color="CCEEFF"/>
            </w:tcBorders>
            <w:gridSpan w:val="2"/>
          </w:tcPr>
          <w:p>
            <w:pPr>
              <w:ind w:left="120"/>
              <w:spacing w:after="0"/>
              <w:rPr>
                <w:sz w:val="20"/>
                <w:szCs w:val="20"/>
                <w:color w:val="auto"/>
              </w:rPr>
            </w:pPr>
            <w:r>
              <w:rPr>
                <w:rFonts w:ascii="Times New Roman" w:cs="Times New Roman" w:eastAsia="Times New Roman" w:hAnsi="Times New Roman"/>
                <w:sz w:val="12"/>
                <w:szCs w:val="12"/>
                <w:color w:val="auto"/>
              </w:rPr>
              <w:t>Ceded written premiums</w:t>
            </w:r>
          </w:p>
        </w:tc>
        <w:tc>
          <w:tcPr>
            <w:tcW w:w="5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Ceded to quota share treaties</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7,328</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9,024</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(1,696</w:t>
            </w:r>
          </w:p>
        </w:tc>
        <w:tc>
          <w:tcPr>
            <w:tcW w:w="74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(18.8</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Ceded to excess of loss treaties</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200</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107</w:t>
            </w:r>
          </w:p>
        </w:tc>
        <w:tc>
          <w:tcPr>
            <w:tcW w:w="740" w:type="dxa"/>
            <w:vAlign w:val="bottom"/>
          </w:tcPr>
          <w:p>
            <w:pPr>
              <w:spacing w:after="0"/>
              <w:rPr>
                <w:sz w:val="12"/>
                <w:szCs w:val="12"/>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53.5</w:t>
            </w: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Ceded to catastrophe treaties</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984</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546</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438</w:t>
            </w:r>
          </w:p>
        </w:tc>
        <w:tc>
          <w:tcPr>
            <w:tcW w:w="7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80.2</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Total ceded written premiums</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8,619</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9,770</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(1,151</w:t>
            </w:r>
          </w:p>
        </w:tc>
        <w:tc>
          <w:tcPr>
            <w:tcW w:w="7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220" w:type="dxa"/>
            <w:vAlign w:val="bottom"/>
          </w:tcPr>
          <w:p>
            <w:pPr>
              <w:spacing w:after="0"/>
              <w:rPr>
                <w:sz w:val="12"/>
                <w:szCs w:val="12"/>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Net written premiums</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10,878</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6,585</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4,293</w:t>
            </w:r>
          </w:p>
        </w:tc>
        <w:tc>
          <w:tcPr>
            <w:tcW w:w="740" w:type="dxa"/>
            <w:vAlign w:val="bottom"/>
          </w:tcPr>
          <w:p>
            <w:pPr>
              <w:spacing w:after="0"/>
              <w:rPr>
                <w:sz w:val="12"/>
                <w:szCs w:val="12"/>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65.2</w:t>
            </w: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net unearned premiums</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w:t>
            </w:r>
          </w:p>
        </w:tc>
        <w:tc>
          <w:tcPr>
            <w:tcW w:w="94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(659</w:t>
            </w:r>
          </w:p>
        </w:tc>
        <w:tc>
          <w:tcPr>
            <w:tcW w:w="72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8"/>
              </w:rPr>
              <w:t>)</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167</w:t>
            </w:r>
          </w:p>
        </w:tc>
        <w:tc>
          <w:tcPr>
            <w:tcW w:w="7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(25.3</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Net premiums earned</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10,386</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5,926</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4,460</w:t>
            </w:r>
          </w:p>
        </w:tc>
        <w:tc>
          <w:tcPr>
            <w:tcW w:w="740" w:type="dxa"/>
            <w:vAlign w:val="bottom"/>
          </w:tcPr>
          <w:p>
            <w:pPr>
              <w:spacing w:after="0"/>
              <w:rPr>
                <w:sz w:val="12"/>
                <w:szCs w:val="12"/>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75.3</w:t>
            </w: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Ceding commission revenue</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Excluding the effect of catastrophes</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4,204</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3,898</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306</w:t>
            </w: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Effect of catastrophes (1)</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w:t>
            </w:r>
          </w:p>
        </w:tc>
        <w:tc>
          <w:tcPr>
            <w:tcW w:w="9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(517</w:t>
            </w:r>
          </w:p>
        </w:tc>
        <w:tc>
          <w:tcPr>
            <w:tcW w:w="72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8"/>
              </w:rPr>
              <w:t>)</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(598</w:t>
            </w:r>
          </w:p>
        </w:tc>
        <w:tc>
          <w:tcPr>
            <w:tcW w:w="7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115.7</w:t>
            </w: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 ceding commission revenue</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3,089</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3,381</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(292</w:t>
            </w:r>
          </w:p>
        </w:tc>
        <w:tc>
          <w:tcPr>
            <w:tcW w:w="74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(8.6</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Net investment income</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379</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195</w:t>
            </w:r>
          </w:p>
        </w:tc>
        <w:tc>
          <w:tcPr>
            <w:tcW w:w="740" w:type="dxa"/>
            <w:vAlign w:val="bottom"/>
          </w:tcPr>
          <w:p>
            <w:pPr>
              <w:spacing w:after="0"/>
              <w:rPr>
                <w:sz w:val="12"/>
                <w:szCs w:val="12"/>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51.5</w:t>
            </w: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realized gain on investments</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94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188</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(255</w:t>
            </w:r>
          </w:p>
        </w:tc>
        <w:tc>
          <w:tcPr>
            <w:tcW w:w="74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(135.6</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Other income</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228</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403</w:t>
            </w:r>
          </w:p>
        </w:tc>
        <w:tc>
          <w:tcPr>
            <w:tcW w:w="7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176.8</w:t>
            </w:r>
          </w:p>
        </w:tc>
        <w:tc>
          <w:tcPr>
            <w:tcW w:w="220" w:type="dxa"/>
            <w:vAlign w:val="bottom"/>
          </w:tcPr>
          <w:p>
            <w:pPr>
              <w:spacing w:after="0"/>
              <w:rPr>
                <w:sz w:val="12"/>
                <w:szCs w:val="12"/>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revenues</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14,613</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10,102</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4,511</w:t>
            </w:r>
          </w:p>
        </w:tc>
        <w:tc>
          <w:tcPr>
            <w:tcW w:w="7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44.7</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w:t>
            </w:r>
            <w:r>
              <w:rPr>
                <w:rFonts w:ascii="Times New Roman" w:cs="Times New Roman" w:eastAsia="Times New Roman" w:hAnsi="Times New Roman"/>
                <w:sz w:val="12"/>
                <w:szCs w:val="12"/>
                <w:color w:val="auto"/>
              </w:rPr>
              <w:t>s</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Loss and loss adjustment expenses</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Direct and assumed:</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gridSpan w:val="2"/>
          </w:tcPr>
          <w:p>
            <w:pPr>
              <w:ind w:left="220"/>
              <w:spacing w:after="0" w:line="133" w:lineRule="exact"/>
              <w:rPr>
                <w:sz w:val="20"/>
                <w:szCs w:val="20"/>
                <w:color w:val="auto"/>
              </w:rPr>
            </w:pPr>
            <w:r>
              <w:rPr>
                <w:rFonts w:ascii="Times New Roman" w:cs="Times New Roman" w:eastAsia="Times New Roman" w:hAnsi="Times New Roman"/>
                <w:sz w:val="12"/>
                <w:szCs w:val="12"/>
                <w:color w:val="auto"/>
              </w:rPr>
              <w:t>Loss and loss adjustment expenses</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excluding the effect of catastrophes</w:t>
            </w:r>
          </w:p>
        </w:tc>
        <w:tc>
          <w:tcPr>
            <w:tcW w:w="5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8,426</w:t>
            </w: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7,279</w:t>
            </w: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1,147</w:t>
            </w:r>
          </w:p>
        </w:tc>
        <w:tc>
          <w:tcPr>
            <w:tcW w:w="740" w:type="dxa"/>
            <w:vAlign w:val="bottom"/>
          </w:tcPr>
          <w:p>
            <w:pPr>
              <w:spacing w:after="0"/>
              <w:rPr>
                <w:sz w:val="13"/>
                <w:szCs w:val="13"/>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15.8</w:t>
            </w: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Losses from catastrophes (1)</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4,085</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3,764</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321</w:t>
            </w: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80" w:type="dxa"/>
            <w:vAlign w:val="bottom"/>
            <w:tcBorders>
              <w:top w:val="single" w:sz="8" w:color="CCEEFF"/>
            </w:tcBorders>
            <w:gridSpan w:val="2"/>
          </w:tcPr>
          <w:p>
            <w:pPr>
              <w:ind w:left="220"/>
              <w:spacing w:after="0" w:line="132" w:lineRule="exact"/>
              <w:rPr>
                <w:sz w:val="20"/>
                <w:szCs w:val="20"/>
                <w:color w:val="auto"/>
              </w:rPr>
            </w:pPr>
            <w:r>
              <w:rPr>
                <w:rFonts w:ascii="Times New Roman" w:cs="Times New Roman" w:eastAsia="Times New Roman" w:hAnsi="Times New Roman"/>
                <w:sz w:val="12"/>
                <w:szCs w:val="12"/>
                <w:color w:val="auto"/>
              </w:rPr>
              <w:t>Total direct and assumed loss and loss</w:t>
            </w:r>
          </w:p>
        </w:tc>
        <w:tc>
          <w:tcPr>
            <w:tcW w:w="5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3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adjustment expenses</w:t>
            </w:r>
          </w:p>
        </w:tc>
        <w:tc>
          <w:tcPr>
            <w:tcW w:w="5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12,511</w:t>
            </w: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11,043</w:t>
            </w: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1,468</w:t>
            </w:r>
          </w:p>
        </w:tc>
        <w:tc>
          <w:tcPr>
            <w:tcW w:w="740" w:type="dxa"/>
            <w:vAlign w:val="bottom"/>
          </w:tcPr>
          <w:p>
            <w:pPr>
              <w:spacing w:after="0"/>
              <w:rPr>
                <w:sz w:val="13"/>
                <w:szCs w:val="13"/>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13.3</w:t>
            </w: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gridSpan w:val="2"/>
          </w:tcPr>
          <w:p>
            <w:pPr>
              <w:ind w:left="220"/>
              <w:spacing w:after="0" w:line="133" w:lineRule="exact"/>
              <w:rPr>
                <w:sz w:val="20"/>
                <w:szCs w:val="20"/>
                <w:color w:val="auto"/>
              </w:rPr>
            </w:pPr>
            <w:r>
              <w:rPr>
                <w:rFonts w:ascii="Times New Roman" w:cs="Times New Roman" w:eastAsia="Times New Roman" w:hAnsi="Times New Roman"/>
                <w:sz w:val="12"/>
                <w:szCs w:val="12"/>
                <w:color w:val="auto"/>
              </w:rPr>
              <w:t>Ceded loss and loss adjustment</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expenses:</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gridSpan w:val="2"/>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Loss and loss adjustment expenses</w:t>
            </w:r>
          </w:p>
        </w:tc>
        <w:tc>
          <w:tcPr>
            <w:tcW w:w="5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excluding the effect of catastrophes</w:t>
            </w:r>
          </w:p>
        </w:tc>
        <w:tc>
          <w:tcPr>
            <w:tcW w:w="5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3,201</w:t>
            </w: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3,895</w:t>
            </w: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(694</w:t>
            </w:r>
          </w:p>
        </w:tc>
        <w:tc>
          <w:tcPr>
            <w:tcW w:w="74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(17.8</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Losses from catastrophes (1)</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2,247</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2,823</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(576</w:t>
            </w:r>
          </w:p>
        </w:tc>
        <w:tc>
          <w:tcPr>
            <w:tcW w:w="7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(20.4</w:t>
            </w: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80" w:type="dxa"/>
            <w:vAlign w:val="bottom"/>
            <w:gridSpan w:val="2"/>
            <w:shd w:val="clear" w:color="auto" w:fill="CCEEFF"/>
          </w:tcPr>
          <w:p>
            <w:pPr>
              <w:ind w:left="220"/>
              <w:spacing w:after="0" w:line="132" w:lineRule="exact"/>
              <w:rPr>
                <w:sz w:val="20"/>
                <w:szCs w:val="20"/>
                <w:color w:val="auto"/>
              </w:rPr>
            </w:pPr>
            <w:r>
              <w:rPr>
                <w:rFonts w:ascii="Times New Roman" w:cs="Times New Roman" w:eastAsia="Times New Roman" w:hAnsi="Times New Roman"/>
                <w:sz w:val="12"/>
                <w:szCs w:val="12"/>
                <w:color w:val="auto"/>
              </w:rPr>
              <w:t>Total ceded loss and loss adjustment</w:t>
            </w:r>
          </w:p>
        </w:tc>
        <w:tc>
          <w:tcPr>
            <w:tcW w:w="5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expenses</w:t>
            </w:r>
          </w:p>
        </w:tc>
        <w:tc>
          <w:tcPr>
            <w:tcW w:w="5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5,448</w:t>
            </w: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6,718</w:t>
            </w: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(1,270</w:t>
            </w:r>
          </w:p>
        </w:tc>
        <w:tc>
          <w:tcPr>
            <w:tcW w:w="74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(18.9</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Net loss and loss adjustment expenses:</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gridSpan w:val="2"/>
          </w:tcPr>
          <w:p>
            <w:pPr>
              <w:ind w:left="220"/>
              <w:spacing w:after="0" w:line="133" w:lineRule="exact"/>
              <w:rPr>
                <w:sz w:val="20"/>
                <w:szCs w:val="20"/>
                <w:color w:val="auto"/>
              </w:rPr>
            </w:pPr>
            <w:r>
              <w:rPr>
                <w:rFonts w:ascii="Times New Roman" w:cs="Times New Roman" w:eastAsia="Times New Roman" w:hAnsi="Times New Roman"/>
                <w:sz w:val="12"/>
                <w:szCs w:val="12"/>
                <w:color w:val="auto"/>
              </w:rPr>
              <w:t>Loss and loss adjustment expenses</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excluding the effect of catastrophes</w:t>
            </w:r>
          </w:p>
        </w:tc>
        <w:tc>
          <w:tcPr>
            <w:tcW w:w="5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5,225</w:t>
            </w: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3,384</w:t>
            </w: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1,841</w:t>
            </w:r>
          </w:p>
        </w:tc>
        <w:tc>
          <w:tcPr>
            <w:tcW w:w="740" w:type="dxa"/>
            <w:vAlign w:val="bottom"/>
          </w:tcPr>
          <w:p>
            <w:pPr>
              <w:spacing w:after="0"/>
              <w:rPr>
                <w:sz w:val="13"/>
                <w:szCs w:val="13"/>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54.4</w:t>
            </w: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Losses from catastrophes (1)</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1,838</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941</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897</w:t>
            </w:r>
          </w:p>
        </w:tc>
        <w:tc>
          <w:tcPr>
            <w:tcW w:w="7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95.3</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Net loss and loss adjustment expenses</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7,063</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4,325</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2,738</w:t>
            </w:r>
          </w:p>
        </w:tc>
        <w:tc>
          <w:tcPr>
            <w:tcW w:w="740" w:type="dxa"/>
            <w:vAlign w:val="bottom"/>
          </w:tcPr>
          <w:p>
            <w:pPr>
              <w:spacing w:after="0"/>
              <w:rPr>
                <w:sz w:val="12"/>
                <w:szCs w:val="12"/>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63.3</w:t>
            </w: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Commission expense</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3,412</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2,583</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829</w:t>
            </w:r>
          </w:p>
        </w:tc>
        <w:tc>
          <w:tcPr>
            <w:tcW w:w="740" w:type="dxa"/>
            <w:vAlign w:val="bottom"/>
          </w:tcPr>
          <w:p>
            <w:pPr>
              <w:spacing w:after="0"/>
              <w:rPr>
                <w:sz w:val="12"/>
                <w:szCs w:val="12"/>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32.1</w:t>
            </w: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underwriting expenses</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2,999</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2,281</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718</w:t>
            </w:r>
          </w:p>
        </w:tc>
        <w:tc>
          <w:tcPr>
            <w:tcW w:w="7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31.5</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Other operating expenses</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250</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78</w:t>
            </w:r>
          </w:p>
        </w:tc>
        <w:tc>
          <w:tcPr>
            <w:tcW w:w="740" w:type="dxa"/>
            <w:vAlign w:val="bottom"/>
          </w:tcPr>
          <w:p>
            <w:pPr>
              <w:spacing w:after="0"/>
              <w:rPr>
                <w:sz w:val="12"/>
                <w:szCs w:val="12"/>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31.2</w:t>
            </w: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183</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53</w:t>
            </w:r>
          </w:p>
        </w:tc>
        <w:tc>
          <w:tcPr>
            <w:tcW w:w="7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29.0</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Total expenses</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14,039</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9,622</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4,416</w:t>
            </w:r>
          </w:p>
        </w:tc>
        <w:tc>
          <w:tcPr>
            <w:tcW w:w="740" w:type="dxa"/>
            <w:vAlign w:val="bottom"/>
          </w:tcPr>
          <w:p>
            <w:pPr>
              <w:spacing w:after="0"/>
              <w:rPr>
                <w:sz w:val="12"/>
                <w:szCs w:val="12"/>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45.9</w:t>
            </w: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Income from operations before taxes</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480</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95</w:t>
            </w:r>
          </w:p>
        </w:tc>
        <w:tc>
          <w:tcPr>
            <w:tcW w:w="740" w:type="dxa"/>
            <w:vAlign w:val="bottom"/>
          </w:tcPr>
          <w:p>
            <w:pPr>
              <w:spacing w:after="0"/>
              <w:rPr>
                <w:sz w:val="12"/>
                <w:szCs w:val="12"/>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19.8</w:t>
            </w: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Provision for income tax</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153</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39</w:t>
            </w:r>
          </w:p>
        </w:tc>
        <w:tc>
          <w:tcPr>
            <w:tcW w:w="7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25.5</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327</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56</w:t>
            </w:r>
          </w:p>
        </w:tc>
        <w:tc>
          <w:tcPr>
            <w:tcW w:w="740" w:type="dxa"/>
            <w:vAlign w:val="bottom"/>
          </w:tcPr>
          <w:p>
            <w:pPr>
              <w:spacing w:after="0"/>
              <w:rPr>
                <w:sz w:val="12"/>
                <w:szCs w:val="12"/>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17.1</w:t>
            </w:r>
          </w:p>
        </w:tc>
        <w:tc>
          <w:tcPr>
            <w:tcW w:w="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both"/>
        <w:ind w:left="8" w:hanging="8"/>
        <w:spacing w:after="0" w:line="265" w:lineRule="auto"/>
        <w:tabs>
          <w:tab w:leader="none" w:pos="182"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three months ended March 31, 2015 and 2014, includes the effects of severe winter weather (which we define as a catastrophe). 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2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6" w:right="1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16"/>
        </w:trPr>
        <w:tc>
          <w:tcPr>
            <w:tcW w:w="60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11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42"/>
        </w:trPr>
        <w:tc>
          <w:tcPr>
            <w:tcW w:w="6080" w:type="dxa"/>
            <w:vAlign w:val="bottom"/>
          </w:tcPr>
          <w:p>
            <w:pPr>
              <w:spacing w:after="0"/>
              <w:rPr>
                <w:sz w:val="12"/>
                <w:szCs w:val="12"/>
                <w:color w:val="auto"/>
              </w:rPr>
            </w:pPr>
          </w:p>
        </w:tc>
        <w:tc>
          <w:tcPr>
            <w:tcW w:w="8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2015</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0"/>
                <w:szCs w:val="10"/>
                <w:b w:val="1"/>
                <w:bCs w:val="1"/>
                <w:color w:val="auto"/>
              </w:rPr>
              <w:t>2014</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0"/>
                <w:szCs w:val="10"/>
                <w:b w:val="1"/>
                <w:bCs w:val="1"/>
                <w:color w:val="auto"/>
                <w:w w:val="98"/>
              </w:rPr>
              <w:t>Percentage Point Change</w:t>
            </w:r>
          </w:p>
        </w:tc>
        <w:tc>
          <w:tcPr>
            <w:tcW w:w="220" w:type="dxa"/>
            <w:vAlign w:val="bottom"/>
          </w:tcPr>
          <w:p>
            <w:pPr>
              <w:spacing w:after="0"/>
              <w:rPr>
                <w:sz w:val="12"/>
                <w:szCs w:val="12"/>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Percent Change</w:t>
            </w:r>
          </w:p>
        </w:tc>
        <w:tc>
          <w:tcPr>
            <w:tcW w:w="140" w:type="dxa"/>
            <w:vAlign w:val="bottom"/>
          </w:tcPr>
          <w:p>
            <w:pPr>
              <w:spacing w:after="0"/>
              <w:rPr>
                <w:sz w:val="12"/>
                <w:szCs w:val="12"/>
                <w:color w:val="auto"/>
              </w:rPr>
            </w:pPr>
          </w:p>
        </w:tc>
      </w:tr>
      <w:tr>
        <w:trPr>
          <w:trHeight w:val="28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Key ratios: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4"/>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 ratio</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68.0%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73.0%</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6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underwriting expense ratio</w:t>
            </w:r>
          </w:p>
        </w:tc>
        <w:tc>
          <w:tcPr>
            <w:tcW w:w="82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29.9%</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7.4</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32.9%</w:t>
            </w:r>
          </w:p>
        </w:tc>
      </w:tr>
      <w:tr>
        <w:trPr>
          <w:trHeight w:val="20"/>
        </w:trPr>
        <w:tc>
          <w:tcPr>
            <w:tcW w:w="6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combined ratio</w:t>
            </w:r>
          </w:p>
        </w:tc>
        <w:tc>
          <w:tcPr>
            <w:tcW w:w="8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97.9%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95.5%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Direct Written Premiums</w:t>
      </w:r>
    </w:p>
    <w:p>
      <w:pPr>
        <w:spacing w:after="0" w:line="168"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Direct written premiums during the three months ended March 31, 2015 (“2015”) were $19,489,000 compared to $16,347,000 during the three months ended March 31, 2014 (“2014”). The increase of $3,142,000, or 19.2%, was primarily due to an increase in policies in-force during 2015 as compared to 2014. We wrote more new policies as a result of continued demand for our products in the markets that we serve. Policies in-force increased by 20.6% as of March 31, 2015 compared to March 31, 2014.</w:t>
      </w:r>
    </w:p>
    <w:p>
      <w:pPr>
        <w:spacing w:after="0" w:line="137"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Our growth rate in direct premiums written was dampened somewhat due to the suspension, effective October 1, 2014, of the writing of new policies in our commercial auto line of business due to a history of poor underwriting results. Our direct written premiums in our other lines of business grew by 23.4% in 2015 compared to 2014.</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Net Written Premiums and Net Premiums Earned</w:t>
      </w:r>
    </w:p>
    <w:p>
      <w:pPr>
        <w:spacing w:after="0" w:line="168"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The following table describes the quota share reinsurance rates in effect during 2015 and 2014. For purposes of the discussion herein, the change in quota share rates on July 1 of each year will be referred to as “the Cut-off”. This table should be referred to in conjunction with the discussions for net written premiums, net premiums earned, ceding commission revenue and net loss and loss adjustment expenses that follow.</w:t>
      </w:r>
    </w:p>
    <w:p>
      <w:pPr>
        <w:spacing w:after="0" w:line="164"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jc w:val="center"/>
        <w:ind w:left="1500"/>
        <w:spacing w:after="0" w:line="236" w:lineRule="auto"/>
        <w:rPr>
          <w:sz w:val="20"/>
          <w:szCs w:val="20"/>
          <w:color w:val="auto"/>
        </w:rPr>
      </w:pPr>
      <w:r>
        <w:rPr>
          <w:rFonts w:ascii="Times New Roman" w:cs="Times New Roman" w:eastAsia="Times New Roman" w:hAnsi="Times New Roman"/>
          <w:sz w:val="10"/>
          <w:szCs w:val="1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-5715</wp:posOffset>
            </wp:positionV>
            <wp:extent cx="1995805"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95805" cy="11430"/>
                    </a:xfrm>
                    <a:prstGeom prst="rect">
                      <a:avLst/>
                    </a:prstGeom>
                    <a:noFill/>
                  </pic:spPr>
                </pic:pic>
              </a:graphicData>
            </a:graphic>
          </wp:anchor>
        </w:drawing>
      </w:r>
    </w:p>
    <w:p>
      <w:pPr>
        <w:spacing w:after="0" w:line="17" w:lineRule="exact"/>
        <w:rPr>
          <w:sz w:val="20"/>
          <w:szCs w:val="20"/>
          <w:color w:val="auto"/>
        </w:rPr>
      </w:pPr>
    </w:p>
    <w:tbl>
      <w:tblPr>
        <w:tblLayout w:type="fixed"/>
        <w:tblInd w:w="2860" w:type="dxa"/>
        <w:tblCellMar>
          <w:top w:w="0" w:type="dxa"/>
          <w:left w:w="0" w:type="dxa"/>
          <w:bottom w:w="0" w:type="dxa"/>
          <w:right w:w="0" w:type="dxa"/>
        </w:tblCellMar>
      </w:tblPr>
      <w:tr>
        <w:trPr>
          <w:trHeight w:val="116"/>
        </w:trPr>
        <w:tc>
          <w:tcPr>
            <w:tcW w:w="2040" w:type="dxa"/>
            <w:vAlign w:val="bottom"/>
          </w:tcPr>
          <w:p>
            <w:pPr>
              <w:spacing w:after="0"/>
              <w:rPr>
                <w:sz w:val="10"/>
                <w:szCs w:val="10"/>
                <w:color w:val="auto"/>
              </w:rPr>
            </w:pPr>
          </w:p>
        </w:tc>
        <w:tc>
          <w:tcPr>
            <w:tcW w:w="10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2015</w:t>
            </w: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2014</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27"/>
        </w:trPr>
        <w:tc>
          <w:tcPr>
            <w:tcW w:w="2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jc w:val="right"/>
              <w:ind w:right="182"/>
              <w:spacing w:after="0" w:line="128" w:lineRule="exact"/>
              <w:rPr>
                <w:sz w:val="20"/>
                <w:szCs w:val="20"/>
                <w:color w:val="auto"/>
              </w:rPr>
            </w:pPr>
            <w:r>
              <w:rPr>
                <w:rFonts w:ascii="Times New Roman" w:cs="Times New Roman" w:eastAsia="Times New Roman" w:hAnsi="Times New Roman"/>
                <w:sz w:val="12"/>
                <w:szCs w:val="12"/>
                <w:b w:val="1"/>
                <w:bCs w:val="1"/>
                <w:color w:val="auto"/>
              </w:rPr>
              <w:t>("2013/2014</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59"/>
        </w:trPr>
        <w:tc>
          <w:tcPr>
            <w:tcW w:w="2040" w:type="dxa"/>
            <w:vAlign w:val="bottom"/>
          </w:tcPr>
          <w:p>
            <w:pPr>
              <w:spacing w:after="0"/>
              <w:rPr>
                <w:sz w:val="13"/>
                <w:szCs w:val="13"/>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("2014/2015 Treaty")</w:t>
            </w:r>
          </w:p>
        </w:tc>
        <w:tc>
          <w:tcPr>
            <w:tcW w:w="640" w:type="dxa"/>
            <w:vAlign w:val="bottom"/>
          </w:tcPr>
          <w:p>
            <w:pPr>
              <w:spacing w:after="0"/>
              <w:rPr>
                <w:sz w:val="13"/>
                <w:szCs w:val="13"/>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Treaties")</w:t>
            </w:r>
          </w:p>
        </w:tc>
        <w:tc>
          <w:tcPr>
            <w:tcW w:w="340" w:type="dxa"/>
            <w:vAlign w:val="bottom"/>
          </w:tcPr>
          <w:p>
            <w:pPr>
              <w:spacing w:after="0"/>
              <w:rPr>
                <w:sz w:val="13"/>
                <w:szCs w:val="13"/>
                <w:color w:val="auto"/>
              </w:rPr>
            </w:pPr>
          </w:p>
        </w:tc>
      </w:tr>
      <w:tr>
        <w:trPr>
          <w:trHeight w:val="288"/>
        </w:trPr>
        <w:tc>
          <w:tcPr>
            <w:tcW w:w="2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Quota share</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44"/>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Personal lines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20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Commercial lines</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none</w:t>
            </w:r>
          </w:p>
        </w:tc>
        <w:tc>
          <w:tcPr>
            <w:tcW w:w="640" w:type="dxa"/>
            <w:vAlign w:val="bottom"/>
          </w:tcPr>
          <w:p>
            <w:pPr>
              <w:spacing w:after="0"/>
              <w:rPr>
                <w:sz w:val="13"/>
                <w:szCs w:val="1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25</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4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Net written premiums increased $4,293,000, or 65.2%, to $10,878,000 in 2015 from $6,585,000 in 2014. Net written premiums include direct and assumed premiums, less the amount of written premiums ceded under our reinsurance treaties (quota share, excess of loss and catastrophe). Our personal lines business is subject to a quota share treaty and our commercial lines business was subject to a quota share treaty through June 30, 2014. A reduction to the quota share percentage or elimination of a quota share treaty will reduce our ceded written premiums, which will result in a corresponding increase to our net written premiums. Effective July 1, 2014, we terminated our commercial lines quota share treaty. The previous commercial lines quota share treaty effective July 1, 2013 had a quota share percentage of 25%. Also, effective July 1, 2014, we decreased the quota share percentage in our personal lines quota share treaty from 75% to 55%. The Cut-off of these treaties on July 1, 2014 results in the return of unearned premiums from our reinsurers that were previously ceded under the expiring quota share treaties.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29" w:right="199" w:bottom="1440" w:gutter="0" w:footer="0" w:header="0"/>
        </w:sectPr>
      </w:pPr>
    </w:p>
    <w:bookmarkStart w:id="35" w:name="page36"/>
    <w:bookmarkEnd w:id="35"/>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An increase in written premiums will also increase the premiums ceded under our excess of loss treaties, which will also reduce our net written premiums. In 2015, our catastrophe and excess of loss reinsurance premiums increased by $438,000 and $107,000, respectively, over the premiums in 2014.</w:t>
      </w:r>
    </w:p>
    <w:p>
      <w:pPr>
        <w:spacing w:after="0" w:line="14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Net premiums earned increased $4,460,000, or 75.3%, to $10,386,000 in 2015 from $5,926,000 in 2014. The increase was primarily due to us retaining more earned premiums as result of the reduction of the quota share percentage in our personal lines quota share treaty and the elimination of the commercial lines treaty on July 1, 2014. The decreases in our quota share percentages from the July 1, 2014 Cut-offs gave us a return of premiums previously ceded, which has the effect of increasing our net premiums earned during the twelve month period after the Cut-offs. In addition, as premiums written earn ratably over a twelve month period, net premiums earned in 2015 will increase from the higher net written premiums for the twelve months ended March 31, 2015 compared to the twelve months ended March 31, 2014.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Ceding Commission Revenue</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describes the quota share provisional ceding commission rates in effect during 2015 and 2014. This table should be referred to in conjunction with the discussion for ceding commission revenue that follows.</w:t>
      </w:r>
    </w:p>
    <w:p>
      <w:pPr>
        <w:spacing w:after="0" w:line="204"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jc w:val="center"/>
        <w:ind w:left="1500"/>
        <w:spacing w:after="0" w:line="216" w:lineRule="auto"/>
        <w:rPr>
          <w:sz w:val="20"/>
          <w:szCs w:val="20"/>
          <w:color w:val="auto"/>
        </w:rPr>
      </w:pPr>
      <w:r>
        <w:rPr>
          <w:rFonts w:ascii="Times New Roman" w:cs="Times New Roman" w:eastAsia="Times New Roman" w:hAnsi="Times New Roman"/>
          <w:sz w:val="10"/>
          <w:szCs w:val="10"/>
          <w:b w:val="1"/>
          <w:bCs w:val="1"/>
          <w:color w:val="auto"/>
        </w:rPr>
        <w:t>March 31,</w:t>
      </w:r>
    </w:p>
    <w:tbl>
      <w:tblPr>
        <w:tblLayout w:type="fixed"/>
        <w:tblInd w:w="2860" w:type="dxa"/>
        <w:tblCellMar>
          <w:top w:w="0" w:type="dxa"/>
          <w:left w:w="0" w:type="dxa"/>
          <w:bottom w:w="0" w:type="dxa"/>
          <w:right w:w="0" w:type="dxa"/>
        </w:tblCellMar>
      </w:tblPr>
      <w:tr>
        <w:trPr>
          <w:trHeight w:val="97"/>
        </w:trPr>
        <w:tc>
          <w:tcPr>
            <w:tcW w:w="2040" w:type="dxa"/>
            <w:vAlign w:val="bottom"/>
          </w:tcPr>
          <w:p>
            <w:pPr>
              <w:spacing w:after="0"/>
              <w:rPr>
                <w:sz w:val="8"/>
                <w:szCs w:val="8"/>
                <w:color w:val="auto"/>
              </w:rPr>
            </w:pPr>
          </w:p>
        </w:tc>
        <w:tc>
          <w:tcPr>
            <w:tcW w:w="1080" w:type="dxa"/>
            <w:vAlign w:val="bottom"/>
            <w:tcBorders>
              <w:top w:val="single" w:sz="8" w:color="auto"/>
              <w:bottom w:val="single" w:sz="8" w:color="auto"/>
            </w:tcBorders>
          </w:tcPr>
          <w:p>
            <w:pPr>
              <w:jc w:val="right"/>
              <w:ind w:right="386"/>
              <w:spacing w:after="0" w:line="97" w:lineRule="exact"/>
              <w:rPr>
                <w:sz w:val="20"/>
                <w:szCs w:val="20"/>
                <w:color w:val="auto"/>
              </w:rPr>
            </w:pPr>
            <w:r>
              <w:rPr>
                <w:rFonts w:ascii="Times New Roman" w:cs="Times New Roman" w:eastAsia="Times New Roman" w:hAnsi="Times New Roman"/>
                <w:sz w:val="10"/>
                <w:szCs w:val="10"/>
                <w:b w:val="1"/>
                <w:bCs w:val="1"/>
                <w:color w:val="auto"/>
              </w:rPr>
              <w:t>2015</w:t>
            </w:r>
          </w:p>
        </w:tc>
        <w:tc>
          <w:tcPr>
            <w:tcW w:w="2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80" w:type="dxa"/>
            <w:vAlign w:val="bottom"/>
            <w:tcBorders>
              <w:top w:val="single" w:sz="8" w:color="auto"/>
              <w:bottom w:val="single" w:sz="8" w:color="auto"/>
            </w:tcBorders>
          </w:tcPr>
          <w:p>
            <w:pPr>
              <w:jc w:val="right"/>
              <w:ind w:right="386"/>
              <w:spacing w:after="0" w:line="97" w:lineRule="exact"/>
              <w:rPr>
                <w:sz w:val="20"/>
                <w:szCs w:val="20"/>
                <w:color w:val="auto"/>
              </w:rPr>
            </w:pPr>
            <w:r>
              <w:rPr>
                <w:rFonts w:ascii="Times New Roman" w:cs="Times New Roman" w:eastAsia="Times New Roman" w:hAnsi="Times New Roman"/>
                <w:sz w:val="10"/>
                <w:szCs w:val="10"/>
                <w:b w:val="1"/>
                <w:bCs w:val="1"/>
                <w:color w:val="auto"/>
              </w:rPr>
              <w:t>2014</w:t>
            </w: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52"/>
        </w:trPr>
        <w:tc>
          <w:tcPr>
            <w:tcW w:w="204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("2014/2015 Treaty")</w:t>
            </w:r>
          </w:p>
        </w:tc>
        <w:tc>
          <w:tcPr>
            <w:tcW w:w="80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("2013/2014 Treaties")</w:t>
            </w:r>
          </w:p>
        </w:tc>
        <w:tc>
          <w:tcPr>
            <w:tcW w:w="340" w:type="dxa"/>
            <w:vAlign w:val="bottom"/>
          </w:tcPr>
          <w:p>
            <w:pPr>
              <w:spacing w:after="0"/>
              <w:rPr>
                <w:sz w:val="13"/>
                <w:szCs w:val="13"/>
                <w:color w:val="auto"/>
              </w:rPr>
            </w:pPr>
          </w:p>
        </w:tc>
      </w:tr>
      <w:tr>
        <w:trPr>
          <w:trHeight w:val="278"/>
        </w:trPr>
        <w:tc>
          <w:tcPr>
            <w:tcW w:w="2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Quota share</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44"/>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Personal lines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20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Commercial lines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none</w:t>
            </w:r>
          </w:p>
        </w:tc>
        <w:tc>
          <w:tcPr>
            <w:tcW w:w="800" w:type="dxa"/>
            <w:vAlign w:val="bottom"/>
          </w:tcPr>
          <w:p>
            <w:pPr>
              <w:spacing w:after="0"/>
              <w:rPr>
                <w:sz w:val="13"/>
                <w:szCs w:val="1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36</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summarizes the changes in the components of ceding commission revenue (in thousands)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4"/>
          </w:tcPr>
          <w:p>
            <w:pPr>
              <w:jc w:val="center"/>
              <w:ind w:left="403"/>
              <w:spacing w:after="0"/>
              <w:rPr>
                <w:sz w:val="20"/>
                <w:szCs w:val="20"/>
                <w:color w:val="auto"/>
              </w:rPr>
            </w:pPr>
            <w:r>
              <w:rPr>
                <w:rFonts w:ascii="Times New Roman" w:cs="Times New Roman" w:eastAsia="Times New Roman" w:hAnsi="Times New Roman"/>
                <w:sz w:val="10"/>
                <w:szCs w:val="10"/>
                <w:b w:val="1"/>
                <w:bCs w:val="1"/>
                <w:color w:val="auto"/>
                <w:w w:val="96"/>
              </w:rPr>
              <w:t>Three months ended March 31,</w:t>
            </w:r>
          </w:p>
        </w:tc>
        <w:tc>
          <w:tcPr>
            <w:tcW w:w="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520" w:type="dxa"/>
            <w:vAlign w:val="bottom"/>
          </w:tcPr>
          <w:p>
            <w:pPr>
              <w:spacing w:after="0"/>
              <w:rPr>
                <w:sz w:val="12"/>
                <w:szCs w:val="12"/>
                <w:color w:val="auto"/>
              </w:rPr>
            </w:pPr>
          </w:p>
        </w:tc>
        <w:tc>
          <w:tcPr>
            <w:tcW w:w="800" w:type="dxa"/>
            <w:vAlign w:val="bottom"/>
          </w:tcPr>
          <w:p>
            <w:pPr>
              <w:jc w:val="right"/>
              <w:ind w:right="502"/>
              <w:spacing w:after="0"/>
              <w:rPr>
                <w:sz w:val="20"/>
                <w:szCs w:val="20"/>
                <w:color w:val="auto"/>
              </w:rPr>
            </w:pPr>
            <w:r>
              <w:rPr>
                <w:rFonts w:ascii="Times New Roman" w:cs="Times New Roman" w:eastAsia="Times New Roman" w:hAnsi="Times New Roman"/>
                <w:sz w:val="10"/>
                <w:szCs w:val="10"/>
                <w:b w:val="1"/>
                <w:bCs w:val="1"/>
                <w:color w:val="auto"/>
              </w:rPr>
              <w:t>2015</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ind w:right="483"/>
              <w:spacing w:after="0"/>
              <w:rPr>
                <w:sz w:val="20"/>
                <w:szCs w:val="20"/>
                <w:color w:val="auto"/>
              </w:rPr>
            </w:pPr>
            <w:r>
              <w:rPr>
                <w:rFonts w:ascii="Times New Roman" w:cs="Times New Roman" w:eastAsia="Times New Roman" w:hAnsi="Times New Roman"/>
                <w:sz w:val="10"/>
                <w:szCs w:val="10"/>
                <w:b w:val="1"/>
                <w:bCs w:val="1"/>
                <w:color w:val="auto"/>
                <w:w w:val="99"/>
              </w:rPr>
              <w:t>2014</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Provisional ceding commissions earned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2,915</w:t>
            </w: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3,377</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(462</w:t>
            </w:r>
          </w:p>
        </w:tc>
        <w:tc>
          <w:tcPr>
            <w:tcW w:w="7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(13.7</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w w:val="85"/>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3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Contingent ceding commissions earned</w:t>
            </w: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Contingent ceding commissions earned</w:t>
            </w: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excluding</w:t>
            </w: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the effect of catastrophes</w:t>
            </w:r>
          </w:p>
        </w:tc>
        <w:tc>
          <w:tcPr>
            <w:tcW w:w="5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1,289</w:t>
            </w: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768</w:t>
            </w:r>
          </w:p>
        </w:tc>
        <w:tc>
          <w:tcPr>
            <w:tcW w:w="7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147.4</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Effect of catastrophes on ceding commissions</w:t>
            </w: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earned</w:t>
            </w:r>
          </w:p>
        </w:tc>
        <w:tc>
          <w:tcPr>
            <w:tcW w:w="52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(1,115</w:t>
            </w:r>
          </w:p>
        </w:tc>
        <w:tc>
          <w:tcPr>
            <w:tcW w:w="72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(517</w:t>
            </w:r>
          </w:p>
        </w:tc>
        <w:tc>
          <w:tcPr>
            <w:tcW w:w="7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(598</w:t>
            </w:r>
          </w:p>
        </w:tc>
        <w:tc>
          <w:tcPr>
            <w:tcW w:w="72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115.7</w:t>
            </w: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Contingent ceding commissions earned</w:t>
            </w:r>
          </w:p>
        </w:tc>
        <w:tc>
          <w:tcPr>
            <w:tcW w:w="5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174</w:t>
            </w: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170</w:t>
            </w:r>
          </w:p>
        </w:tc>
        <w:tc>
          <w:tcPr>
            <w:tcW w:w="7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4,250.0</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3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ceding commission revenue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3,089</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3,381</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(292</w:t>
            </w:r>
          </w:p>
        </w:tc>
        <w:tc>
          <w:tcPr>
            <w:tcW w:w="7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(8.6</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w w:val="85"/>
              </w:rPr>
              <w:t>)%</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23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543"/>
              <w:spacing w:after="0"/>
              <w:rPr>
                <w:sz w:val="20"/>
                <w:szCs w:val="20"/>
                <w:color w:val="auto"/>
              </w:rPr>
            </w:pPr>
            <w:r>
              <w:rPr>
                <w:rFonts w:ascii="Times New Roman" w:cs="Times New Roman" w:eastAsia="Times New Roman" w:hAnsi="Times New Roman"/>
                <w:sz w:val="12"/>
                <w:szCs w:val="12"/>
                <w:color w:val="auto"/>
              </w:rPr>
              <w:t>34</w:t>
            </w:r>
          </w:p>
        </w:tc>
        <w:tc>
          <w:tcPr>
            <w:tcW w:w="2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4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3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36" w:name="page37"/>
    <w:bookmarkEnd w:id="36"/>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Ceding commission revenue was $3,089,000 in 2015 compared to $3,381,000 in 2014. The decrease of $292,000, or 8.6%, was due to a decrease in provisional ceding commissions earned partially offset by an increase contingent ceding commissions earned. We receive a provisional ceding commission based on ceded written premiums and a contingent ceding commission based on a sliding scale in relation to the losses incurred under our quota share treaties. The lower the ceded loss ratio, the more contingent commission we receive. The amount of contingent commissions we are eligible to receive under our current personal lines quota share treaty, effective July 1, 2014, is subject to change based on losses incurred from claims incurred beginning July 1, 2014. The amount of contingent commissions we are eligible to receive under our prior years’ quota share treaties is subject to change based on losses incurred related to claims occurring before July 1, 2014 under those treaties. We did not renew our commercial lines quota share treaty upon its expiration on June 30, 2014.</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Provisional Ceding Commissions Earned</w:t>
      </w:r>
    </w:p>
    <w:p>
      <w:pPr>
        <w:spacing w:after="0" w:line="170" w:lineRule="exact"/>
        <w:rPr>
          <w:sz w:val="20"/>
          <w:szCs w:val="20"/>
          <w:color w:val="auto"/>
        </w:rPr>
      </w:pPr>
    </w:p>
    <w:p>
      <w:pPr>
        <w:jc w:val="both"/>
        <w:ind w:right="20" w:firstLine="432"/>
        <w:spacing w:after="0" w:line="280" w:lineRule="auto"/>
        <w:rPr>
          <w:sz w:val="20"/>
          <w:szCs w:val="20"/>
          <w:color w:val="auto"/>
        </w:rPr>
      </w:pPr>
      <w:r>
        <w:rPr>
          <w:rFonts w:ascii="Times New Roman" w:cs="Times New Roman" w:eastAsia="Times New Roman" w:hAnsi="Times New Roman"/>
          <w:sz w:val="12"/>
          <w:szCs w:val="12"/>
          <w:color w:val="auto"/>
        </w:rPr>
        <w:t>The $462,000 decrease in provisional ceding commissions earned is due to a decrease in the amount of premiums ceded as a result of the July 1, 2014 Cut-offs. Under the July 1, 2014 Cut-offs, our quota share percentages were reduced in our personal lines from 75% to 55% and in our commercial lines from 25% to 0%.</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Contingent Ceding Commissions Earned</w:t>
      </w:r>
    </w:p>
    <w:p>
      <w:pPr>
        <w:spacing w:after="0" w:line="17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The term of our personal lines reinsurance quota share treaty covers the period from July 1, 2013 to June 30, 2015 (“2013/2015 Treaty”). The 2013/2015 Treaty provides for contingent ceding commissions based on a sliding scale whereby we are entitled to receive between 40% - 57% of the ceded earned premiums; the lower the ceded loss ratio, the higher the percentage we were entitled to receive. The computation to arrive at contingent ceding commission revenue under the 2013/2015 Treaty includes catastrophe losses and LAE incurred from severe winter weather during 2015 and 2014 (see discussion of “Net Loss and LAE” below). Such losses increased our ceded loss ratio in our 2013/2015 Treaty, which reduced our contingent ceding commission revenue in accordance with the sliding scale discussed above in 2015 and 2014 by $1,115,000 and $517,000, respectively. See “Reinsurance” below for changes to our personal lines quota share treaty effective July 1, 2014.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Net Investment Income</w:t>
      </w:r>
    </w:p>
    <w:p>
      <w:pPr>
        <w:spacing w:after="0" w:line="16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Net investment income was $574,000 in 2015 compared to $379,000 in 2014. The increase of $195,000, or 51.5%, was due to an increase in average invested assets in 2015. The increase in cash and invested assets resulted primarily from: (1) the proceeds of $18,804,000 that we received on December 13, 2013 from our public offering being fully deployed in 2015 as compared to the partial deployment in 2014 and (2) increased operating cash flows for the period after March 31, 2014. The pre-tax equivalent investment yield, excluding cash, was 4.79% and 5.02% at March 31, 2015 and 2014,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Other Income</w:t>
      </w:r>
    </w:p>
    <w:p>
      <w:pPr>
        <w:spacing w:after="0" w:line="168" w:lineRule="exact"/>
        <w:rPr>
          <w:sz w:val="20"/>
          <w:szCs w:val="20"/>
          <w:color w:val="auto"/>
        </w:rPr>
      </w:pPr>
    </w:p>
    <w:p>
      <w:pPr>
        <w:jc w:val="both"/>
        <w:ind w:right="20" w:firstLine="432"/>
        <w:spacing w:after="0" w:line="280" w:lineRule="auto"/>
        <w:rPr>
          <w:sz w:val="20"/>
          <w:szCs w:val="20"/>
          <w:color w:val="auto"/>
        </w:rPr>
      </w:pPr>
      <w:r>
        <w:rPr>
          <w:rFonts w:ascii="Times New Roman" w:cs="Times New Roman" w:eastAsia="Times New Roman" w:hAnsi="Times New Roman"/>
          <w:sz w:val="12"/>
          <w:szCs w:val="12"/>
          <w:color w:val="auto"/>
        </w:rPr>
        <w:t>Other income was $631,000 in 2015 compared to $228,000 in 2014. The increase of $403,000, or 176.8%, was due to the $350,000 we received as early settlement of the termination agreement that generated placement fees in our premium finance business (see Note 12 to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auto"/>
        </w:rPr>
        <w:t>Net Loss and LAE</w:t>
      </w:r>
    </w:p>
    <w:p>
      <w:pPr>
        <w:spacing w:after="0" w:line="1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Net loss and LAE was $7,063,000 in 2015 compared to $4,325,000 in 2014. The net loss ratio was 68.0% in 2015 compared to 73.0% in 2014, a decrease of 5.0 percentage points. The following graphs summarize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2317115</wp:posOffset>
            </wp:positionH>
            <wp:positionV relativeFrom="paragraph">
              <wp:posOffset>88265</wp:posOffset>
            </wp:positionV>
            <wp:extent cx="2647950" cy="22764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47950" cy="2276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During 2015, our net loss ratio was affected significantly by the severe winter weather. The impact of severe winter weather is determined as the losses incurred over and above those expected in an average winter season. The impact of severe winter weather in 2015 was similar to the impact experienced in 2014, as severe winter weather had a 17.7% impact on the net loss ratio in 2015 compared to 15.9% in 2014. The provision in our current year catastrophe reinsurance treaty that added coverage for winter storm losses in excess of $4,000,000 over any 28 day period was not triggered by the winter weather in 2015. Our core net loss ratio excluding the impact of severe winter weather and prior year loss and LAE development improved to 49.3% from 53.7%, a decrease of 4.4 percentage points. The improvement in the core net loss ratio was driven by favorable results for commercial lines and a shift in the net earned premium mix towards lines of business that have a lower core loss ratio such as personal lines and livery physical damage. The impact of prior year loss and LAE development was 1.0% in 2015, compared to 3.4% in 2014, an improvement of 2.4 percentage points See table below under “Additional Financial Information” summarizing net loss ratios by line of business.</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Commercial Auto Line of Business</w:t>
      </w:r>
    </w:p>
    <w:p>
      <w:pPr>
        <w:spacing w:after="0" w:line="17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Effective October 1, 2014 we decided to no longer accept applications for new commercial auto coverage. The action was taken following a series of underwriting and pricing measures which were intended to improve the profitability of this line of business. The actions taken did not yield the hoped for results. In February 2015, we decided to no longer offer renewals to our existing commercial auto policies beginning with those that expired on or after May 1, 2015. As of December 31, 2014, we had 730 commercial auto policies in force, which represented 1.6% of our policies in force. As of March 31, 2015, we had 599 commercial auto policies in force, which represented 1.3% of our policies in force.</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auto"/>
        </w:rPr>
        <w:t>Commission Expense</w:t>
      </w:r>
    </w:p>
    <w:p>
      <w:pPr>
        <w:spacing w:after="0" w:line="168"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Commission expense was $3,412,000 in 2015 or 17.9% of direct earned premiums. Commission expense was $2,583,000 in 2014 or 17.0% of direct earned premiums. The increase of $829,000, or 32.1%, is due to the increase in direct written premiums in 2015 as compared to 2014 and an increase in contingent commissions.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Other Underwriting Expenses</w:t>
      </w:r>
    </w:p>
    <w:p>
      <w:pPr>
        <w:spacing w:after="0" w:line="168"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Other underwriting expenses were $2,999,000 in 2015 compared to $2,281,000 in 2014. The increase of $718,000, or 31.5%, in other underwriting expenses was primarily due to expenses directly and indirectly related to growth in direct written premiums, rate increases in state assessed regulatory fees and state taxes based on premiums written, and seasonal fluctuations in professional fees.</w:t>
      </w:r>
    </w:p>
    <w:p>
      <w:pPr>
        <w:spacing w:after="0" w:line="12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Salaries and employment costs were $1,171,000 in 2015 compared to $884,000 in 2014. The increase of $287,000, or 32%, was due to hiring of additional staff to service our current level of business and anticipated growth in volume. In addition, there were annual rate increases in both salaries and the cost of employee benefits. Seasonal fluctuation in professional fees are the result of a change in the recording of expenses to more accurately reflect the period in which the services were rendered. In the 2015 we incurred professional fees of $181,000 related to accounting and actuary services based on the services rendered during the quarter. In 2014 we incurred professional fees of $69,000 related to accounting and actuary services based on an accrual of 25% of the annual cost of these services. The increase of $112,000 in 2015 is due to the services rendered for the prior year annual audit and related actuary work during the current quarter which represents the majority of the fees that we incur for these services on an annual basis. Other underwriting expenses as a percentage of direct written premiums increased to 15.4% in 2015 from 14.0% in 2014. Other underwriting expenses as a percentage of direct earned premiums increased to 15.8% in 2015 from 15.0% in 2014.</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net underwriting expense ratio in 2015 was 29.9% compared with 22.5% in 2014. The following table shows the individual components of our net underwriting expense ratio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3"/>
              </w:rPr>
              <w:t>Percentage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800" w:type="dxa"/>
            <w:vAlign w:val="bottom"/>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3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340" w:type="dxa"/>
            <w:vAlign w:val="bottom"/>
          </w:tcPr>
          <w:p>
            <w:pPr>
              <w:jc w:val="right"/>
              <w:ind w:right="522"/>
              <w:spacing w:after="0"/>
              <w:rPr>
                <w:sz w:val="20"/>
                <w:szCs w:val="20"/>
                <w:color w:val="auto"/>
              </w:rPr>
            </w:pPr>
            <w:r>
              <w:rPr>
                <w:rFonts w:ascii="Times New Roman" w:cs="Times New Roman" w:eastAsia="Times New Roman" w:hAnsi="Times New Roman"/>
                <w:sz w:val="10"/>
                <w:szCs w:val="10"/>
                <w:b w:val="1"/>
                <w:bCs w:val="1"/>
                <w:color w:val="auto"/>
              </w:rPr>
              <w:t>2015</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jc w:val="right"/>
              <w:ind w:right="522"/>
              <w:spacing w:after="0"/>
              <w:rPr>
                <w:sz w:val="20"/>
                <w:szCs w:val="20"/>
                <w:color w:val="auto"/>
              </w:rPr>
            </w:pPr>
            <w:r>
              <w:rPr>
                <w:rFonts w:ascii="Times New Roman" w:cs="Times New Roman" w:eastAsia="Times New Roman" w:hAnsi="Times New Roman"/>
                <w:sz w:val="10"/>
                <w:szCs w:val="10"/>
                <w:b w:val="1"/>
                <w:bCs w:val="1"/>
                <w:color w:val="auto"/>
              </w:rPr>
              <w:t>2014</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Point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Ceding commission revenue - provisional</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(28.1</w:t>
            </w:r>
          </w:p>
        </w:tc>
        <w:tc>
          <w:tcPr>
            <w:tcW w:w="1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(57.0</w:t>
            </w: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28.9</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Ceding commission revenue - contingent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2"/>
                <w:szCs w:val="12"/>
                <w:color w:val="auto"/>
              </w:rPr>
            </w:pPr>
          </w:p>
        </w:tc>
        <w:tc>
          <w:tcPr>
            <w:tcW w:w="10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(0.1</w:t>
            </w:r>
          </w:p>
        </w:tc>
        <w:tc>
          <w:tcPr>
            <w:tcW w:w="8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income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w:t>
            </w: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0.4</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Acquistion costs and other underwriting expenses:</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Commission expense</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32.9</w:t>
            </w:r>
          </w:p>
        </w:tc>
        <w:tc>
          <w:tcPr>
            <w:tcW w:w="10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43.6</w:t>
            </w:r>
          </w:p>
        </w:tc>
        <w:tc>
          <w:tcPr>
            <w:tcW w:w="8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underwriting expenses</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28.9</w:t>
            </w:r>
          </w:p>
        </w:tc>
        <w:tc>
          <w:tcPr>
            <w:tcW w:w="1040" w:type="dxa"/>
            <w:vAlign w:val="bottom"/>
          </w:tcPr>
          <w:p>
            <w:pPr>
              <w:spacing w:after="0"/>
              <w:rPr>
                <w:sz w:val="12"/>
                <w:szCs w:val="12"/>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38.5</w:t>
            </w:r>
          </w:p>
        </w:tc>
        <w:tc>
          <w:tcPr>
            <w:tcW w:w="820" w:type="dxa"/>
            <w:vAlign w:val="bottom"/>
          </w:tcPr>
          <w:p>
            <w:pPr>
              <w:spacing w:after="0"/>
              <w:rPr>
                <w:sz w:val="12"/>
                <w:szCs w:val="12"/>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(9.6</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underwriting expense ratio</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29.9</w:t>
            </w:r>
          </w:p>
        </w:tc>
        <w:tc>
          <w:tcPr>
            <w:tcW w:w="1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22.5</w:t>
            </w: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7.4</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539"/>
        <w:spacing w:after="0" w:line="280" w:lineRule="auto"/>
        <w:rPr>
          <w:sz w:val="20"/>
          <w:szCs w:val="20"/>
          <w:color w:val="auto"/>
        </w:rPr>
      </w:pPr>
      <w:r>
        <w:rPr>
          <w:rFonts w:ascii="Times New Roman" w:cs="Times New Roman" w:eastAsia="Times New Roman" w:hAnsi="Times New Roman"/>
          <w:sz w:val="12"/>
          <w:szCs w:val="12"/>
          <w:color w:val="auto"/>
        </w:rPr>
        <w:t>The increase of 7.4 percentage points was due to the individual components of provisional ceding commission revenue, commission expense and other underwriting expenses and their relation to the increase in net premiums earned as a result of the additional retention resulting from the Cut-offs to our quota share treaties on July 1, 2014.</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auto"/>
        </w:rPr>
        <w:t>Other Operating Expenses</w:t>
      </w:r>
    </w:p>
    <w:p>
      <w:pPr>
        <w:spacing w:after="0" w:line="16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Other operating expenses, related to the expenses of our holding company, were $328,000 in 2015 compared to $250,000 in 2014. The increase in 2015 of $78,000, or 31.2%, was primarily due to higher stock-based compensation expense from additional options granted to our chief executive officer in August 2014 pursuant to his amended employment agreement, an increase in investor relation fees, and an increase in professional fees due to a change in the timing of expenses incurred to more accurately reflect the timing of the service rendered.</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auto"/>
        </w:rPr>
        <w:t>Depreciation and Amortization</w:t>
      </w:r>
    </w:p>
    <w:p>
      <w:pPr>
        <w:spacing w:after="0" w:line="168"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Depreciation and amortization was $236,000 in 2015 compared to $183,000 in 2014. The increase of $53,000, or 29.0%, in depreciation and amortization was primarily due to depreciation on newly purchased assets used to upgrade our systems infrastructure and the building from which we operate.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Income Tax Expense</w:t>
      </w:r>
    </w:p>
    <w:p>
      <w:pPr>
        <w:spacing w:after="0" w:line="16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Income tax expense in 2015 was $192,000, which resulted in an effective tax rate of 33.4%. Income tax expense in 2014 was $153,000, which resulted in an effective tax rate of 31.8%. Income before taxes was $574,000 in 2015 compared to $480,000 in 2014. The increase in the effective tax rate by 1.6 percentage points in 2015 is a result of the change in the enacted state tax rate resulting in a current period decrease in the deferred tax benefit of our state net operating losses, net of the corresponding valuation adjustment. This increase was partially offset by the benefits of permanent differences generated from investment income as a result of the increase in our invested assets.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Net Income</w:t>
      </w:r>
    </w:p>
    <w:p>
      <w:pPr>
        <w:spacing w:after="0" w:line="16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Net income was $382,000 in 2015 compared to $327,000 in 2014. The increase in net income of $56,000, or 17.1%, was due to the circumstances described above that caused the increase in our net premiums earned, net investment income, and other income, and decrease in our net loss ratio, partially offset by a decrease in net realized gains and ceding commission revenue, and increases in other underwriting expenses related to premium growth and other operating expenses.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40" w:name="page41"/>
    <w:bookmarkEnd w:id="40"/>
    <w:p>
      <w:pPr>
        <w:ind w:left="8"/>
        <w:spacing w:after="0"/>
        <w:rPr>
          <w:sz w:val="20"/>
          <w:szCs w:val="20"/>
          <w:color w:val="auto"/>
        </w:rPr>
      </w:pPr>
      <w:r>
        <w:rPr>
          <w:rFonts w:ascii="Times New Roman" w:cs="Times New Roman" w:eastAsia="Times New Roman" w:hAnsi="Times New Roman"/>
          <w:sz w:val="12"/>
          <w:szCs w:val="12"/>
          <w:b w:val="1"/>
          <w:bCs w:val="1"/>
          <w:color w:val="auto"/>
        </w:rPr>
        <w:t>Additional Financial Information</w:t>
      </w:r>
    </w:p>
    <w:p>
      <w:pPr>
        <w:spacing w:after="0" w:line="172" w:lineRule="exact"/>
        <w:rPr>
          <w:sz w:val="20"/>
          <w:szCs w:val="20"/>
          <w:color w:val="auto"/>
        </w:rPr>
      </w:pPr>
    </w:p>
    <w:p>
      <w:pPr>
        <w:ind w:left="8" w:right="20" w:firstLine="432"/>
        <w:spacing w:after="0" w:line="280" w:lineRule="auto"/>
        <w:rPr>
          <w:sz w:val="20"/>
          <w:szCs w:val="20"/>
          <w:color w:val="auto"/>
        </w:rPr>
      </w:pPr>
      <w:r>
        <w:rPr>
          <w:rFonts w:ascii="Times New Roman" w:cs="Times New Roman" w:eastAsia="Times New Roman" w:hAnsi="Times New Roman"/>
          <w:sz w:val="12"/>
          <w:szCs w:val="12"/>
          <w:color w:val="auto"/>
        </w:rPr>
        <w:t>We operate our business as one segment, property and casualty insurance. Within this segment, we offer a wide array of property and casualty policies to our producers. The following table summarizes gross and net premiums written, net premiums earned, and loss and loss adjustment expenses by major product type, which were determined based primarily on similar economic characteristics and risks of loss.</w:t>
      </w:r>
    </w:p>
    <w:p>
      <w:pPr>
        <w:spacing w:after="0" w:line="164"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p>
      <w:pPr>
        <w:jc w:val="center"/>
        <w:ind w:left="6380"/>
        <w:spacing w:after="0" w:line="236" w:lineRule="auto"/>
        <w:rPr>
          <w:sz w:val="20"/>
          <w:szCs w:val="20"/>
          <w:color w:val="auto"/>
        </w:rPr>
      </w:pPr>
      <w:r>
        <w:rPr>
          <w:rFonts w:ascii="Times New Roman" w:cs="Times New Roman" w:eastAsia="Times New Roman" w:hAnsi="Times New Roman"/>
          <w:sz w:val="10"/>
          <w:szCs w:val="1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-5715</wp:posOffset>
            </wp:positionV>
            <wp:extent cx="2562225"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225" cy="11430"/>
                    </a:xfrm>
                    <a:prstGeom prst="rect">
                      <a:avLst/>
                    </a:prstGeom>
                    <a:noFill/>
                  </pic:spPr>
                </pic:pic>
              </a:graphicData>
            </a:graphic>
          </wp:anchor>
        </w:drawing>
      </w:r>
    </w:p>
    <w:p>
      <w:pPr>
        <w:spacing w:after="0" w:line="17"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0"/>
                <w:szCs w:val="10"/>
                <w:b w:val="1"/>
                <w:bCs w:val="1"/>
                <w:color w:val="auto"/>
              </w:rPr>
              <w:t>2015</w:t>
            </w: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2014</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Gross premiums written:</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9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14,237,717</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11,591,297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2,799,370</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2,795,997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auto</w:t>
            </w:r>
          </w:p>
        </w:tc>
        <w:tc>
          <w:tcPr>
            <w:tcW w:w="9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535,236</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992,176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Livery physical damage</w:t>
            </w: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1,872,615</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941,863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Other(1)</w:t>
            </w:r>
          </w:p>
        </w:tc>
        <w:tc>
          <w:tcPr>
            <w:tcW w:w="9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52,402</w:t>
            </w:r>
          </w:p>
        </w:tc>
        <w:tc>
          <w:tcPr>
            <w:tcW w:w="2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33,759</w:t>
            </w: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19,497,340</w:t>
            </w:r>
          </w:p>
        </w:tc>
        <w:tc>
          <w:tcPr>
            <w:tcW w:w="800" w:type="dxa"/>
            <w:vAlign w:val="bottom"/>
          </w:tcPr>
          <w:p>
            <w:pPr>
              <w:spacing w:after="0"/>
              <w:rPr>
                <w:sz w:val="12"/>
                <w:szCs w:val="12"/>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16,355,092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8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Net premiums written:</w:t>
            </w: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9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5,952,781</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2,724,449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2,537,775</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1,946,824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auto</w:t>
            </w:r>
          </w:p>
        </w:tc>
        <w:tc>
          <w:tcPr>
            <w:tcW w:w="9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485,914</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957,400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Livery physical damage</w:t>
            </w: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1,872,615</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941,863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Other(1)</w:t>
            </w:r>
          </w:p>
        </w:tc>
        <w:tc>
          <w:tcPr>
            <w:tcW w:w="9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28,850</w:t>
            </w:r>
          </w:p>
        </w:tc>
        <w:tc>
          <w:tcPr>
            <w:tcW w:w="2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14,727</w:t>
            </w: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10,877,935</w:t>
            </w:r>
          </w:p>
        </w:tc>
        <w:tc>
          <w:tcPr>
            <w:tcW w:w="800" w:type="dxa"/>
            <w:vAlign w:val="bottom"/>
          </w:tcPr>
          <w:p>
            <w:pPr>
              <w:spacing w:after="0"/>
              <w:rPr>
                <w:sz w:val="12"/>
                <w:szCs w:val="12"/>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6,585,263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8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Net premiums earned:</w:t>
            </w: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9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5,960,475</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2,572,215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2,412,143</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1,580,823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auto</w:t>
            </w:r>
          </w:p>
        </w:tc>
        <w:tc>
          <w:tcPr>
            <w:tcW w:w="9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662,632</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1,106,683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Livery physical damage</w:t>
            </w: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1,306,577</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638,393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Other(1)</w:t>
            </w:r>
          </w:p>
        </w:tc>
        <w:tc>
          <w:tcPr>
            <w:tcW w:w="9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43,972</w:t>
            </w:r>
          </w:p>
        </w:tc>
        <w:tc>
          <w:tcPr>
            <w:tcW w:w="2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28,197</w:t>
            </w: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10,385,799</w:t>
            </w:r>
          </w:p>
        </w:tc>
        <w:tc>
          <w:tcPr>
            <w:tcW w:w="800" w:type="dxa"/>
            <w:vAlign w:val="bottom"/>
          </w:tcPr>
          <w:p>
            <w:pPr>
              <w:spacing w:after="0"/>
              <w:rPr>
                <w:sz w:val="12"/>
                <w:szCs w:val="12"/>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5,926,311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8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Net loss and loss adjustment expenses:</w:t>
            </w: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9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4,348,571</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1,849,380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1,467,693</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973,738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auto</w:t>
            </w:r>
          </w:p>
        </w:tc>
        <w:tc>
          <w:tcPr>
            <w:tcW w:w="9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339,208</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1,032,271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Livery physical damage</w:t>
            </w: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547,741</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200,839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Other(1)</w:t>
            </w:r>
          </w:p>
        </w:tc>
        <w:tc>
          <w:tcPr>
            <w:tcW w:w="9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77,146</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33,657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Unallocated loss adjustment expenses</w:t>
            </w:r>
          </w:p>
        </w:tc>
        <w:tc>
          <w:tcPr>
            <w:tcW w:w="9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282,858</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235,069</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9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7,063,217</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4,324,954</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6880" w:type="dxa"/>
            <w:vAlign w:val="bottom"/>
            <w:tcBorders>
              <w:top w:val="single" w:sz="8" w:color="CCEEFF"/>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ratio:</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73.0</w:t>
            </w:r>
          </w:p>
        </w:tc>
        <w:tc>
          <w:tcPr>
            <w:tcW w:w="8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71.9</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9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60.8</w:t>
            </w:r>
          </w:p>
        </w:tc>
        <w:tc>
          <w:tcPr>
            <w:tcW w:w="8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61.6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Commercial auto</w:t>
            </w: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51.2</w:t>
            </w:r>
          </w:p>
        </w:tc>
        <w:tc>
          <w:tcPr>
            <w:tcW w:w="8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93.3</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Livery physical damage</w:t>
            </w:r>
          </w:p>
        </w:tc>
        <w:tc>
          <w:tcPr>
            <w:tcW w:w="9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41.9</w:t>
            </w:r>
          </w:p>
        </w:tc>
        <w:tc>
          <w:tcPr>
            <w:tcW w:w="8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Other(1)</w:t>
            </w:r>
          </w:p>
        </w:tc>
        <w:tc>
          <w:tcPr>
            <w:tcW w:w="92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175.4</w:t>
            </w:r>
          </w:p>
        </w:tc>
        <w:tc>
          <w:tcPr>
            <w:tcW w:w="8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119.4</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w:t>
            </w:r>
          </w:p>
        </w:tc>
        <w:tc>
          <w:tcPr>
            <w:tcW w:w="9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68.0</w:t>
            </w:r>
          </w:p>
        </w:tc>
        <w:tc>
          <w:tcPr>
            <w:tcW w:w="8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73.0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__________________________________</w:t>
            </w: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688" w:right="3280" w:hanging="5688"/>
        <w:spacing w:after="0" w:line="734" w:lineRule="auto"/>
        <w:tabs>
          <w:tab w:leader="none" w:pos="43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includes, among other things, premiums and loss and loss adjustment expenses from our participation in a mandatory state joint underwriting association.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6" w:right="1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b w:val="1"/>
          <w:bCs w:val="1"/>
          <w:color w:val="auto"/>
        </w:rPr>
        <w:t>Insurance Underwriting Business on a Standalone Basis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insurance underwriting business reported on a standalone basis for the periods indicated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0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37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2015</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2014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0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Revenue</w:t>
            </w:r>
            <w:r>
              <w:rPr>
                <w:rFonts w:ascii="Times New Roman" w:cs="Times New Roman" w:eastAsia="Times New Roman" w:hAnsi="Times New Roman"/>
                <w:sz w:val="12"/>
                <w:szCs w:val="12"/>
                <w:color w:val="auto"/>
              </w:rPr>
              <w:t>s</w:t>
            </w:r>
          </w:p>
        </w:tc>
        <w:tc>
          <w:tcPr>
            <w:tcW w:w="28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premiums earned</w:t>
            </w:r>
          </w:p>
        </w:tc>
        <w:tc>
          <w:tcPr>
            <w:tcW w:w="3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10,385,799</w:t>
            </w: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5,926,311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Ceding commission revenue</w:t>
            </w:r>
          </w:p>
        </w:tc>
        <w:tc>
          <w:tcPr>
            <w:tcW w:w="2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3,089,404</w:t>
            </w: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3,381,283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investment income</w:t>
            </w:r>
          </w:p>
        </w:tc>
        <w:tc>
          <w:tcPr>
            <w:tcW w:w="2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574,656</w:t>
            </w: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378,788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realized (losses) gains on investments</w:t>
            </w:r>
          </w:p>
        </w:tc>
        <w:tc>
          <w:tcPr>
            <w:tcW w:w="2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(67,494</w:t>
            </w:r>
          </w:p>
        </w:tc>
        <w:tc>
          <w:tcPr>
            <w:tcW w:w="9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188,348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income</w:t>
            </w:r>
          </w:p>
        </w:tc>
        <w:tc>
          <w:tcPr>
            <w:tcW w:w="28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220,336</w:t>
            </w:r>
          </w:p>
        </w:tc>
        <w:tc>
          <w:tcPr>
            <w:tcW w:w="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148,795</w:t>
            </w: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revenues</w:t>
            </w:r>
          </w:p>
        </w:tc>
        <w:tc>
          <w:tcPr>
            <w:tcW w:w="2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14,202,701</w:t>
            </w: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10,023,525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Expense</w:t>
            </w:r>
            <w:r>
              <w:rPr>
                <w:rFonts w:ascii="Times New Roman" w:cs="Times New Roman" w:eastAsia="Times New Roman" w:hAnsi="Times New Roman"/>
                <w:sz w:val="12"/>
                <w:szCs w:val="12"/>
                <w:color w:val="auto"/>
              </w:rPr>
              <w:t>s</w:t>
            </w:r>
          </w:p>
        </w:tc>
        <w:tc>
          <w:tcPr>
            <w:tcW w:w="2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Loss and loss adjustment expenses</w:t>
            </w:r>
          </w:p>
        </w:tc>
        <w:tc>
          <w:tcPr>
            <w:tcW w:w="2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7,063,217</w:t>
            </w: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4,324,954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Commission expense</w:t>
            </w:r>
          </w:p>
        </w:tc>
        <w:tc>
          <w:tcPr>
            <w:tcW w:w="2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3,412,327</w:t>
            </w: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2,582,508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underwriting expenses</w:t>
            </w:r>
          </w:p>
        </w:tc>
        <w:tc>
          <w:tcPr>
            <w:tcW w:w="2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2,999,155</w:t>
            </w: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2,281,749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8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234,816</w:t>
            </w: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182,273</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expenses</w:t>
            </w:r>
          </w:p>
        </w:tc>
        <w:tc>
          <w:tcPr>
            <w:tcW w:w="2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13,709,515</w:t>
            </w: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9,371,484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top w:val="single" w:sz="8" w:color="CCEEFF"/>
            </w:tcBorders>
          </w:tcPr>
          <w:p>
            <w:pPr>
              <w:spacing w:after="0"/>
              <w:rPr>
                <w:sz w:val="12"/>
                <w:szCs w:val="12"/>
                <w:color w:val="auto"/>
              </w:rPr>
            </w:pPr>
          </w:p>
        </w:tc>
        <w:tc>
          <w:tcPr>
            <w:tcW w:w="28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Income from operations</w:t>
            </w:r>
          </w:p>
        </w:tc>
        <w:tc>
          <w:tcPr>
            <w:tcW w:w="2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493,186</w:t>
            </w: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652,041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 expense</w:t>
            </w:r>
          </w:p>
        </w:tc>
        <w:tc>
          <w:tcPr>
            <w:tcW w:w="28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118,062</w:t>
            </w: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192,788</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w:t>
            </w:r>
            <w:r>
              <w:rPr>
                <w:rFonts w:ascii="Times New Roman" w:cs="Times New Roman" w:eastAsia="Times New Roman" w:hAnsi="Times New Roman"/>
                <w:sz w:val="12"/>
                <w:szCs w:val="12"/>
                <w:color w:val="auto"/>
              </w:rPr>
              <w:t>e</w:t>
            </w:r>
          </w:p>
        </w:tc>
        <w:tc>
          <w:tcPr>
            <w:tcW w:w="3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375,124</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459,253</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060" w:type="dxa"/>
            <w:vAlign w:val="bottom"/>
            <w:tcBorders>
              <w:top w:val="single" w:sz="8" w:color="CCEEFF"/>
            </w:tcBorders>
          </w:tcPr>
          <w:p>
            <w:pPr>
              <w:spacing w:after="0"/>
              <w:rPr>
                <w:sz w:val="10"/>
                <w:szCs w:val="10"/>
                <w:color w:val="auto"/>
              </w:rPr>
            </w:pPr>
          </w:p>
        </w:tc>
        <w:tc>
          <w:tcPr>
            <w:tcW w:w="2840" w:type="dxa"/>
            <w:vAlign w:val="bottom"/>
            <w:tcBorders>
              <w:top w:val="single" w:sz="8" w:color="CCEEFF"/>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Key Measures:</w:t>
            </w:r>
          </w:p>
        </w:tc>
        <w:tc>
          <w:tcPr>
            <w:tcW w:w="2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loss ratio</w:t>
            </w:r>
          </w:p>
        </w:tc>
        <w:tc>
          <w:tcPr>
            <w:tcW w:w="2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68.0</w:t>
            </w: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73.0</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4"/>
        </w:trPr>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underwriting expense ratio</w:t>
            </w:r>
          </w:p>
        </w:tc>
        <w:tc>
          <w:tcPr>
            <w:tcW w:w="28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40" w:type="dxa"/>
            <w:vAlign w:val="bottom"/>
          </w:tcPr>
          <w:p>
            <w:pPr>
              <w:spacing w:after="0"/>
              <w:rPr>
                <w:sz w:val="12"/>
                <w:szCs w:val="12"/>
                <w:color w:val="auto"/>
              </w:rPr>
            </w:pPr>
          </w:p>
        </w:tc>
        <w:tc>
          <w:tcPr>
            <w:tcW w:w="9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220" w:type="dxa"/>
            <w:vAlign w:val="bottom"/>
          </w:tcPr>
          <w:p>
            <w:pPr>
              <w:spacing w:after="0"/>
              <w:rPr>
                <w:sz w:val="12"/>
                <w:szCs w:val="12"/>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combined ratio</w:t>
            </w:r>
          </w:p>
        </w:tc>
        <w:tc>
          <w:tcPr>
            <w:tcW w:w="2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97.9</w:t>
            </w: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95.5</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20"/>
        </w:trPr>
        <w:tc>
          <w:tcPr>
            <w:tcW w:w="4060" w:type="dxa"/>
            <w:vAlign w:val="bottom"/>
            <w:tcBorders>
              <w:top w:val="single" w:sz="8" w:color="CCEEFF"/>
            </w:tcBorders>
          </w:tcPr>
          <w:p>
            <w:pPr>
              <w:spacing w:after="0"/>
              <w:rPr>
                <w:sz w:val="10"/>
                <w:szCs w:val="10"/>
                <w:color w:val="auto"/>
              </w:rPr>
            </w:pPr>
          </w:p>
        </w:tc>
        <w:tc>
          <w:tcPr>
            <w:tcW w:w="2840" w:type="dxa"/>
            <w:vAlign w:val="bottom"/>
            <w:tcBorders>
              <w:top w:val="single" w:sz="8" w:color="CCEEFF"/>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Reconciliation of net underwriting expense ratio:</w:t>
            </w:r>
          </w:p>
        </w:tc>
        <w:tc>
          <w:tcPr>
            <w:tcW w:w="2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Acquisition costs and other</w:t>
            </w:r>
          </w:p>
        </w:tc>
        <w:tc>
          <w:tcPr>
            <w:tcW w:w="2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underwriting expenses</w:t>
            </w:r>
          </w:p>
        </w:tc>
        <w:tc>
          <w:tcPr>
            <w:tcW w:w="3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6,411,482</w:t>
            </w: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4,864,257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Less: Ceding commission revenue</w:t>
            </w:r>
          </w:p>
        </w:tc>
        <w:tc>
          <w:tcPr>
            <w:tcW w:w="2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(3,089,404</w:t>
            </w:r>
          </w:p>
        </w:tc>
        <w:tc>
          <w:tcPr>
            <w:tcW w:w="9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(3,381,283</w:t>
            </w:r>
          </w:p>
        </w:tc>
        <w:tc>
          <w:tcPr>
            <w:tcW w:w="3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Less: Other income</w:t>
            </w:r>
          </w:p>
        </w:tc>
        <w:tc>
          <w:tcPr>
            <w:tcW w:w="28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(220,336</w:t>
            </w:r>
          </w:p>
        </w:tc>
        <w:tc>
          <w:tcPr>
            <w:tcW w:w="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(148,795</w:t>
            </w: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underwriting expenses</w:t>
            </w:r>
          </w:p>
        </w:tc>
        <w:tc>
          <w:tcPr>
            <w:tcW w:w="37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3,101,742</w:t>
            </w:r>
          </w:p>
        </w:tc>
        <w:tc>
          <w:tcPr>
            <w:tcW w:w="960" w:type="dxa"/>
            <w:vAlign w:val="bottom"/>
          </w:tcPr>
          <w:p>
            <w:pPr>
              <w:spacing w:after="0"/>
              <w:rPr>
                <w:sz w:val="12"/>
                <w:szCs w:val="12"/>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1,334,179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60" w:type="dxa"/>
            <w:vAlign w:val="bottom"/>
            <w:shd w:val="clear" w:color="auto" w:fill="CCEEFF"/>
          </w:tcPr>
          <w:p>
            <w:pPr>
              <w:spacing w:after="0"/>
              <w:rPr>
                <w:sz w:val="10"/>
                <w:szCs w:val="10"/>
                <w:color w:val="auto"/>
              </w:rPr>
            </w:pPr>
          </w:p>
        </w:tc>
        <w:tc>
          <w:tcPr>
            <w:tcW w:w="28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premiums earned</w:t>
            </w:r>
          </w:p>
        </w:tc>
        <w:tc>
          <w:tcPr>
            <w:tcW w:w="37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10,385,799</w:t>
            </w:r>
          </w:p>
        </w:tc>
        <w:tc>
          <w:tcPr>
            <w:tcW w:w="960" w:type="dxa"/>
            <w:vAlign w:val="bottom"/>
          </w:tcPr>
          <w:p>
            <w:pPr>
              <w:spacing w:after="0"/>
              <w:rPr>
                <w:sz w:val="12"/>
                <w:szCs w:val="12"/>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5,926,311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60" w:type="dxa"/>
            <w:vAlign w:val="bottom"/>
            <w:shd w:val="clear" w:color="auto" w:fill="CCEEFF"/>
          </w:tcPr>
          <w:p>
            <w:pPr>
              <w:spacing w:after="0"/>
              <w:rPr>
                <w:sz w:val="10"/>
                <w:szCs w:val="10"/>
                <w:color w:val="auto"/>
              </w:rPr>
            </w:pPr>
          </w:p>
        </w:tc>
        <w:tc>
          <w:tcPr>
            <w:tcW w:w="28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Underwriting Expense Ratio</w:t>
            </w:r>
          </w:p>
        </w:tc>
        <w:tc>
          <w:tcPr>
            <w:tcW w:w="2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29.9</w:t>
            </w:r>
          </w:p>
        </w:tc>
        <w:tc>
          <w:tcPr>
            <w:tcW w:w="9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22.5</w:t>
            </w:r>
          </w:p>
        </w:tc>
        <w:tc>
          <w:tcPr>
            <w:tcW w:w="320" w:type="dxa"/>
            <w:vAlign w:val="bottom"/>
          </w:tcPr>
          <w:p>
            <w:pPr>
              <w:ind w:left="2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840" w:type="dxa"/>
            <w:vAlign w:val="bottom"/>
            <w:vMerge w:val="restart"/>
          </w:tcPr>
          <w:p>
            <w:pPr>
              <w:jc w:val="right"/>
              <w:ind w:right="1042"/>
              <w:spacing w:after="0"/>
              <w:rPr>
                <w:sz w:val="20"/>
                <w:szCs w:val="20"/>
                <w:color w:val="auto"/>
              </w:rPr>
            </w:pPr>
            <w:r>
              <w:rPr>
                <w:rFonts w:ascii="Times New Roman" w:cs="Times New Roman" w:eastAsia="Times New Roman" w:hAnsi="Times New Roman"/>
                <w:sz w:val="12"/>
                <w:szCs w:val="12"/>
                <w:color w:val="auto"/>
              </w:rPr>
              <w:t>40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0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060" w:type="dxa"/>
            <w:vAlign w:val="bottom"/>
            <w:tcBorders>
              <w:bottom w:val="single" w:sz="8" w:color="808080"/>
            </w:tcBorders>
          </w:tcPr>
          <w:p>
            <w:pPr>
              <w:spacing w:after="0"/>
              <w:rPr>
                <w:sz w:val="6"/>
                <w:szCs w:val="6"/>
                <w:color w:val="auto"/>
              </w:rPr>
            </w:pPr>
          </w:p>
        </w:tc>
        <w:tc>
          <w:tcPr>
            <w:tcW w:w="28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color w:val="auto"/>
        </w:rPr>
        <w:t>An analysis of our direct, assumed and ceded earned premiums, loss and loss adjustment expenses, and loss ratios is shown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Direct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Assumed</w:t>
            </w:r>
          </w:p>
        </w:tc>
        <w:tc>
          <w:tcPr>
            <w:tcW w:w="260" w:type="dxa"/>
            <w:vAlign w:val="bottom"/>
          </w:tcPr>
          <w:p>
            <w:pPr>
              <w:spacing w:after="0"/>
              <w:rPr>
                <w:sz w:val="10"/>
                <w:szCs w:val="10"/>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Ceded</w:t>
            </w:r>
          </w:p>
        </w:tc>
        <w:tc>
          <w:tcPr>
            <w:tcW w:w="280" w:type="dxa"/>
            <w:vAlign w:val="bottom"/>
          </w:tcPr>
          <w:p>
            <w:pPr>
              <w:spacing w:after="0"/>
              <w:rPr>
                <w:sz w:val="10"/>
                <w:szCs w:val="10"/>
                <w:color w:val="auto"/>
              </w:rPr>
            </w:pPr>
          </w:p>
        </w:tc>
        <w:tc>
          <w:tcPr>
            <w:tcW w:w="960" w:type="dxa"/>
            <w:vAlign w:val="bottom"/>
            <w:gridSpan w:val="2"/>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Net</w:t>
            </w:r>
          </w:p>
        </w:tc>
        <w:tc>
          <w:tcPr>
            <w:tcW w:w="0" w:type="dxa"/>
            <w:vAlign w:val="bottom"/>
          </w:tcPr>
          <w:p>
            <w:pPr>
              <w:spacing w:after="0"/>
              <w:rPr>
                <w:sz w:val="1"/>
                <w:szCs w:val="1"/>
                <w:color w:val="auto"/>
              </w:rPr>
            </w:pPr>
          </w:p>
        </w:tc>
      </w:tr>
      <w:tr>
        <w:trPr>
          <w:trHeight w:val="286"/>
        </w:trPr>
        <w:tc>
          <w:tcPr>
            <w:tcW w:w="4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Three months ended March 31, 2015</w:t>
            </w:r>
          </w:p>
        </w:tc>
        <w:tc>
          <w:tcPr>
            <w:tcW w:w="20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Written premiums</w:t>
            </w:r>
          </w:p>
        </w:tc>
        <w:tc>
          <w:tcPr>
            <w:tcW w:w="2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19,489,429</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7,911</w:t>
            </w: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(8,619,406)</w:t>
            </w: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10,877,934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unearned premiums</w:t>
            </w:r>
          </w:p>
        </w:tc>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(472,331)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3,912</w:t>
            </w:r>
          </w:p>
        </w:tc>
        <w:tc>
          <w:tcPr>
            <w:tcW w:w="26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(23,716)</w:t>
            </w:r>
          </w:p>
        </w:tc>
        <w:tc>
          <w:tcPr>
            <w:tcW w:w="28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(492,135)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Earned premiums</w:t>
            </w:r>
          </w:p>
        </w:tc>
        <w:tc>
          <w:tcPr>
            <w:tcW w:w="20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19,017,098</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11,823</w:t>
            </w: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(8,643,122)</w:t>
            </w: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10,385,799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80" w:type="dxa"/>
            <w:vAlign w:val="bottom"/>
            <w:tcBorders>
              <w:top w:val="single" w:sz="8" w:color="CCEEFF"/>
            </w:tcBorders>
          </w:tcPr>
          <w:p>
            <w:pPr>
              <w:spacing w:after="0"/>
              <w:rPr>
                <w:sz w:val="10"/>
                <w:szCs w:val="10"/>
                <w:color w:val="auto"/>
              </w:rPr>
            </w:pPr>
          </w:p>
        </w:tc>
        <w:tc>
          <w:tcPr>
            <w:tcW w:w="20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and loss adjustment expenses exluding</w:t>
            </w:r>
          </w:p>
        </w:tc>
        <w:tc>
          <w:tcPr>
            <w:tcW w:w="2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the effect of catastrophes</w:t>
            </w:r>
          </w:p>
        </w:tc>
        <w:tc>
          <w:tcPr>
            <w:tcW w:w="2340" w:type="dxa"/>
            <w:vAlign w:val="bottom"/>
            <w:gridSpan w:val="2"/>
          </w:tcPr>
          <w:p>
            <w:pPr>
              <w:jc w:val="right"/>
              <w:ind w:right="145"/>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8,368,211</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58,042</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(3,201,444)</w:t>
            </w: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5,224,809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Catastrophe loss</w:t>
            </w:r>
          </w:p>
        </w:tc>
        <w:tc>
          <w:tcPr>
            <w:tcW w:w="2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4,085,351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(2,246,943)</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1,838,408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and loss adjustment expenses</w:t>
            </w:r>
          </w:p>
        </w:tc>
        <w:tc>
          <w:tcPr>
            <w:tcW w:w="2080" w:type="dxa"/>
            <w:vAlign w:val="bottom"/>
          </w:tcPr>
          <w:p>
            <w:pPr>
              <w:spacing w:after="0"/>
              <w:rPr>
                <w:sz w:val="12"/>
                <w:szCs w:val="12"/>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12,453,562</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58,042</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(5,448,387)</w:t>
            </w: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7,063,217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398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ratio excluding the effect of catastrophes</w:t>
            </w:r>
          </w:p>
        </w:tc>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44.0%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490.9%</w:t>
            </w:r>
          </w:p>
        </w:tc>
        <w:tc>
          <w:tcPr>
            <w:tcW w:w="26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37.0%</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Catastrophe loss</w:t>
            </w:r>
          </w:p>
        </w:tc>
        <w:tc>
          <w:tcPr>
            <w:tcW w:w="2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ratio</w:t>
            </w:r>
          </w:p>
        </w:tc>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65.5%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490.9%</w:t>
            </w:r>
          </w:p>
        </w:tc>
        <w:tc>
          <w:tcPr>
            <w:tcW w:w="26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63.0%</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8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Three months ended March 31, 2014</w:t>
            </w:r>
          </w:p>
        </w:tc>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Written premiums</w:t>
            </w:r>
          </w:p>
        </w:tc>
        <w:tc>
          <w:tcPr>
            <w:tcW w:w="2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16,347,445</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7,647</w:t>
            </w: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(9,769,829)</w:t>
            </w: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6,585,263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unearned premiums</w:t>
            </w:r>
          </w:p>
        </w:tc>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(1,133,528)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2,654</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471,922</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(658,952)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Earned premiums</w:t>
            </w:r>
          </w:p>
        </w:tc>
        <w:tc>
          <w:tcPr>
            <w:tcW w:w="20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15,213,917</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10,301</w:t>
            </w:r>
          </w:p>
        </w:tc>
        <w:tc>
          <w:tcPr>
            <w:tcW w:w="2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(9,297,907)</w:t>
            </w: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5,926,311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80" w:type="dxa"/>
            <w:vAlign w:val="bottom"/>
            <w:tcBorders>
              <w:top w:val="single" w:sz="8" w:color="CCEEFF"/>
            </w:tcBorders>
          </w:tcPr>
          <w:p>
            <w:pPr>
              <w:spacing w:after="0"/>
              <w:rPr>
                <w:sz w:val="10"/>
                <w:szCs w:val="10"/>
                <w:color w:val="auto"/>
              </w:rPr>
            </w:pPr>
          </w:p>
        </w:tc>
        <w:tc>
          <w:tcPr>
            <w:tcW w:w="20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and loss adjustment expenses exluding</w:t>
            </w:r>
          </w:p>
        </w:tc>
        <w:tc>
          <w:tcPr>
            <w:tcW w:w="2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the effect of catastrophes</w:t>
            </w:r>
          </w:p>
        </w:tc>
        <w:tc>
          <w:tcPr>
            <w:tcW w:w="2340" w:type="dxa"/>
            <w:vAlign w:val="bottom"/>
            <w:gridSpan w:val="2"/>
          </w:tcPr>
          <w:p>
            <w:pPr>
              <w:jc w:val="right"/>
              <w:ind w:right="145"/>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7,266,648</w:t>
            </w:r>
          </w:p>
        </w:tc>
        <w:tc>
          <w:tcPr>
            <w:tcW w:w="160" w:type="dxa"/>
            <w:vAlign w:val="bottom"/>
          </w:tcPr>
          <w:p>
            <w:pPr>
              <w:spacing w:after="0"/>
              <w:rPr>
                <w:sz w:val="12"/>
                <w:szCs w:val="12"/>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12,661</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(3,895,382)</w:t>
            </w: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3,383,927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Catastrophe loss</w:t>
            </w:r>
          </w:p>
        </w:tc>
        <w:tc>
          <w:tcPr>
            <w:tcW w:w="2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3,764,108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(2,823,081)</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941,027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and loss adjustment expenses</w:t>
            </w:r>
          </w:p>
        </w:tc>
        <w:tc>
          <w:tcPr>
            <w:tcW w:w="2080" w:type="dxa"/>
            <w:vAlign w:val="bottom"/>
          </w:tcPr>
          <w:p>
            <w:pPr>
              <w:spacing w:after="0"/>
              <w:rPr>
                <w:sz w:val="12"/>
                <w:szCs w:val="12"/>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11,030,756</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12,661</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(6,718,463)</w:t>
            </w: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4,324,954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398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ratio excluding the effect of catastrophes</w:t>
            </w:r>
          </w:p>
        </w:tc>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47.8%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122.9%</w:t>
            </w:r>
          </w:p>
        </w:tc>
        <w:tc>
          <w:tcPr>
            <w:tcW w:w="26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41.9%</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Catastrophe loss</w:t>
            </w:r>
          </w:p>
        </w:tc>
        <w:tc>
          <w:tcPr>
            <w:tcW w:w="2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30.4%</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ratio</w:t>
            </w:r>
          </w:p>
        </w:tc>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72.5%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122.9%</w:t>
            </w:r>
          </w:p>
        </w:tc>
        <w:tc>
          <w:tcPr>
            <w:tcW w:w="26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72.3%</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80" w:type="dxa"/>
            <w:vAlign w:val="bottom"/>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41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980" w:type="dxa"/>
            <w:vAlign w:val="bottom"/>
            <w:tcBorders>
              <w:bottom w:val="single" w:sz="8" w:color="808080"/>
            </w:tcBorders>
          </w:tcPr>
          <w:p>
            <w:pPr>
              <w:spacing w:after="0"/>
              <w:rPr>
                <w:sz w:val="6"/>
                <w:szCs w:val="6"/>
                <w:color w:val="auto"/>
              </w:rPr>
            </w:pPr>
          </w:p>
        </w:tc>
        <w:tc>
          <w:tcPr>
            <w:tcW w:w="20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43" w:name="page44"/>
    <w:bookmarkEnd w:id="43"/>
    <w:p>
      <w:pPr>
        <w:ind w:left="428"/>
        <w:spacing w:after="0"/>
        <w:rPr>
          <w:sz w:val="20"/>
          <w:szCs w:val="20"/>
          <w:color w:val="auto"/>
        </w:rPr>
      </w:pPr>
      <w:r>
        <w:rPr>
          <w:rFonts w:ascii="Times New Roman" w:cs="Times New Roman" w:eastAsia="Times New Roman" w:hAnsi="Times New Roman"/>
          <w:sz w:val="12"/>
          <w:szCs w:val="12"/>
          <w:color w:val="auto"/>
        </w:rPr>
        <w:t>The key measures for our insurance underwriting business for the periods indicated are as follows:</w:t>
      </w:r>
    </w:p>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5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b w:val="1"/>
                <w:bCs w:val="1"/>
                <w:color w:val="auto"/>
              </w:rPr>
              <w:t>2015</w:t>
            </w:r>
          </w:p>
        </w:tc>
        <w:tc>
          <w:tcPr>
            <w:tcW w:w="600" w:type="dxa"/>
            <w:vAlign w:val="bottom"/>
            <w:tcBorders>
              <w:bottom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2014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premiums earned</w:t>
            </w:r>
          </w:p>
        </w:tc>
        <w:tc>
          <w:tcPr>
            <w:tcW w:w="92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10,385,799</w:t>
            </w:r>
          </w:p>
        </w:tc>
        <w:tc>
          <w:tcPr>
            <w:tcW w:w="102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5,926,311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Ceding commission revenue (1)</w:t>
            </w: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3,089,404</w:t>
            </w: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3,381,283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220,336</w:t>
            </w:r>
          </w:p>
        </w:tc>
        <w:tc>
          <w:tcPr>
            <w:tcW w:w="102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148,795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and loss adjustment expenses (2)</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7,063,217</w:t>
            </w:r>
          </w:p>
        </w:tc>
        <w:tc>
          <w:tcPr>
            <w:tcW w:w="102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4,324,954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Acquistion costs and other underwriting expenses:</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Commission expense</w:t>
            </w: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3,412,327</w:t>
            </w: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2,582,508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underwriting expenses</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2,999,155</w:t>
            </w:r>
          </w:p>
        </w:tc>
        <w:tc>
          <w:tcPr>
            <w:tcW w:w="102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2,281,749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acquistion costs and other</w:t>
            </w:r>
          </w:p>
        </w:tc>
        <w:tc>
          <w:tcPr>
            <w:tcW w:w="9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underwriting expenses</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6,411,482</w:t>
            </w:r>
          </w:p>
        </w:tc>
        <w:tc>
          <w:tcPr>
            <w:tcW w:w="102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4,864,257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Underwriting income</w:t>
            </w:r>
          </w:p>
        </w:tc>
        <w:tc>
          <w:tcPr>
            <w:tcW w:w="92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220,840</w:t>
            </w:r>
          </w:p>
        </w:tc>
        <w:tc>
          <w:tcPr>
            <w:tcW w:w="1020" w:type="dxa"/>
            <w:vAlign w:val="bottom"/>
            <w:tcBorders>
              <w:left w:val="single" w:sz="8" w:color="CCEEFF"/>
            </w:tcBorders>
            <w:shd w:val="clear" w:color="auto" w:fill="CCEEFF"/>
          </w:tcPr>
          <w:p>
            <w:pPr>
              <w:spacing w:after="0"/>
              <w:rPr>
                <w:sz w:val="16"/>
                <w:szCs w:val="16"/>
                <w:color w:val="auto"/>
              </w:rPr>
            </w:pPr>
          </w:p>
        </w:tc>
        <w:tc>
          <w:tcPr>
            <w:tcW w:w="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267,178</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80" w:type="dxa"/>
            <w:vAlign w:val="bottom"/>
            <w:tcBorders>
              <w:top w:val="single" w:sz="8" w:color="CCEEFF"/>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20" w:type="dxa"/>
            <w:vAlign w:val="bottom"/>
            <w:tcBorders>
              <w:top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Key Measures:</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 ratio excluding the effect of catastrophes</w:t>
            </w: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w:t>
            </w:r>
          </w:p>
        </w:tc>
        <w:tc>
          <w:tcPr>
            <w:tcW w:w="10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57.1</w:t>
            </w:r>
          </w:p>
        </w:tc>
        <w:tc>
          <w:tcPr>
            <w:tcW w:w="320" w:type="dxa"/>
            <w:vAlign w:val="bottom"/>
          </w:tcPr>
          <w:p>
            <w:pPr>
              <w:ind w:left="2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Effect of catastrophe loss on net loss ratio (2) (3)</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020" w:type="dxa"/>
            <w:vAlign w:val="bottom"/>
            <w:tcBorders>
              <w:lef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15.9</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 ratio</w:t>
            </w: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68.0</w:t>
            </w:r>
          </w:p>
        </w:tc>
        <w:tc>
          <w:tcPr>
            <w:tcW w:w="10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73.0</w:t>
            </w:r>
          </w:p>
        </w:tc>
        <w:tc>
          <w:tcPr>
            <w:tcW w:w="320" w:type="dxa"/>
            <w:vAlign w:val="bottom"/>
          </w:tcPr>
          <w:p>
            <w:pPr>
              <w:ind w:left="2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20" w:type="dxa"/>
            <w:vAlign w:val="bottom"/>
            <w:tcBorders>
              <w:left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underwriting expense ratio excluding the</w:t>
            </w: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effect of catastrophes</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1020" w:type="dxa"/>
            <w:vAlign w:val="bottom"/>
            <w:tcBorders>
              <w:lef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13.8</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Effect of catastrophe loss on net underwriting</w:t>
            </w: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expense ratio (1) (2) (3)</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1020" w:type="dxa"/>
            <w:vAlign w:val="bottom"/>
            <w:tcBorders>
              <w:lef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8.7</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underwriting expense ratio</w:t>
            </w: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10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22.5</w:t>
            </w:r>
          </w:p>
        </w:tc>
        <w:tc>
          <w:tcPr>
            <w:tcW w:w="320" w:type="dxa"/>
            <w:vAlign w:val="bottom"/>
          </w:tcPr>
          <w:p>
            <w:pPr>
              <w:ind w:left="2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20" w:type="dxa"/>
            <w:vAlign w:val="bottom"/>
            <w:tcBorders>
              <w:left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combined ratio excluding the effect</w:t>
            </w: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of catastrophes</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69.4</w:t>
            </w:r>
          </w:p>
        </w:tc>
        <w:tc>
          <w:tcPr>
            <w:tcW w:w="1020" w:type="dxa"/>
            <w:vAlign w:val="bottom"/>
            <w:tcBorders>
              <w:lef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70.9</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Effect of catastrophe loss on net combined</w:t>
            </w: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ratio (1) (2) (3)</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1020" w:type="dxa"/>
            <w:vAlign w:val="bottom"/>
            <w:tcBorders>
              <w:lef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24.6</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combined ratio</w:t>
            </w: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97.9</w:t>
            </w:r>
          </w:p>
        </w:tc>
        <w:tc>
          <w:tcPr>
            <w:tcW w:w="10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95.5</w:t>
            </w:r>
          </w:p>
        </w:tc>
        <w:tc>
          <w:tcPr>
            <w:tcW w:w="320" w:type="dxa"/>
            <w:vAlign w:val="bottom"/>
          </w:tcPr>
          <w:p>
            <w:pPr>
              <w:ind w:left="2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20" w:type="dxa"/>
            <w:vAlign w:val="bottom"/>
            <w:tcBorders>
              <w:left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Reconciliation of net underwriting expense ratio:</w:t>
            </w: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Acquisition costs and other</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underwriting expenses</w:t>
            </w:r>
          </w:p>
        </w:tc>
        <w:tc>
          <w:tcPr>
            <w:tcW w:w="920" w:type="dxa"/>
            <w:vAlign w:val="bottom"/>
          </w:tcPr>
          <w:p>
            <w:pPr>
              <w:jc w:val="right"/>
              <w:ind w:right="36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6,411,482</w:t>
            </w:r>
          </w:p>
        </w:tc>
        <w:tc>
          <w:tcPr>
            <w:tcW w:w="1020" w:type="dxa"/>
            <w:vAlign w:val="bottom"/>
          </w:tcPr>
          <w:p>
            <w:pPr>
              <w:spacing w:after="0"/>
              <w:rPr>
                <w:sz w:val="12"/>
                <w:szCs w:val="12"/>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4,864,257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Less: Ceding commission revenue (1)</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(3,089,404</w:t>
            </w:r>
          </w:p>
        </w:tc>
        <w:tc>
          <w:tcPr>
            <w:tcW w:w="1020" w:type="dxa"/>
            <w:vAlign w:val="bottom"/>
            <w:tcBorders>
              <w:lef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(3,381,283</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Less: Other income</w:t>
            </w: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(220,336</w:t>
            </w:r>
          </w:p>
        </w:tc>
        <w:tc>
          <w:tcPr>
            <w:tcW w:w="10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(148,795</w:t>
            </w:r>
          </w:p>
        </w:tc>
        <w:tc>
          <w:tcPr>
            <w:tcW w:w="3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3,101,742</w:t>
            </w:r>
          </w:p>
        </w:tc>
        <w:tc>
          <w:tcPr>
            <w:tcW w:w="1020" w:type="dxa"/>
            <w:vAlign w:val="bottom"/>
            <w:tcBorders>
              <w:left w:val="single" w:sz="8" w:color="CCEEFF"/>
            </w:tcBorders>
            <w:shd w:val="clear" w:color="auto" w:fill="CCEEFF"/>
          </w:tcPr>
          <w:p>
            <w:pPr>
              <w:spacing w:after="0"/>
              <w:rPr>
                <w:sz w:val="15"/>
                <w:szCs w:val="15"/>
                <w:color w:val="auto"/>
              </w:rPr>
            </w:pPr>
          </w:p>
        </w:tc>
        <w:tc>
          <w:tcPr>
            <w:tcW w:w="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1,334,179</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80" w:type="dxa"/>
            <w:vAlign w:val="bottom"/>
            <w:tcBorders>
              <w:top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color w:val="auto"/>
              </w:rPr>
              <w:t>________________________________________________</w:t>
            </w:r>
          </w:p>
        </w:tc>
        <w:tc>
          <w:tcPr>
            <w:tcW w:w="9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2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68" w:hanging="168"/>
        <w:spacing w:after="0"/>
        <w:tabs>
          <w:tab w:leader="none" w:pos="1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three months ended March 31, 2015 and 2014, the effect of severe winter weather, defined as a catastrophe, reduced contingent ceding commission revenue by $1,115,158 and $517,269, respectively.</w:t>
      </w:r>
    </w:p>
    <w:p>
      <w:pPr>
        <w:spacing w:after="0" w:line="168"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three months ended March 31, 2015 and 2014 includes the sum of net catastrophe losses and loss adjustment expenses of $1,838,408 and $941,027, respectively, resulting from severe winter weather.</w:t>
      </w:r>
    </w:p>
    <w:p>
      <w:pPr>
        <w:spacing w:after="0" w:line="168" w:lineRule="exact"/>
        <w:rPr>
          <w:rFonts w:ascii="Times New Roman" w:cs="Times New Roman" w:eastAsia="Times New Roman" w:hAnsi="Times New Roman"/>
          <w:sz w:val="12"/>
          <w:szCs w:val="12"/>
          <w:color w:val="auto"/>
        </w:rPr>
      </w:pPr>
    </w:p>
    <w:p>
      <w:pPr>
        <w:ind w:left="8" w:right="20" w:hanging="8"/>
        <w:spacing w:after="0" w:line="280" w:lineRule="auto"/>
        <w:tabs>
          <w:tab w:leader="none" w:pos="18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three months ended March 31, 2015 and 2014, the effect of catastrophe loss from severe winter weather on our net combined ratio only includes the direct effects of loss and loss adjustment expenses and ceding commission revenue and does not include the indirect effects of a $125,349 and $163,673, respectively, decrease in other underwriting expenses.</w:t>
      </w:r>
    </w:p>
    <w:p>
      <w:pPr>
        <w:spacing w:after="0" w:line="2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0" w:right="1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b w:val="1"/>
          <w:bCs w:val="1"/>
          <w:color w:val="auto"/>
        </w:rPr>
        <w:t>Investments</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Portfolio Summary</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presents a breakdown of the amortized cost, aggregate fair value and unrealized gains and losses by investment type as of March 31, 2015 and December 31, 2014:</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Available for Sale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March 31, 2015</w:t>
            </w:r>
          </w:p>
        </w:tc>
        <w:tc>
          <w:tcPr>
            <w:tcW w:w="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r>
      <w:tr>
        <w:trPr>
          <w:trHeight w:val="196"/>
        </w:trPr>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Cost or</w:t>
            </w:r>
          </w:p>
        </w:tc>
        <w:tc>
          <w:tcPr>
            <w:tcW w:w="20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200" w:type="dxa"/>
            <w:vAlign w:val="bottom"/>
          </w:tcPr>
          <w:p>
            <w:pPr>
              <w:spacing w:after="0"/>
              <w:rPr>
                <w:sz w:val="17"/>
                <w:szCs w:val="17"/>
                <w:color w:val="auto"/>
              </w:rPr>
            </w:pPr>
          </w:p>
        </w:tc>
        <w:tc>
          <w:tcPr>
            <w:tcW w:w="2580" w:type="dxa"/>
            <w:vAlign w:val="bottom"/>
            <w:gridSpan w:val="6"/>
          </w:tcPr>
          <w:p>
            <w:pPr>
              <w:jc w:val="right"/>
              <w:ind w:right="1000"/>
              <w:spacing w:after="0"/>
              <w:rPr>
                <w:sz w:val="20"/>
                <w:szCs w:val="20"/>
                <w:color w:val="auto"/>
              </w:rPr>
            </w:pPr>
            <w:r>
              <w:rPr>
                <w:rFonts w:ascii="Times New Roman" w:cs="Times New Roman" w:eastAsia="Times New Roman" w:hAnsi="Times New Roman"/>
                <w:sz w:val="10"/>
                <w:szCs w:val="10"/>
                <w:b w:val="1"/>
                <w:bCs w:val="1"/>
                <w:color w:val="auto"/>
              </w:rPr>
              <w:t>Gross Unrealized Losses</w:t>
            </w:r>
          </w:p>
        </w:tc>
        <w:tc>
          <w:tcPr>
            <w:tcW w:w="220" w:type="dxa"/>
            <w:vAlign w:val="bottom"/>
          </w:tcPr>
          <w:p>
            <w:pPr>
              <w:spacing w:after="0"/>
              <w:rPr>
                <w:sz w:val="17"/>
                <w:szCs w:val="17"/>
                <w:color w:val="auto"/>
              </w:rPr>
            </w:pPr>
          </w:p>
        </w:tc>
        <w:tc>
          <w:tcPr>
            <w:tcW w:w="920" w:type="dxa"/>
            <w:vAlign w:val="bottom"/>
          </w:tcPr>
          <w:p>
            <w:pPr>
              <w:jc w:val="center"/>
              <w:ind w:right="164"/>
              <w:spacing w:after="0"/>
              <w:rPr>
                <w:sz w:val="20"/>
                <w:szCs w:val="20"/>
                <w:color w:val="auto"/>
              </w:rPr>
            </w:pPr>
            <w:r>
              <w:rPr>
                <w:rFonts w:ascii="Times New Roman" w:cs="Times New Roman" w:eastAsia="Times New Roman" w:hAnsi="Times New Roman"/>
                <w:sz w:val="10"/>
                <w:szCs w:val="10"/>
                <w:b w:val="1"/>
                <w:bCs w:val="1"/>
                <w:color w:val="auto"/>
                <w:w w:val="95"/>
              </w:rPr>
              <w:t>Aggregate</w:t>
            </w:r>
          </w:p>
        </w:tc>
        <w:tc>
          <w:tcPr>
            <w:tcW w:w="2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 of</w:t>
            </w:r>
          </w:p>
        </w:tc>
      </w:tr>
      <w:tr>
        <w:trPr>
          <w:trHeight w:val="108"/>
        </w:trPr>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440"/>
              <w:spacing w:after="0" w:line="107" w:lineRule="exact"/>
              <w:rPr>
                <w:sz w:val="20"/>
                <w:szCs w:val="20"/>
                <w:color w:val="auto"/>
              </w:rPr>
            </w:pPr>
            <w:r>
              <w:rPr>
                <w:rFonts w:ascii="Times New Roman" w:cs="Times New Roman" w:eastAsia="Times New Roman" w:hAnsi="Times New Roman"/>
                <w:sz w:val="10"/>
                <w:szCs w:val="10"/>
                <w:b w:val="1"/>
                <w:bCs w:val="1"/>
                <w:color w:val="auto"/>
                <w:w w:val="92"/>
              </w:rPr>
              <w:t>Amortized</w:t>
            </w:r>
          </w:p>
        </w:tc>
        <w:tc>
          <w:tcPr>
            <w:tcW w:w="200" w:type="dxa"/>
            <w:vAlign w:val="bottom"/>
          </w:tcPr>
          <w:p>
            <w:pPr>
              <w:spacing w:after="0"/>
              <w:rPr>
                <w:sz w:val="9"/>
                <w:szCs w:val="9"/>
                <w:color w:val="auto"/>
              </w:rPr>
            </w:pPr>
          </w:p>
        </w:tc>
        <w:tc>
          <w:tcPr>
            <w:tcW w:w="1180" w:type="dxa"/>
            <w:vAlign w:val="bottom"/>
            <w:gridSpan w:val="2"/>
          </w:tcPr>
          <w:p>
            <w:pPr>
              <w:jc w:val="center"/>
              <w:ind w:right="420"/>
              <w:spacing w:after="0" w:line="107"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20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gridSpan w:val="2"/>
          </w:tcPr>
          <w:p>
            <w:pPr>
              <w:jc w:val="center"/>
              <w:ind w:right="340"/>
              <w:spacing w:after="0" w:line="108" w:lineRule="exact"/>
              <w:rPr>
                <w:sz w:val="20"/>
                <w:szCs w:val="20"/>
                <w:color w:val="auto"/>
              </w:rPr>
            </w:pPr>
            <w:r>
              <w:rPr>
                <w:rFonts w:ascii="Times New Roman" w:cs="Times New Roman" w:eastAsia="Times New Roman" w:hAnsi="Times New Roman"/>
                <w:sz w:val="10"/>
                <w:szCs w:val="10"/>
                <w:b w:val="1"/>
                <w:bCs w:val="1"/>
                <w:color w:val="auto"/>
                <w:w w:val="97"/>
              </w:rPr>
              <w:t>Less than 12</w:t>
            </w: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ind w:right="243"/>
              <w:spacing w:after="0" w:line="108" w:lineRule="exact"/>
              <w:rPr>
                <w:sz w:val="20"/>
                <w:szCs w:val="20"/>
                <w:color w:val="auto"/>
              </w:rPr>
            </w:pPr>
            <w:r>
              <w:rPr>
                <w:rFonts w:ascii="Times New Roman" w:cs="Times New Roman" w:eastAsia="Times New Roman" w:hAnsi="Times New Roman"/>
                <w:sz w:val="10"/>
                <w:szCs w:val="10"/>
                <w:b w:val="1"/>
                <w:bCs w:val="1"/>
                <w:color w:val="auto"/>
                <w:w w:val="93"/>
              </w:rPr>
              <w:t>More than 12</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jc w:val="center"/>
              <w:ind w:right="164"/>
              <w:spacing w:after="0" w:line="107" w:lineRule="exact"/>
              <w:rPr>
                <w:sz w:val="20"/>
                <w:szCs w:val="20"/>
                <w:color w:val="auto"/>
              </w:rPr>
            </w:pPr>
            <w:r>
              <w:rPr>
                <w:rFonts w:ascii="Times New Roman" w:cs="Times New Roman" w:eastAsia="Times New Roman" w:hAnsi="Times New Roman"/>
                <w:sz w:val="10"/>
                <w:szCs w:val="10"/>
                <w:b w:val="1"/>
                <w:bCs w:val="1"/>
                <w:color w:val="auto"/>
                <w:w w:val="97"/>
              </w:rPr>
              <w:t>Fair</w:t>
            </w:r>
          </w:p>
        </w:tc>
        <w:tc>
          <w:tcPr>
            <w:tcW w:w="220" w:type="dxa"/>
            <w:vAlign w:val="bottom"/>
          </w:tcPr>
          <w:p>
            <w:pPr>
              <w:spacing w:after="0"/>
              <w:rPr>
                <w:sz w:val="9"/>
                <w:szCs w:val="9"/>
                <w:color w:val="auto"/>
              </w:rPr>
            </w:pPr>
          </w:p>
        </w:tc>
        <w:tc>
          <w:tcPr>
            <w:tcW w:w="1240" w:type="dxa"/>
            <w:vAlign w:val="bottom"/>
            <w:gridSpan w:val="2"/>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w w:val="87"/>
              </w:rPr>
              <w:t>Fair</w:t>
            </w:r>
          </w:p>
        </w:tc>
      </w:tr>
      <w:tr>
        <w:trPr>
          <w:trHeight w:val="134"/>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Categor</w:t>
            </w:r>
            <w:r>
              <w:rPr>
                <w:rFonts w:ascii="Times New Roman" w:cs="Times New Roman" w:eastAsia="Times New Roman" w:hAnsi="Times New Roman"/>
                <w:sz w:val="10"/>
                <w:szCs w:val="10"/>
                <w:color w:val="auto"/>
              </w:rPr>
              <w:t>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Cos</w:t>
            </w:r>
            <w:r>
              <w:rPr>
                <w:rFonts w:ascii="Times New Roman" w:cs="Times New Roman" w:eastAsia="Times New Roman" w:hAnsi="Times New Roman"/>
                <w:sz w:val="10"/>
                <w:szCs w:val="10"/>
                <w:color w:val="auto"/>
                <w:w w:val="95"/>
              </w:rPr>
              <w:t>t</w:t>
            </w:r>
          </w:p>
        </w:tc>
        <w:tc>
          <w:tcPr>
            <w:tcW w:w="200" w:type="dxa"/>
            <w:vAlign w:val="bottom"/>
          </w:tcPr>
          <w:p>
            <w:pPr>
              <w:spacing w:after="0"/>
              <w:rPr>
                <w:sz w:val="11"/>
                <w:szCs w:val="11"/>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Gains</w:t>
            </w:r>
          </w:p>
        </w:tc>
        <w:tc>
          <w:tcPr>
            <w:tcW w:w="200" w:type="dxa"/>
            <w:vAlign w:val="bottom"/>
          </w:tcPr>
          <w:p>
            <w:pPr>
              <w:spacing w:after="0"/>
              <w:rPr>
                <w:sz w:val="11"/>
                <w:szCs w:val="11"/>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7"/>
              </w:rPr>
              <w:t>Months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1"/>
              </w:rPr>
              <w:t>Months</w:t>
            </w:r>
          </w:p>
        </w:tc>
        <w:tc>
          <w:tcPr>
            <w:tcW w:w="220" w:type="dxa"/>
            <w:vAlign w:val="bottom"/>
          </w:tcPr>
          <w:p>
            <w:pPr>
              <w:spacing w:after="0"/>
              <w:rPr>
                <w:sz w:val="11"/>
                <w:szCs w:val="11"/>
                <w:color w:val="auto"/>
              </w:rPr>
            </w:pPr>
          </w:p>
        </w:tc>
        <w:tc>
          <w:tcPr>
            <w:tcW w:w="920" w:type="dxa"/>
            <w:vAlign w:val="bottom"/>
          </w:tcPr>
          <w:p>
            <w:pPr>
              <w:jc w:val="center"/>
              <w:ind w:right="164"/>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220" w:type="dxa"/>
            <w:vAlign w:val="bottom"/>
          </w:tcPr>
          <w:p>
            <w:pPr>
              <w:spacing w:after="0"/>
              <w:rPr>
                <w:sz w:val="11"/>
                <w:szCs w:val="1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Value</w:t>
            </w:r>
          </w:p>
        </w:tc>
      </w:tr>
      <w:tr>
        <w:trPr>
          <w:trHeight w:val="286"/>
        </w:trPr>
        <w:tc>
          <w:tcPr>
            <w:tcW w:w="3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Political subdivisions of States,</w:t>
            </w: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Territories and Possessions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13,823,312</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511,766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(4,373)</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(5,216)</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14,325,489</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22.5%</w:t>
            </w:r>
          </w:p>
        </w:tc>
      </w:tr>
      <w:tr>
        <w:trPr>
          <w:trHeight w:val="144"/>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Corporate and other bonds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Industrial and miscellaneous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35,933,004</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1,262,502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(56,447)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(6,664)</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37,132,395</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58.4%</w:t>
            </w:r>
          </w:p>
        </w:tc>
      </w:tr>
      <w:tr>
        <w:trPr>
          <w:trHeight w:val="144"/>
        </w:trPr>
        <w:tc>
          <w:tcPr>
            <w:tcW w:w="3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Residential mortgage backed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securities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2,808,197</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36,707</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(1,612)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2,843,292</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w:t>
            </w:r>
          </w:p>
        </w:tc>
      </w:tr>
      <w:tr>
        <w:trPr>
          <w:trHeight w:val="20"/>
        </w:trPr>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fixed-maturity securities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52,564,513</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1,810,975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(62,432)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(11,880)</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54,301,176</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85.4%</w:t>
            </w:r>
          </w:p>
        </w:tc>
      </w:tr>
      <w:tr>
        <w:trPr>
          <w:trHeight w:val="14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Equity Securities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8,766,866</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494,588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(7,414)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(16,931)</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9,237,109</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14.6%</w:t>
            </w:r>
          </w:p>
        </w:tc>
      </w:tr>
      <w:tr>
        <w:trPr>
          <w:trHeight w:val="20"/>
        </w:trPr>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61,331,379</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2,305,563</w:t>
            </w:r>
          </w:p>
        </w:tc>
        <w:tc>
          <w:tcPr>
            <w:tcW w:w="22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(69,846)</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(28,811)</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63,538,285</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3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288"/>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 2014</w:t>
            </w: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96"/>
        </w:trPr>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Cost or</w:t>
            </w:r>
          </w:p>
        </w:tc>
        <w:tc>
          <w:tcPr>
            <w:tcW w:w="20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200" w:type="dxa"/>
            <w:vAlign w:val="bottom"/>
          </w:tcPr>
          <w:p>
            <w:pPr>
              <w:spacing w:after="0"/>
              <w:rPr>
                <w:sz w:val="17"/>
                <w:szCs w:val="17"/>
                <w:color w:val="auto"/>
              </w:rPr>
            </w:pPr>
          </w:p>
        </w:tc>
        <w:tc>
          <w:tcPr>
            <w:tcW w:w="2580" w:type="dxa"/>
            <w:vAlign w:val="bottom"/>
            <w:gridSpan w:val="6"/>
          </w:tcPr>
          <w:p>
            <w:pPr>
              <w:jc w:val="right"/>
              <w:ind w:right="1000"/>
              <w:spacing w:after="0"/>
              <w:rPr>
                <w:sz w:val="20"/>
                <w:szCs w:val="20"/>
                <w:color w:val="auto"/>
              </w:rPr>
            </w:pPr>
            <w:r>
              <w:rPr>
                <w:rFonts w:ascii="Times New Roman" w:cs="Times New Roman" w:eastAsia="Times New Roman" w:hAnsi="Times New Roman"/>
                <w:sz w:val="10"/>
                <w:szCs w:val="10"/>
                <w:b w:val="1"/>
                <w:bCs w:val="1"/>
                <w:color w:val="auto"/>
              </w:rPr>
              <w:t>Gross Unrealized Losses</w:t>
            </w:r>
          </w:p>
        </w:tc>
        <w:tc>
          <w:tcPr>
            <w:tcW w:w="220" w:type="dxa"/>
            <w:vAlign w:val="bottom"/>
          </w:tcPr>
          <w:p>
            <w:pPr>
              <w:spacing w:after="0"/>
              <w:rPr>
                <w:sz w:val="17"/>
                <w:szCs w:val="17"/>
                <w:color w:val="auto"/>
              </w:rPr>
            </w:pPr>
          </w:p>
        </w:tc>
        <w:tc>
          <w:tcPr>
            <w:tcW w:w="920" w:type="dxa"/>
            <w:vAlign w:val="bottom"/>
          </w:tcPr>
          <w:p>
            <w:pPr>
              <w:jc w:val="center"/>
              <w:ind w:right="164"/>
              <w:spacing w:after="0"/>
              <w:rPr>
                <w:sz w:val="20"/>
                <w:szCs w:val="20"/>
                <w:color w:val="auto"/>
              </w:rPr>
            </w:pPr>
            <w:r>
              <w:rPr>
                <w:rFonts w:ascii="Times New Roman" w:cs="Times New Roman" w:eastAsia="Times New Roman" w:hAnsi="Times New Roman"/>
                <w:sz w:val="10"/>
                <w:szCs w:val="10"/>
                <w:b w:val="1"/>
                <w:bCs w:val="1"/>
                <w:color w:val="auto"/>
                <w:w w:val="95"/>
              </w:rPr>
              <w:t>Aggregate</w:t>
            </w:r>
          </w:p>
        </w:tc>
        <w:tc>
          <w:tcPr>
            <w:tcW w:w="2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 of</w:t>
            </w:r>
          </w:p>
        </w:tc>
      </w:tr>
      <w:tr>
        <w:trPr>
          <w:trHeight w:val="108"/>
        </w:trPr>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440"/>
              <w:spacing w:after="0" w:line="107" w:lineRule="exact"/>
              <w:rPr>
                <w:sz w:val="20"/>
                <w:szCs w:val="20"/>
                <w:color w:val="auto"/>
              </w:rPr>
            </w:pPr>
            <w:r>
              <w:rPr>
                <w:rFonts w:ascii="Times New Roman" w:cs="Times New Roman" w:eastAsia="Times New Roman" w:hAnsi="Times New Roman"/>
                <w:sz w:val="10"/>
                <w:szCs w:val="10"/>
                <w:b w:val="1"/>
                <w:bCs w:val="1"/>
                <w:color w:val="auto"/>
                <w:w w:val="92"/>
              </w:rPr>
              <w:t>Amortized</w:t>
            </w:r>
          </w:p>
        </w:tc>
        <w:tc>
          <w:tcPr>
            <w:tcW w:w="200" w:type="dxa"/>
            <w:vAlign w:val="bottom"/>
          </w:tcPr>
          <w:p>
            <w:pPr>
              <w:spacing w:after="0"/>
              <w:rPr>
                <w:sz w:val="9"/>
                <w:szCs w:val="9"/>
                <w:color w:val="auto"/>
              </w:rPr>
            </w:pPr>
          </w:p>
        </w:tc>
        <w:tc>
          <w:tcPr>
            <w:tcW w:w="1180" w:type="dxa"/>
            <w:vAlign w:val="bottom"/>
            <w:gridSpan w:val="2"/>
          </w:tcPr>
          <w:p>
            <w:pPr>
              <w:jc w:val="center"/>
              <w:ind w:right="420"/>
              <w:spacing w:after="0" w:line="107"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20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gridSpan w:val="2"/>
          </w:tcPr>
          <w:p>
            <w:pPr>
              <w:jc w:val="center"/>
              <w:ind w:right="340"/>
              <w:spacing w:after="0" w:line="108" w:lineRule="exact"/>
              <w:rPr>
                <w:sz w:val="20"/>
                <w:szCs w:val="20"/>
                <w:color w:val="auto"/>
              </w:rPr>
            </w:pPr>
            <w:r>
              <w:rPr>
                <w:rFonts w:ascii="Times New Roman" w:cs="Times New Roman" w:eastAsia="Times New Roman" w:hAnsi="Times New Roman"/>
                <w:sz w:val="10"/>
                <w:szCs w:val="10"/>
                <w:b w:val="1"/>
                <w:bCs w:val="1"/>
                <w:color w:val="auto"/>
                <w:w w:val="97"/>
              </w:rPr>
              <w:t>Less than 12</w:t>
            </w: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ind w:right="243"/>
              <w:spacing w:after="0" w:line="108" w:lineRule="exact"/>
              <w:rPr>
                <w:sz w:val="20"/>
                <w:szCs w:val="20"/>
                <w:color w:val="auto"/>
              </w:rPr>
            </w:pPr>
            <w:r>
              <w:rPr>
                <w:rFonts w:ascii="Times New Roman" w:cs="Times New Roman" w:eastAsia="Times New Roman" w:hAnsi="Times New Roman"/>
                <w:sz w:val="10"/>
                <w:szCs w:val="10"/>
                <w:b w:val="1"/>
                <w:bCs w:val="1"/>
                <w:color w:val="auto"/>
                <w:w w:val="93"/>
              </w:rPr>
              <w:t>More than 12</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jc w:val="center"/>
              <w:ind w:right="164"/>
              <w:spacing w:after="0" w:line="107" w:lineRule="exact"/>
              <w:rPr>
                <w:sz w:val="20"/>
                <w:szCs w:val="20"/>
                <w:color w:val="auto"/>
              </w:rPr>
            </w:pPr>
            <w:r>
              <w:rPr>
                <w:rFonts w:ascii="Times New Roman" w:cs="Times New Roman" w:eastAsia="Times New Roman" w:hAnsi="Times New Roman"/>
                <w:sz w:val="10"/>
                <w:szCs w:val="10"/>
                <w:b w:val="1"/>
                <w:bCs w:val="1"/>
                <w:color w:val="auto"/>
                <w:w w:val="97"/>
              </w:rPr>
              <w:t>Fair</w:t>
            </w:r>
          </w:p>
        </w:tc>
        <w:tc>
          <w:tcPr>
            <w:tcW w:w="220" w:type="dxa"/>
            <w:vAlign w:val="bottom"/>
          </w:tcPr>
          <w:p>
            <w:pPr>
              <w:spacing w:after="0"/>
              <w:rPr>
                <w:sz w:val="9"/>
                <w:szCs w:val="9"/>
                <w:color w:val="auto"/>
              </w:rPr>
            </w:pPr>
          </w:p>
        </w:tc>
        <w:tc>
          <w:tcPr>
            <w:tcW w:w="1240" w:type="dxa"/>
            <w:vAlign w:val="bottom"/>
            <w:gridSpan w:val="2"/>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w w:val="87"/>
              </w:rPr>
              <w:t>Fair</w:t>
            </w:r>
          </w:p>
        </w:tc>
      </w:tr>
      <w:tr>
        <w:trPr>
          <w:trHeight w:val="134"/>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Categor</w:t>
            </w:r>
            <w:r>
              <w:rPr>
                <w:rFonts w:ascii="Times New Roman" w:cs="Times New Roman" w:eastAsia="Times New Roman" w:hAnsi="Times New Roman"/>
                <w:sz w:val="10"/>
                <w:szCs w:val="10"/>
                <w:color w:val="auto"/>
              </w:rPr>
              <w:t>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Cos</w:t>
            </w:r>
            <w:r>
              <w:rPr>
                <w:rFonts w:ascii="Times New Roman" w:cs="Times New Roman" w:eastAsia="Times New Roman" w:hAnsi="Times New Roman"/>
                <w:sz w:val="10"/>
                <w:szCs w:val="10"/>
                <w:color w:val="auto"/>
                <w:w w:val="95"/>
              </w:rPr>
              <w:t>t</w:t>
            </w:r>
          </w:p>
        </w:tc>
        <w:tc>
          <w:tcPr>
            <w:tcW w:w="200" w:type="dxa"/>
            <w:vAlign w:val="bottom"/>
          </w:tcPr>
          <w:p>
            <w:pPr>
              <w:spacing w:after="0"/>
              <w:rPr>
                <w:sz w:val="11"/>
                <w:szCs w:val="11"/>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Gains</w:t>
            </w:r>
          </w:p>
        </w:tc>
        <w:tc>
          <w:tcPr>
            <w:tcW w:w="200" w:type="dxa"/>
            <w:vAlign w:val="bottom"/>
          </w:tcPr>
          <w:p>
            <w:pPr>
              <w:spacing w:after="0"/>
              <w:rPr>
                <w:sz w:val="11"/>
                <w:szCs w:val="11"/>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7"/>
              </w:rPr>
              <w:t>Months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1"/>
              </w:rPr>
              <w:t>Months</w:t>
            </w:r>
          </w:p>
        </w:tc>
        <w:tc>
          <w:tcPr>
            <w:tcW w:w="220" w:type="dxa"/>
            <w:vAlign w:val="bottom"/>
          </w:tcPr>
          <w:p>
            <w:pPr>
              <w:spacing w:after="0"/>
              <w:rPr>
                <w:sz w:val="11"/>
                <w:szCs w:val="11"/>
                <w:color w:val="auto"/>
              </w:rPr>
            </w:pPr>
          </w:p>
        </w:tc>
        <w:tc>
          <w:tcPr>
            <w:tcW w:w="920" w:type="dxa"/>
            <w:vAlign w:val="bottom"/>
          </w:tcPr>
          <w:p>
            <w:pPr>
              <w:jc w:val="center"/>
              <w:ind w:right="164"/>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220" w:type="dxa"/>
            <w:vAlign w:val="bottom"/>
          </w:tcPr>
          <w:p>
            <w:pPr>
              <w:spacing w:after="0"/>
              <w:rPr>
                <w:sz w:val="11"/>
                <w:szCs w:val="1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Value</w:t>
            </w:r>
          </w:p>
        </w:tc>
      </w:tr>
      <w:tr>
        <w:trPr>
          <w:trHeight w:val="286"/>
        </w:trPr>
        <w:tc>
          <w:tcPr>
            <w:tcW w:w="3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Political subdivisions of States,</w:t>
            </w: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Territories and Possessions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13,862,141</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412,490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(23,813)</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(6,379)</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14,244,439</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24.1%</w:t>
            </w:r>
          </w:p>
        </w:tc>
      </w:tr>
      <w:tr>
        <w:trPr>
          <w:trHeight w:val="144"/>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Corporate and other bonds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Industrial and miscellaneous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36,221,300</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803,440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(118,092)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(30,228)</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36,876,420</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62.4%</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fixed-maturity securities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50,083,441</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1,215,930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(141,905)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(36,607)</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51,120,859</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86.4%</w:t>
            </w: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Equity Securities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7,621,309</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464,130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(2,647)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(65,063)</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8,017,729</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13.6%</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57,704,750</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1,680,060</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(144,552)</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(101,670)</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59,138,588</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r>
      <w:tr>
        <w:trPr>
          <w:trHeight w:val="381"/>
        </w:trPr>
        <w:tc>
          <w:tcPr>
            <w:tcW w:w="3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color w:val="auto"/>
              </w:rPr>
              <w:t>43</w:t>
            </w: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32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45" w:name="page46"/>
    <w:bookmarkEnd w:id="45"/>
    <w:p>
      <w:pPr>
        <w:ind w:left="420"/>
        <w:spacing w:after="0"/>
        <w:rPr>
          <w:sz w:val="20"/>
          <w:szCs w:val="20"/>
          <w:color w:val="auto"/>
        </w:rPr>
      </w:pPr>
      <w:r>
        <w:rPr>
          <w:rFonts w:ascii="Times New Roman" w:cs="Times New Roman" w:eastAsia="Times New Roman" w:hAnsi="Times New Roman"/>
          <w:sz w:val="12"/>
          <w:szCs w:val="12"/>
          <w:u w:val="single" w:color="auto"/>
          <w:color w:val="auto"/>
        </w:rPr>
        <w:t>Held to Maturity Securities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March 31, 2015</w:t>
            </w: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Cost or</w:t>
            </w:r>
          </w:p>
        </w:tc>
        <w:tc>
          <w:tcPr>
            <w:tcW w:w="200" w:type="dxa"/>
            <w:vAlign w:val="bottom"/>
          </w:tcPr>
          <w:p>
            <w:pPr>
              <w:spacing w:after="0"/>
              <w:rPr>
                <w:sz w:val="17"/>
                <w:szCs w:val="17"/>
                <w:color w:val="auto"/>
              </w:rPr>
            </w:pPr>
          </w:p>
        </w:tc>
        <w:tc>
          <w:tcPr>
            <w:tcW w:w="1180" w:type="dxa"/>
            <w:vAlign w:val="bottom"/>
            <w:gridSpan w:val="3"/>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200" w:type="dxa"/>
            <w:vAlign w:val="bottom"/>
          </w:tcPr>
          <w:p>
            <w:pPr>
              <w:spacing w:after="0"/>
              <w:rPr>
                <w:sz w:val="17"/>
                <w:szCs w:val="17"/>
                <w:color w:val="auto"/>
              </w:rPr>
            </w:pPr>
          </w:p>
        </w:tc>
        <w:tc>
          <w:tcPr>
            <w:tcW w:w="2580" w:type="dxa"/>
            <w:vAlign w:val="bottom"/>
            <w:gridSpan w:val="7"/>
          </w:tcPr>
          <w:p>
            <w:pPr>
              <w:jc w:val="right"/>
              <w:ind w:right="1000"/>
              <w:spacing w:after="0"/>
              <w:rPr>
                <w:sz w:val="20"/>
                <w:szCs w:val="20"/>
                <w:color w:val="auto"/>
              </w:rPr>
            </w:pPr>
            <w:r>
              <w:rPr>
                <w:rFonts w:ascii="Times New Roman" w:cs="Times New Roman" w:eastAsia="Times New Roman" w:hAnsi="Times New Roman"/>
                <w:sz w:val="10"/>
                <w:szCs w:val="10"/>
                <w:b w:val="1"/>
                <w:bCs w:val="1"/>
                <w:color w:val="auto"/>
              </w:rPr>
              <w:t>Gross Unrealized Losses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 of</w:t>
            </w:r>
          </w:p>
        </w:tc>
        <w:tc>
          <w:tcPr>
            <w:tcW w:w="0" w:type="dxa"/>
            <w:vAlign w:val="bottom"/>
          </w:tcPr>
          <w:p>
            <w:pPr>
              <w:spacing w:after="0"/>
              <w:rPr>
                <w:sz w:val="1"/>
                <w:szCs w:val="1"/>
                <w:color w:val="auto"/>
              </w:rPr>
            </w:pPr>
          </w:p>
        </w:tc>
      </w:tr>
      <w:tr>
        <w:trPr>
          <w:trHeight w:val="124"/>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Categor</w:t>
            </w:r>
            <w:r>
              <w:rPr>
                <w:rFonts w:ascii="Times New Roman" w:cs="Times New Roman" w:eastAsia="Times New Roman" w:hAnsi="Times New Roman"/>
                <w:sz w:val="12"/>
                <w:szCs w:val="12"/>
                <w:color w:val="auto"/>
              </w:rPr>
              <w:t>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line="107" w:lineRule="exact"/>
              <w:rPr>
                <w:sz w:val="20"/>
                <w:szCs w:val="20"/>
                <w:color w:val="auto"/>
              </w:rPr>
            </w:pPr>
            <w:r>
              <w:rPr>
                <w:rFonts w:ascii="Times New Roman" w:cs="Times New Roman" w:eastAsia="Times New Roman" w:hAnsi="Times New Roman"/>
                <w:sz w:val="10"/>
                <w:szCs w:val="10"/>
                <w:b w:val="1"/>
                <w:bCs w:val="1"/>
                <w:color w:val="auto"/>
                <w:w w:val="92"/>
              </w:rPr>
              <w:t>Amortized</w:t>
            </w:r>
          </w:p>
        </w:tc>
        <w:tc>
          <w:tcPr>
            <w:tcW w:w="200" w:type="dxa"/>
            <w:vAlign w:val="bottom"/>
          </w:tcPr>
          <w:p>
            <w:pPr>
              <w:spacing w:after="0"/>
              <w:rPr>
                <w:sz w:val="10"/>
                <w:szCs w:val="10"/>
                <w:color w:val="auto"/>
              </w:rPr>
            </w:pPr>
          </w:p>
        </w:tc>
        <w:tc>
          <w:tcPr>
            <w:tcW w:w="1180" w:type="dxa"/>
            <w:vAlign w:val="bottom"/>
            <w:gridSpan w:val="3"/>
          </w:tcPr>
          <w:p>
            <w:pPr>
              <w:jc w:val="center"/>
              <w:ind w:right="420"/>
              <w:spacing w:after="0" w:line="107"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7"/>
              </w:rPr>
              <w:t>Less than 12</w:t>
            </w: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23"/>
              <w:spacing w:after="0"/>
              <w:rPr>
                <w:sz w:val="20"/>
                <w:szCs w:val="20"/>
                <w:color w:val="auto"/>
              </w:rPr>
            </w:pPr>
            <w:r>
              <w:rPr>
                <w:rFonts w:ascii="Times New Roman" w:cs="Times New Roman" w:eastAsia="Times New Roman" w:hAnsi="Times New Roman"/>
                <w:sz w:val="10"/>
                <w:szCs w:val="10"/>
                <w:b w:val="1"/>
                <w:bCs w:val="1"/>
                <w:color w:val="auto"/>
                <w:w w:val="93"/>
              </w:rPr>
              <w:t>More than 12</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right="144"/>
              <w:spacing w:after="0" w:line="107" w:lineRule="exact"/>
              <w:rPr>
                <w:sz w:val="20"/>
                <w:szCs w:val="20"/>
                <w:color w:val="auto"/>
              </w:rPr>
            </w:pPr>
            <w:r>
              <w:rPr>
                <w:rFonts w:ascii="Times New Roman" w:cs="Times New Roman" w:eastAsia="Times New Roman" w:hAnsi="Times New Roman"/>
                <w:sz w:val="10"/>
                <w:szCs w:val="10"/>
                <w:b w:val="1"/>
                <w:bCs w:val="1"/>
                <w:color w:val="auto"/>
                <w:w w:val="97"/>
              </w:rPr>
              <w:t>Fair</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gridSpan w:val="2"/>
          </w:tcPr>
          <w:p>
            <w:pPr>
              <w:jc w:val="center"/>
              <w:ind w:right="420"/>
              <w:spacing w:after="0" w:line="107" w:lineRule="exact"/>
              <w:rPr>
                <w:sz w:val="20"/>
                <w:szCs w:val="20"/>
                <w:color w:val="auto"/>
              </w:rPr>
            </w:pPr>
            <w:r>
              <w:rPr>
                <w:rFonts w:ascii="Times New Roman" w:cs="Times New Roman" w:eastAsia="Times New Roman" w:hAnsi="Times New Roman"/>
                <w:sz w:val="10"/>
                <w:szCs w:val="10"/>
                <w:b w:val="1"/>
                <w:bCs w:val="1"/>
                <w:color w:val="auto"/>
                <w:w w:val="87"/>
              </w:rPr>
              <w:t>Fair</w:t>
            </w:r>
          </w:p>
        </w:tc>
        <w:tc>
          <w:tcPr>
            <w:tcW w:w="0" w:type="dxa"/>
            <w:vAlign w:val="bottom"/>
          </w:tcPr>
          <w:p>
            <w:pPr>
              <w:spacing w:after="0"/>
              <w:rPr>
                <w:sz w:val="1"/>
                <w:szCs w:val="1"/>
                <w:color w:val="auto"/>
              </w:rPr>
            </w:pPr>
          </w:p>
        </w:tc>
      </w:tr>
      <w:tr>
        <w:trPr>
          <w:trHeight w:val="136"/>
        </w:trPr>
        <w:tc>
          <w:tcPr>
            <w:tcW w:w="3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Cos</w:t>
            </w:r>
            <w:r>
              <w:rPr>
                <w:rFonts w:ascii="Times New Roman" w:cs="Times New Roman" w:eastAsia="Times New Roman" w:hAnsi="Times New Roman"/>
                <w:sz w:val="10"/>
                <w:szCs w:val="10"/>
                <w:color w:val="auto"/>
                <w:w w:val="95"/>
              </w:rPr>
              <w:t>t</w:t>
            </w:r>
          </w:p>
        </w:tc>
        <w:tc>
          <w:tcPr>
            <w:tcW w:w="200" w:type="dxa"/>
            <w:vAlign w:val="bottom"/>
          </w:tcPr>
          <w:p>
            <w:pPr>
              <w:spacing w:after="0"/>
              <w:rPr>
                <w:sz w:val="11"/>
                <w:szCs w:val="11"/>
                <w:color w:val="auto"/>
              </w:rPr>
            </w:pPr>
          </w:p>
        </w:tc>
        <w:tc>
          <w:tcPr>
            <w:tcW w:w="1180" w:type="dxa"/>
            <w:vAlign w:val="bottom"/>
            <w:gridSpan w:val="3"/>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Gains</w:t>
            </w:r>
          </w:p>
        </w:tc>
        <w:tc>
          <w:tcPr>
            <w:tcW w:w="200" w:type="dxa"/>
            <w:vAlign w:val="bottom"/>
          </w:tcPr>
          <w:p>
            <w:pPr>
              <w:spacing w:after="0"/>
              <w:rPr>
                <w:sz w:val="11"/>
                <w:szCs w:val="11"/>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7"/>
              </w:rPr>
              <w:t>Months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1"/>
              </w:rPr>
              <w:t>Months</w:t>
            </w:r>
          </w:p>
        </w:tc>
        <w:tc>
          <w:tcPr>
            <w:tcW w:w="200" w:type="dxa"/>
            <w:vAlign w:val="bottom"/>
          </w:tcPr>
          <w:p>
            <w:pPr>
              <w:spacing w:after="0"/>
              <w:rPr>
                <w:sz w:val="11"/>
                <w:szCs w:val="11"/>
                <w:color w:val="auto"/>
              </w:rPr>
            </w:pPr>
          </w:p>
        </w:tc>
        <w:tc>
          <w:tcPr>
            <w:tcW w:w="940" w:type="dxa"/>
            <w:vAlign w:val="bottom"/>
          </w:tcPr>
          <w:p>
            <w:pPr>
              <w:jc w:val="center"/>
              <w:ind w:right="144"/>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0" w:type="dxa"/>
            <w:vAlign w:val="bottom"/>
          </w:tcPr>
          <w:p>
            <w:pPr>
              <w:spacing w:after="0"/>
              <w:rPr>
                <w:sz w:val="1"/>
                <w:szCs w:val="1"/>
                <w:color w:val="auto"/>
              </w:rPr>
            </w:pPr>
          </w:p>
        </w:tc>
      </w:tr>
      <w:tr>
        <w:trPr>
          <w:trHeight w:val="142"/>
        </w:trPr>
        <w:tc>
          <w:tcPr>
            <w:tcW w:w="3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 Treasury securities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606,362</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205,656</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812,018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14.9%</w:t>
            </w: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Political subdivisions of States,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Territories and Possessions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1,414,362</w:t>
            </w:r>
          </w:p>
        </w:tc>
        <w:tc>
          <w:tcPr>
            <w:tcW w:w="20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61,683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(26,250)</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1,449,795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26.5%</w:t>
            </w: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Corporate and other bonds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Industrial and miscellaneous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3,111,514</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142,142</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(50,273)</w:t>
            </w: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3,203,383</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58.6%</w:t>
            </w: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5,132,238</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409,481</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(50,273)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(26,250)</w:t>
            </w:r>
          </w:p>
        </w:tc>
        <w:tc>
          <w:tcPr>
            <w:tcW w:w="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5,465,196</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20"/>
        </w:trPr>
        <w:tc>
          <w:tcPr>
            <w:tcW w:w="3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gridSpan w:val="2"/>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right w:val="single" w:sz="8" w:color="CCEEFF"/>
            </w:tcBorders>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 2014</w:t>
            </w: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Cost or</w:t>
            </w:r>
          </w:p>
        </w:tc>
        <w:tc>
          <w:tcPr>
            <w:tcW w:w="200" w:type="dxa"/>
            <w:vAlign w:val="bottom"/>
          </w:tcPr>
          <w:p>
            <w:pPr>
              <w:spacing w:after="0"/>
              <w:rPr>
                <w:sz w:val="17"/>
                <w:szCs w:val="17"/>
                <w:color w:val="auto"/>
              </w:rPr>
            </w:pPr>
          </w:p>
        </w:tc>
        <w:tc>
          <w:tcPr>
            <w:tcW w:w="1180" w:type="dxa"/>
            <w:vAlign w:val="bottom"/>
            <w:gridSpan w:val="3"/>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200" w:type="dxa"/>
            <w:vAlign w:val="bottom"/>
          </w:tcPr>
          <w:p>
            <w:pPr>
              <w:spacing w:after="0"/>
              <w:rPr>
                <w:sz w:val="17"/>
                <w:szCs w:val="17"/>
                <w:color w:val="auto"/>
              </w:rPr>
            </w:pPr>
          </w:p>
        </w:tc>
        <w:tc>
          <w:tcPr>
            <w:tcW w:w="2580" w:type="dxa"/>
            <w:vAlign w:val="bottom"/>
            <w:gridSpan w:val="7"/>
          </w:tcPr>
          <w:p>
            <w:pPr>
              <w:jc w:val="right"/>
              <w:ind w:right="1000"/>
              <w:spacing w:after="0"/>
              <w:rPr>
                <w:sz w:val="20"/>
                <w:szCs w:val="20"/>
                <w:color w:val="auto"/>
              </w:rPr>
            </w:pPr>
            <w:r>
              <w:rPr>
                <w:rFonts w:ascii="Times New Roman" w:cs="Times New Roman" w:eastAsia="Times New Roman" w:hAnsi="Times New Roman"/>
                <w:sz w:val="10"/>
                <w:szCs w:val="10"/>
                <w:b w:val="1"/>
                <w:bCs w:val="1"/>
                <w:color w:val="auto"/>
              </w:rPr>
              <w:t>Gross Unrealized Losses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 of</w:t>
            </w:r>
          </w:p>
        </w:tc>
        <w:tc>
          <w:tcPr>
            <w:tcW w:w="0" w:type="dxa"/>
            <w:vAlign w:val="bottom"/>
          </w:tcPr>
          <w:p>
            <w:pPr>
              <w:spacing w:after="0"/>
              <w:rPr>
                <w:sz w:val="1"/>
                <w:szCs w:val="1"/>
                <w:color w:val="auto"/>
              </w:rPr>
            </w:pPr>
          </w:p>
        </w:tc>
      </w:tr>
      <w:tr>
        <w:trPr>
          <w:trHeight w:val="124"/>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Categor</w:t>
            </w:r>
            <w:r>
              <w:rPr>
                <w:rFonts w:ascii="Times New Roman" w:cs="Times New Roman" w:eastAsia="Times New Roman" w:hAnsi="Times New Roman"/>
                <w:sz w:val="12"/>
                <w:szCs w:val="12"/>
                <w:color w:val="auto"/>
              </w:rPr>
              <w:t>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line="107" w:lineRule="exact"/>
              <w:rPr>
                <w:sz w:val="20"/>
                <w:szCs w:val="20"/>
                <w:color w:val="auto"/>
              </w:rPr>
            </w:pPr>
            <w:r>
              <w:rPr>
                <w:rFonts w:ascii="Times New Roman" w:cs="Times New Roman" w:eastAsia="Times New Roman" w:hAnsi="Times New Roman"/>
                <w:sz w:val="10"/>
                <w:szCs w:val="10"/>
                <w:b w:val="1"/>
                <w:bCs w:val="1"/>
                <w:color w:val="auto"/>
                <w:w w:val="92"/>
              </w:rPr>
              <w:t>Amortized</w:t>
            </w:r>
          </w:p>
        </w:tc>
        <w:tc>
          <w:tcPr>
            <w:tcW w:w="200" w:type="dxa"/>
            <w:vAlign w:val="bottom"/>
          </w:tcPr>
          <w:p>
            <w:pPr>
              <w:spacing w:after="0"/>
              <w:rPr>
                <w:sz w:val="10"/>
                <w:szCs w:val="10"/>
                <w:color w:val="auto"/>
              </w:rPr>
            </w:pPr>
          </w:p>
        </w:tc>
        <w:tc>
          <w:tcPr>
            <w:tcW w:w="1180" w:type="dxa"/>
            <w:vAlign w:val="bottom"/>
            <w:gridSpan w:val="3"/>
          </w:tcPr>
          <w:p>
            <w:pPr>
              <w:jc w:val="center"/>
              <w:ind w:right="420"/>
              <w:spacing w:after="0" w:line="107"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7"/>
              </w:rPr>
              <w:t>Less than 12</w:t>
            </w: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23"/>
              <w:spacing w:after="0"/>
              <w:rPr>
                <w:sz w:val="20"/>
                <w:szCs w:val="20"/>
                <w:color w:val="auto"/>
              </w:rPr>
            </w:pPr>
            <w:r>
              <w:rPr>
                <w:rFonts w:ascii="Times New Roman" w:cs="Times New Roman" w:eastAsia="Times New Roman" w:hAnsi="Times New Roman"/>
                <w:sz w:val="10"/>
                <w:szCs w:val="10"/>
                <w:b w:val="1"/>
                <w:bCs w:val="1"/>
                <w:color w:val="auto"/>
                <w:w w:val="93"/>
              </w:rPr>
              <w:t>More than 12</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right="144"/>
              <w:spacing w:after="0" w:line="107" w:lineRule="exact"/>
              <w:rPr>
                <w:sz w:val="20"/>
                <w:szCs w:val="20"/>
                <w:color w:val="auto"/>
              </w:rPr>
            </w:pPr>
            <w:r>
              <w:rPr>
                <w:rFonts w:ascii="Times New Roman" w:cs="Times New Roman" w:eastAsia="Times New Roman" w:hAnsi="Times New Roman"/>
                <w:sz w:val="10"/>
                <w:szCs w:val="10"/>
                <w:b w:val="1"/>
                <w:bCs w:val="1"/>
                <w:color w:val="auto"/>
                <w:w w:val="97"/>
              </w:rPr>
              <w:t>Fair</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gridSpan w:val="2"/>
          </w:tcPr>
          <w:p>
            <w:pPr>
              <w:jc w:val="center"/>
              <w:ind w:right="420"/>
              <w:spacing w:after="0" w:line="107" w:lineRule="exact"/>
              <w:rPr>
                <w:sz w:val="20"/>
                <w:szCs w:val="20"/>
                <w:color w:val="auto"/>
              </w:rPr>
            </w:pPr>
            <w:r>
              <w:rPr>
                <w:rFonts w:ascii="Times New Roman" w:cs="Times New Roman" w:eastAsia="Times New Roman" w:hAnsi="Times New Roman"/>
                <w:sz w:val="10"/>
                <w:szCs w:val="10"/>
                <w:b w:val="1"/>
                <w:bCs w:val="1"/>
                <w:color w:val="auto"/>
                <w:w w:val="87"/>
              </w:rPr>
              <w:t>Fair</w:t>
            </w:r>
          </w:p>
        </w:tc>
        <w:tc>
          <w:tcPr>
            <w:tcW w:w="0" w:type="dxa"/>
            <w:vAlign w:val="bottom"/>
          </w:tcPr>
          <w:p>
            <w:pPr>
              <w:spacing w:after="0"/>
              <w:rPr>
                <w:sz w:val="1"/>
                <w:szCs w:val="1"/>
                <w:color w:val="auto"/>
              </w:rPr>
            </w:pPr>
          </w:p>
        </w:tc>
      </w:tr>
      <w:tr>
        <w:trPr>
          <w:trHeight w:val="136"/>
        </w:trPr>
        <w:tc>
          <w:tcPr>
            <w:tcW w:w="3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Cos</w:t>
            </w:r>
            <w:r>
              <w:rPr>
                <w:rFonts w:ascii="Times New Roman" w:cs="Times New Roman" w:eastAsia="Times New Roman" w:hAnsi="Times New Roman"/>
                <w:sz w:val="10"/>
                <w:szCs w:val="10"/>
                <w:color w:val="auto"/>
                <w:w w:val="95"/>
              </w:rPr>
              <w:t>t</w:t>
            </w:r>
          </w:p>
        </w:tc>
        <w:tc>
          <w:tcPr>
            <w:tcW w:w="200" w:type="dxa"/>
            <w:vAlign w:val="bottom"/>
          </w:tcPr>
          <w:p>
            <w:pPr>
              <w:spacing w:after="0"/>
              <w:rPr>
                <w:sz w:val="11"/>
                <w:szCs w:val="11"/>
                <w:color w:val="auto"/>
              </w:rPr>
            </w:pPr>
          </w:p>
        </w:tc>
        <w:tc>
          <w:tcPr>
            <w:tcW w:w="1180" w:type="dxa"/>
            <w:vAlign w:val="bottom"/>
            <w:gridSpan w:val="3"/>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Gains</w:t>
            </w:r>
          </w:p>
        </w:tc>
        <w:tc>
          <w:tcPr>
            <w:tcW w:w="200" w:type="dxa"/>
            <w:vAlign w:val="bottom"/>
          </w:tcPr>
          <w:p>
            <w:pPr>
              <w:spacing w:after="0"/>
              <w:rPr>
                <w:sz w:val="11"/>
                <w:szCs w:val="11"/>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7"/>
              </w:rPr>
              <w:t>Months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1"/>
              </w:rPr>
              <w:t>Months</w:t>
            </w:r>
          </w:p>
        </w:tc>
        <w:tc>
          <w:tcPr>
            <w:tcW w:w="200" w:type="dxa"/>
            <w:vAlign w:val="bottom"/>
          </w:tcPr>
          <w:p>
            <w:pPr>
              <w:spacing w:after="0"/>
              <w:rPr>
                <w:sz w:val="11"/>
                <w:szCs w:val="11"/>
                <w:color w:val="auto"/>
              </w:rPr>
            </w:pPr>
          </w:p>
        </w:tc>
        <w:tc>
          <w:tcPr>
            <w:tcW w:w="940" w:type="dxa"/>
            <w:vAlign w:val="bottom"/>
          </w:tcPr>
          <w:p>
            <w:pPr>
              <w:jc w:val="center"/>
              <w:ind w:right="144"/>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0" w:type="dxa"/>
            <w:vAlign w:val="bottom"/>
          </w:tcPr>
          <w:p>
            <w:pPr>
              <w:spacing w:after="0"/>
              <w:rPr>
                <w:sz w:val="1"/>
                <w:szCs w:val="1"/>
                <w:color w:val="auto"/>
              </w:rPr>
            </w:pPr>
          </w:p>
        </w:tc>
      </w:tr>
      <w:tr>
        <w:trPr>
          <w:trHeight w:val="142"/>
        </w:trPr>
        <w:tc>
          <w:tcPr>
            <w:tcW w:w="3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 Treasury securities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606,353</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183,200</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789,553</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14.6%</w:t>
            </w: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Political subdivisions of States,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Territories and Possessions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1,413,303</w:t>
            </w:r>
          </w:p>
        </w:tc>
        <w:tc>
          <w:tcPr>
            <w:tcW w:w="20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49,981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(12,247)</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1,451,037</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26.9%</w:t>
            </w: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Corporate and other bonds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Industrial and miscellaneous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3,109,079</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98,306</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(52,921)</w:t>
            </w: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3,154,464</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58.5%</w:t>
            </w: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5,128,735</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331,487</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(52,921)</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(12,247)</w:t>
            </w:r>
          </w:p>
        </w:tc>
        <w:tc>
          <w:tcPr>
            <w:tcW w:w="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5,395,054</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880" w:type="dxa"/>
            <w:vAlign w:val="bottom"/>
            <w:gridSpan w:val="17"/>
          </w:tcPr>
          <w:p>
            <w:pPr>
              <w:spacing w:after="0"/>
              <w:rPr>
                <w:sz w:val="20"/>
                <w:szCs w:val="20"/>
                <w:color w:val="auto"/>
              </w:rPr>
            </w:pPr>
            <w:r>
              <w:rPr>
                <w:rFonts w:ascii="Times New Roman" w:cs="Times New Roman" w:eastAsia="Times New Roman" w:hAnsi="Times New Roman"/>
                <w:sz w:val="12"/>
                <w:szCs w:val="12"/>
                <w:color w:val="auto"/>
              </w:rPr>
              <w:t>U.S. Treasury securities included in held to maturity securities are held in trust pursuant to the New York State Department of Financial Services’ minimum funds requirement.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020" w:type="dxa"/>
            <w:vAlign w:val="bottom"/>
            <w:gridSpan w:val="19"/>
          </w:tcPr>
          <w:p>
            <w:pPr>
              <w:spacing w:after="0"/>
              <w:rPr>
                <w:sz w:val="20"/>
                <w:szCs w:val="20"/>
                <w:color w:val="auto"/>
              </w:rPr>
            </w:pPr>
            <w:r>
              <w:rPr>
                <w:rFonts w:ascii="Times New Roman" w:cs="Times New Roman" w:eastAsia="Times New Roman" w:hAnsi="Times New Roman"/>
                <w:sz w:val="12"/>
                <w:szCs w:val="12"/>
                <w:color w:val="auto"/>
              </w:rPr>
              <w:t>A summary of the amortized cost and fair value of the Company’s investments in held-to-maturity securities by contractual maturity as of March 31, 2015 and December 31, 2014 is shown below:</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March 31, 2015</w:t>
            </w:r>
          </w:p>
        </w:tc>
        <w:tc>
          <w:tcPr>
            <w:tcW w:w="8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December 31, 2014</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3"/>
          </w:tcPr>
          <w:p>
            <w:pPr>
              <w:jc w:val="right"/>
              <w:ind w:right="500"/>
              <w:spacing w:after="0" w:line="108"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center"/>
              <w:ind w:right="164"/>
              <w:spacing w:after="0" w:line="108" w:lineRule="exact"/>
              <w:rPr>
                <w:sz w:val="20"/>
                <w:szCs w:val="20"/>
                <w:color w:val="auto"/>
              </w:rPr>
            </w:pPr>
            <w:r>
              <w:rPr>
                <w:rFonts w:ascii="Times New Roman" w:cs="Times New Roman" w:eastAsia="Times New Roman" w:hAnsi="Times New Roman"/>
                <w:sz w:val="10"/>
                <w:szCs w:val="10"/>
                <w:b w:val="1"/>
                <w:bCs w:val="1"/>
                <w:color w:val="auto"/>
                <w:w w:val="96"/>
              </w:rPr>
              <w:t>Amortized</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Remaining Time to Maturit</w:t>
            </w:r>
            <w:r>
              <w:rPr>
                <w:rFonts w:ascii="Times New Roman" w:cs="Times New Roman" w:eastAsia="Times New Roman" w:hAnsi="Times New Roman"/>
                <w:sz w:val="10"/>
                <w:szCs w:val="10"/>
                <w:color w:val="auto"/>
              </w:rPr>
              <w:t>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Cost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200" w:type="dxa"/>
            <w:vAlign w:val="bottom"/>
          </w:tcPr>
          <w:p>
            <w:pPr>
              <w:spacing w:after="0"/>
              <w:rPr>
                <w:sz w:val="11"/>
                <w:szCs w:val="11"/>
                <w:color w:val="auto"/>
              </w:rPr>
            </w:pPr>
          </w:p>
        </w:tc>
        <w:tc>
          <w:tcPr>
            <w:tcW w:w="940" w:type="dxa"/>
            <w:vAlign w:val="bottom"/>
          </w:tcPr>
          <w:p>
            <w:pPr>
              <w:jc w:val="center"/>
              <w:ind w:right="164"/>
              <w:spacing w:after="0"/>
              <w:rPr>
                <w:sz w:val="20"/>
                <w:szCs w:val="20"/>
                <w:color w:val="auto"/>
              </w:rPr>
            </w:pPr>
            <w:r>
              <w:rPr>
                <w:rFonts w:ascii="Times New Roman" w:cs="Times New Roman" w:eastAsia="Times New Roman" w:hAnsi="Times New Roman"/>
                <w:sz w:val="10"/>
                <w:szCs w:val="10"/>
                <w:b w:val="1"/>
                <w:bCs w:val="1"/>
                <w:color w:val="auto"/>
              </w:rPr>
              <w:t>Cost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0" w:type="dxa"/>
            <w:vAlign w:val="bottom"/>
          </w:tcPr>
          <w:p>
            <w:pPr>
              <w:spacing w:after="0"/>
              <w:rPr>
                <w:sz w:val="1"/>
                <w:szCs w:val="1"/>
                <w:color w:val="auto"/>
              </w:rPr>
            </w:pPr>
          </w:p>
        </w:tc>
      </w:tr>
      <w:tr>
        <w:trPr>
          <w:trHeight w:val="142"/>
        </w:trPr>
        <w:tc>
          <w:tcPr>
            <w:tcW w:w="3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than one year</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One to five years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505,380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Five to ten years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3,530,867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3,624,128</w:t>
            </w:r>
          </w:p>
        </w:tc>
        <w:tc>
          <w:tcPr>
            <w:tcW w:w="2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3,522,927</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3,563,401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More than 10 years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1,101,371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1,335,688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1,605,808</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1,831,653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5,132,238</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5,465,196</w:t>
            </w:r>
          </w:p>
        </w:tc>
        <w:tc>
          <w:tcPr>
            <w:tcW w:w="260" w:type="dxa"/>
            <w:vAlign w:val="bottom"/>
            <w:tcBorders>
              <w:left w:val="single" w:sz="8" w:color="CCEEFF"/>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5,128,735</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5,395,054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3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jc w:val="right"/>
              <w:ind w:right="25"/>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2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2" w:right="199" w:bottom="1440" w:gutter="0" w:footer="0" w:header="0"/>
        </w:sectPr>
      </w:pPr>
    </w:p>
    <w:bookmarkStart w:id="46" w:name="page47"/>
    <w:bookmarkEnd w:id="46"/>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Credit Rating of Fixed-Maturity Securities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table below summarizes the credit quality of our available for sale fixed-maturity securities as of March 31, 2015 and December 31, 2014 as rated by Standard &amp; Poor’s (or, if unavailable from Standard &amp; Poor’s, then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Moody’s or Fitch):</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2"/>
                <w:szCs w:val="12"/>
                <w:b w:val="1"/>
                <w:bCs w:val="1"/>
                <w:color w:val="auto"/>
              </w:rPr>
              <w:t>March 31, 2015</w:t>
            </w:r>
          </w:p>
        </w:tc>
        <w:tc>
          <w:tcPr>
            <w:tcW w:w="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0"/>
                <w:szCs w:val="10"/>
                <w:b w:val="1"/>
                <w:bCs w:val="1"/>
                <w:color w:val="auto"/>
              </w:rPr>
              <w:t>December 31, 2014</w:t>
            </w:r>
          </w:p>
        </w:tc>
        <w:tc>
          <w:tcPr>
            <w:tcW w:w="13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40" w:type="dxa"/>
            <w:vAlign w:val="bottom"/>
          </w:tcPr>
          <w:p>
            <w:pPr>
              <w:spacing w:after="0"/>
              <w:rPr>
                <w:sz w:val="7"/>
                <w:szCs w:val="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Fair Market</w:t>
            </w:r>
          </w:p>
        </w:tc>
        <w:tc>
          <w:tcPr>
            <w:tcW w:w="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20" w:type="dxa"/>
            <w:vAlign w:val="bottom"/>
          </w:tcPr>
          <w:p>
            <w:pPr>
              <w:jc w:val="center"/>
              <w:ind w:left="274"/>
              <w:spacing w:after="0" w:line="81" w:lineRule="exact"/>
              <w:rPr>
                <w:sz w:val="20"/>
                <w:szCs w:val="20"/>
                <w:color w:val="auto"/>
              </w:rPr>
            </w:pPr>
            <w:r>
              <w:rPr>
                <w:rFonts w:ascii="Times New Roman" w:cs="Times New Roman" w:eastAsia="Times New Roman" w:hAnsi="Times New Roman"/>
                <w:sz w:val="8"/>
                <w:szCs w:val="8"/>
                <w:b w:val="1"/>
                <w:bCs w:val="1"/>
                <w:color w:val="auto"/>
              </w:rPr>
              <w:t>Percentage of</w:t>
            </w: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20" w:type="dxa"/>
            <w:vAlign w:val="bottom"/>
            <w:gridSpan w:val="2"/>
            <w:vMerge w:val="restart"/>
          </w:tcPr>
          <w:p>
            <w:pPr>
              <w:jc w:val="center"/>
              <w:ind w:right="1460"/>
              <w:spacing w:after="0"/>
              <w:rPr>
                <w:sz w:val="20"/>
                <w:szCs w:val="20"/>
                <w:color w:val="auto"/>
              </w:rPr>
            </w:pPr>
            <w:r>
              <w:rPr>
                <w:rFonts w:ascii="Times New Roman" w:cs="Times New Roman" w:eastAsia="Times New Roman" w:hAnsi="Times New Roman"/>
                <w:sz w:val="10"/>
                <w:szCs w:val="10"/>
                <w:b w:val="1"/>
                <w:bCs w:val="1"/>
                <w:color w:val="auto"/>
                <w:w w:val="97"/>
              </w:rPr>
              <w:t>Fair Market</w:t>
            </w:r>
          </w:p>
        </w:tc>
        <w:tc>
          <w:tcPr>
            <w:tcW w:w="136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Percentage of</w:t>
            </w: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jc w:val="center"/>
              <w:ind w:left="274"/>
              <w:spacing w:after="0"/>
              <w:rPr>
                <w:sz w:val="20"/>
                <w:szCs w:val="20"/>
                <w:color w:val="auto"/>
              </w:rPr>
            </w:pPr>
            <w:r>
              <w:rPr>
                <w:rFonts w:ascii="Times New Roman" w:cs="Times New Roman" w:eastAsia="Times New Roman" w:hAnsi="Times New Roman"/>
                <w:sz w:val="10"/>
                <w:szCs w:val="10"/>
                <w:b w:val="1"/>
                <w:bCs w:val="1"/>
                <w:color w:val="auto"/>
                <w:w w:val="94"/>
              </w:rPr>
              <w:t>Fair Market</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20" w:type="dxa"/>
            <w:vAlign w:val="bottom"/>
            <w:gridSpan w:val="2"/>
            <w:vMerge w:val="continue"/>
          </w:tcPr>
          <w:p>
            <w:pPr>
              <w:spacing w:after="0"/>
              <w:rPr>
                <w:sz w:val="10"/>
                <w:szCs w:val="1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7"/>
              </w:rPr>
              <w:t>Fair Market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140" w:type="dxa"/>
            <w:vAlign w:val="bottom"/>
          </w:tcPr>
          <w:p>
            <w:pPr>
              <w:spacing w:after="0"/>
              <w:rPr>
                <w:sz w:val="11"/>
                <w:szCs w:val="11"/>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rPr>
              <w:t>Value</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jc w:val="center"/>
              <w:ind w:left="274"/>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20" w:type="dxa"/>
            <w:vAlign w:val="bottom"/>
            <w:gridSpan w:val="2"/>
          </w:tcPr>
          <w:p>
            <w:pPr>
              <w:jc w:val="center"/>
              <w:ind w:right="146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Rating</w:t>
            </w:r>
          </w:p>
        </w:tc>
        <w:tc>
          <w:tcPr>
            <w:tcW w:w="10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w:t>
            </w:r>
          </w:p>
        </w:tc>
        <w:tc>
          <w:tcPr>
            <w:tcW w:w="106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w:t>
            </w:r>
          </w:p>
        </w:tc>
        <w:tc>
          <w:tcPr>
            <w:tcW w:w="8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AAA</w:t>
            </w:r>
          </w:p>
        </w:tc>
        <w:tc>
          <w:tcPr>
            <w:tcW w:w="1060" w:type="dxa"/>
            <w:vAlign w:val="bottom"/>
          </w:tcPr>
          <w:p>
            <w:pPr>
              <w:spacing w:after="0"/>
              <w:rPr>
                <w:sz w:val="12"/>
                <w:szCs w:val="12"/>
                <w:color w:val="auto"/>
              </w:rPr>
            </w:pPr>
          </w:p>
        </w:tc>
        <w:tc>
          <w:tcPr>
            <w:tcW w:w="1480" w:type="dxa"/>
            <w:vAlign w:val="bottom"/>
            <w:gridSpan w:val="2"/>
          </w:tcPr>
          <w:p>
            <w:pPr>
              <w:jc w:val="right"/>
              <w:ind w:right="940"/>
              <w:spacing w:after="0"/>
              <w:rPr>
                <w:sz w:val="20"/>
                <w:szCs w:val="20"/>
                <w:color w:val="auto"/>
              </w:rPr>
            </w:pPr>
            <w:r>
              <w:rPr>
                <w:rFonts w:ascii="Times New Roman" w:cs="Times New Roman" w:eastAsia="Times New Roman" w:hAnsi="Times New Roman"/>
                <w:sz w:val="12"/>
                <w:szCs w:val="12"/>
                <w:color w:val="auto"/>
              </w:rPr>
              <w:t>2,790,664</w:t>
            </w:r>
          </w:p>
        </w:tc>
        <w:tc>
          <w:tcPr>
            <w:tcW w:w="10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5.2</w:t>
            </w:r>
          </w:p>
        </w:tc>
        <w:tc>
          <w:tcPr>
            <w:tcW w:w="8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2"/>
                <w:szCs w:val="12"/>
                <w:color w:val="auto"/>
              </w:rPr>
            </w:pPr>
          </w:p>
        </w:tc>
        <w:tc>
          <w:tcPr>
            <w:tcW w:w="2020" w:type="dxa"/>
            <w:vAlign w:val="bottom"/>
            <w:gridSpan w:val="2"/>
          </w:tcPr>
          <w:p>
            <w:pPr>
              <w:jc w:val="right"/>
              <w:ind w:right="940"/>
              <w:spacing w:after="0"/>
              <w:rPr>
                <w:sz w:val="20"/>
                <w:szCs w:val="20"/>
                <w:color w:val="auto"/>
              </w:rPr>
            </w:pPr>
            <w:r>
              <w:rPr>
                <w:rFonts w:ascii="Times New Roman" w:cs="Times New Roman" w:eastAsia="Times New Roman" w:hAnsi="Times New Roman"/>
                <w:sz w:val="12"/>
                <w:szCs w:val="12"/>
                <w:color w:val="auto"/>
              </w:rPr>
              <w:t>2,779,539</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5.5</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AA</w:t>
            </w:r>
          </w:p>
        </w:tc>
        <w:tc>
          <w:tcPr>
            <w:tcW w:w="10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w w:val="96"/>
              </w:rPr>
              <w:t>10,107,678</w:t>
            </w:r>
          </w:p>
        </w:tc>
        <w:tc>
          <w:tcPr>
            <w:tcW w:w="10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18.6</w:t>
            </w:r>
          </w:p>
        </w:tc>
        <w:tc>
          <w:tcPr>
            <w:tcW w:w="8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9,826,545</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14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A</w:t>
            </w:r>
          </w:p>
        </w:tc>
        <w:tc>
          <w:tcPr>
            <w:tcW w:w="1060" w:type="dxa"/>
            <w:vAlign w:val="bottom"/>
          </w:tcPr>
          <w:p>
            <w:pPr>
              <w:spacing w:after="0"/>
              <w:rPr>
                <w:sz w:val="12"/>
                <w:szCs w:val="12"/>
                <w:color w:val="auto"/>
              </w:rPr>
            </w:pPr>
          </w:p>
        </w:tc>
        <w:tc>
          <w:tcPr>
            <w:tcW w:w="1480" w:type="dxa"/>
            <w:vAlign w:val="bottom"/>
            <w:gridSpan w:val="2"/>
          </w:tcPr>
          <w:p>
            <w:pPr>
              <w:jc w:val="right"/>
              <w:ind w:right="940"/>
              <w:spacing w:after="0"/>
              <w:rPr>
                <w:sz w:val="20"/>
                <w:szCs w:val="20"/>
                <w:color w:val="auto"/>
              </w:rPr>
            </w:pPr>
            <w:r>
              <w:rPr>
                <w:rFonts w:ascii="Times New Roman" w:cs="Times New Roman" w:eastAsia="Times New Roman" w:hAnsi="Times New Roman"/>
                <w:sz w:val="12"/>
                <w:szCs w:val="12"/>
                <w:color w:val="auto"/>
                <w:w w:val="96"/>
              </w:rPr>
              <w:t>14,182,184</w:t>
            </w:r>
          </w:p>
        </w:tc>
        <w:tc>
          <w:tcPr>
            <w:tcW w:w="10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26.1</w:t>
            </w:r>
          </w:p>
        </w:tc>
        <w:tc>
          <w:tcPr>
            <w:tcW w:w="8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2"/>
                <w:szCs w:val="12"/>
                <w:color w:val="auto"/>
              </w:rPr>
            </w:pPr>
          </w:p>
        </w:tc>
        <w:tc>
          <w:tcPr>
            <w:tcW w:w="2020" w:type="dxa"/>
            <w:vAlign w:val="bottom"/>
            <w:gridSpan w:val="2"/>
          </w:tcPr>
          <w:p>
            <w:pPr>
              <w:jc w:val="right"/>
              <w:ind w:right="940"/>
              <w:spacing w:after="0"/>
              <w:rPr>
                <w:sz w:val="20"/>
                <w:szCs w:val="20"/>
                <w:color w:val="auto"/>
              </w:rPr>
            </w:pPr>
            <w:r>
              <w:rPr>
                <w:rFonts w:ascii="Times New Roman" w:cs="Times New Roman" w:eastAsia="Times New Roman" w:hAnsi="Times New Roman"/>
                <w:sz w:val="12"/>
                <w:szCs w:val="12"/>
                <w:color w:val="auto"/>
              </w:rPr>
              <w:t>13,954,036</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27.3</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BBB</w:t>
            </w:r>
          </w:p>
        </w:tc>
        <w:tc>
          <w:tcPr>
            <w:tcW w:w="10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w w:val="96"/>
              </w:rPr>
              <w:t>24,377,359</w:t>
            </w:r>
          </w:p>
        </w:tc>
        <w:tc>
          <w:tcPr>
            <w:tcW w:w="10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44.9</w:t>
            </w:r>
          </w:p>
        </w:tc>
        <w:tc>
          <w:tcPr>
            <w:tcW w:w="8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24,560,739</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48.0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CCC</w:t>
            </w:r>
          </w:p>
        </w:tc>
        <w:tc>
          <w:tcPr>
            <w:tcW w:w="1060" w:type="dxa"/>
            <w:vAlign w:val="bottom"/>
          </w:tcPr>
          <w:p>
            <w:pPr>
              <w:spacing w:after="0"/>
              <w:rPr>
                <w:sz w:val="12"/>
                <w:szCs w:val="12"/>
                <w:color w:val="auto"/>
              </w:rPr>
            </w:pPr>
          </w:p>
        </w:tc>
        <w:tc>
          <w:tcPr>
            <w:tcW w:w="1480" w:type="dxa"/>
            <w:vAlign w:val="bottom"/>
            <w:gridSpan w:val="2"/>
          </w:tcPr>
          <w:p>
            <w:pPr>
              <w:jc w:val="right"/>
              <w:ind w:right="940"/>
              <w:spacing w:after="0"/>
              <w:rPr>
                <w:sz w:val="20"/>
                <w:szCs w:val="20"/>
                <w:color w:val="auto"/>
              </w:rPr>
            </w:pPr>
            <w:r>
              <w:rPr>
                <w:rFonts w:ascii="Times New Roman" w:cs="Times New Roman" w:eastAsia="Times New Roman" w:hAnsi="Times New Roman"/>
                <w:sz w:val="12"/>
                <w:szCs w:val="12"/>
                <w:color w:val="auto"/>
              </w:rPr>
              <w:t>484,638</w:t>
            </w:r>
          </w:p>
        </w:tc>
        <w:tc>
          <w:tcPr>
            <w:tcW w:w="10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0.9</w:t>
            </w:r>
          </w:p>
        </w:tc>
        <w:tc>
          <w:tcPr>
            <w:tcW w:w="8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2"/>
                <w:szCs w:val="12"/>
                <w:color w:val="auto"/>
              </w:rPr>
            </w:pPr>
          </w:p>
        </w:tc>
        <w:tc>
          <w:tcPr>
            <w:tcW w:w="2020" w:type="dxa"/>
            <w:vAlign w:val="bottom"/>
            <w:gridSpan w:val="2"/>
          </w:tcPr>
          <w:p>
            <w:pPr>
              <w:jc w:val="right"/>
              <w:ind w:right="94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CC</w:t>
            </w:r>
          </w:p>
        </w:tc>
        <w:tc>
          <w:tcPr>
            <w:tcW w:w="10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127,843</w:t>
            </w:r>
          </w:p>
        </w:tc>
        <w:tc>
          <w:tcPr>
            <w:tcW w:w="10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0.2</w:t>
            </w:r>
          </w:p>
        </w:tc>
        <w:tc>
          <w:tcPr>
            <w:tcW w:w="8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14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D</w:t>
            </w:r>
          </w:p>
        </w:tc>
        <w:tc>
          <w:tcPr>
            <w:tcW w:w="10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2,230,810</w:t>
            </w: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w:t>
            </w:r>
          </w:p>
        </w:tc>
        <w:tc>
          <w:tcPr>
            <w:tcW w:w="80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2"/>
                <w:szCs w:val="12"/>
                <w:color w:val="auto"/>
              </w:rPr>
            </w:pPr>
          </w:p>
        </w:tc>
        <w:tc>
          <w:tcPr>
            <w:tcW w:w="2020" w:type="dxa"/>
            <w:vAlign w:val="bottom"/>
            <w:gridSpan w:val="2"/>
          </w:tcPr>
          <w:p>
            <w:pPr>
              <w:jc w:val="right"/>
              <w:ind w:right="94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6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54,301,176</w:t>
            </w: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100.0</w:t>
            </w:r>
          </w:p>
        </w:tc>
        <w:tc>
          <w:tcPr>
            <w:tcW w:w="8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51,120,859</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table below summarizes the average yield by type of fixed-maturity security as of March 31, 2015 and December 31, 2014:</w:t>
      </w:r>
    </w:p>
    <w:p>
      <w:pPr>
        <w:spacing w:after="0" w:line="208" w:lineRule="exact"/>
        <w:rPr>
          <w:sz w:val="20"/>
          <w:szCs w:val="20"/>
          <w:color w:val="auto"/>
        </w:rPr>
      </w:pPr>
    </w:p>
    <w:tbl>
      <w:tblPr>
        <w:tblLayout w:type="fixed"/>
        <w:tblInd w:w="2860" w:type="dxa"/>
        <w:tblCellMar>
          <w:top w:w="0" w:type="dxa"/>
          <w:left w:w="0" w:type="dxa"/>
          <w:bottom w:w="0" w:type="dxa"/>
          <w:right w:w="0" w:type="dxa"/>
        </w:tblCellMar>
      </w:tblPr>
      <w:tr>
        <w:trPr>
          <w:trHeight w:val="134"/>
        </w:trPr>
        <w:tc>
          <w:tcPr>
            <w:tcW w:w="15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Categor</w:t>
            </w:r>
            <w:r>
              <w:rPr>
                <w:rFonts w:ascii="Times New Roman" w:cs="Times New Roman" w:eastAsia="Times New Roman" w:hAnsi="Times New Roman"/>
                <w:sz w:val="10"/>
                <w:szCs w:val="10"/>
                <w:color w:val="auto"/>
              </w:rPr>
              <w:t>y</w:t>
            </w:r>
          </w:p>
        </w:tc>
        <w:tc>
          <w:tcPr>
            <w:tcW w:w="460" w:type="dxa"/>
            <w:vAlign w:val="bottom"/>
          </w:tcPr>
          <w:p>
            <w:pPr>
              <w:spacing w:after="0"/>
              <w:rPr>
                <w:sz w:val="11"/>
                <w:szCs w:val="11"/>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March 31, 2015</w:t>
            </w:r>
          </w:p>
        </w:tc>
        <w:tc>
          <w:tcPr>
            <w:tcW w:w="780" w:type="dxa"/>
            <w:vAlign w:val="bottom"/>
          </w:tcPr>
          <w:p>
            <w:pPr>
              <w:spacing w:after="0"/>
              <w:rPr>
                <w:sz w:val="11"/>
                <w:szCs w:val="11"/>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December 31, 2014</w:t>
            </w:r>
          </w:p>
        </w:tc>
        <w:tc>
          <w:tcPr>
            <w:tcW w:w="320" w:type="dxa"/>
            <w:vAlign w:val="bottom"/>
          </w:tcPr>
          <w:p>
            <w:pPr>
              <w:spacing w:after="0"/>
              <w:rPr>
                <w:sz w:val="11"/>
                <w:szCs w:val="11"/>
                <w:color w:val="auto"/>
              </w:rPr>
            </w:pPr>
          </w:p>
        </w:tc>
      </w:tr>
      <w:tr>
        <w:trPr>
          <w:trHeight w:val="142"/>
        </w:trPr>
        <w:tc>
          <w:tcPr>
            <w:tcW w:w="1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U.S. Treasury securities and</w:t>
            </w:r>
          </w:p>
        </w:tc>
        <w:tc>
          <w:tcPr>
            <w:tcW w:w="46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33"/>
        </w:trPr>
        <w:tc>
          <w:tcPr>
            <w:tcW w:w="1500" w:type="dxa"/>
            <w:vAlign w:val="bottom"/>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obligations of U.S.</w:t>
            </w:r>
          </w:p>
        </w:tc>
        <w:tc>
          <w:tcPr>
            <w:tcW w:w="4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r>
      <w:tr>
        <w:trPr>
          <w:trHeight w:val="155"/>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government</w:t>
            </w:r>
          </w:p>
        </w:tc>
        <w:tc>
          <w:tcPr>
            <w:tcW w:w="4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r>
      <w:tr>
        <w:trPr>
          <w:trHeight w:val="144"/>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corporations and agencies</w:t>
            </w:r>
          </w:p>
        </w:tc>
        <w:tc>
          <w:tcPr>
            <w:tcW w:w="4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3.20</w:t>
            </w:r>
          </w:p>
        </w:tc>
        <w:tc>
          <w:tcPr>
            <w:tcW w:w="7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33"/>
        </w:trPr>
        <w:tc>
          <w:tcPr>
            <w:tcW w:w="1500" w:type="dxa"/>
            <w:vAlign w:val="bottom"/>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Political subdivisions of</w:t>
            </w:r>
          </w:p>
        </w:tc>
        <w:tc>
          <w:tcPr>
            <w:tcW w:w="4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r>
      <w:tr>
        <w:trPr>
          <w:trHeight w:val="155"/>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States,</w:t>
            </w:r>
          </w:p>
        </w:tc>
        <w:tc>
          <w:tcPr>
            <w:tcW w:w="4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r>
      <w:tr>
        <w:trPr>
          <w:trHeight w:val="144"/>
        </w:trPr>
        <w:tc>
          <w:tcPr>
            <w:tcW w:w="1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Territories and Possessions</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3.75</w:t>
            </w:r>
          </w:p>
        </w:tc>
        <w:tc>
          <w:tcPr>
            <w:tcW w:w="78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3.77</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1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4"/>
        </w:trPr>
        <w:tc>
          <w:tcPr>
            <w:tcW w:w="1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Corporate and other bonds</w:t>
            </w: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Industrial and miscellaneous</w:t>
            </w:r>
          </w:p>
        </w:tc>
        <w:tc>
          <w:tcPr>
            <w:tcW w:w="1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4.13</w:t>
            </w:r>
          </w:p>
        </w:tc>
        <w:tc>
          <w:tcPr>
            <w:tcW w:w="7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33"/>
        </w:trPr>
        <w:tc>
          <w:tcPr>
            <w:tcW w:w="1500" w:type="dxa"/>
            <w:vAlign w:val="bottom"/>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Residential mortgage backed</w:t>
            </w:r>
          </w:p>
        </w:tc>
        <w:tc>
          <w:tcPr>
            <w:tcW w:w="4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r>
      <w:tr>
        <w:trPr>
          <w:trHeight w:val="155"/>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w:t>
            </w:r>
          </w:p>
        </w:tc>
        <w:tc>
          <w:tcPr>
            <w:tcW w:w="1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6.80</w:t>
            </w:r>
          </w:p>
        </w:tc>
        <w:tc>
          <w:tcPr>
            <w:tcW w:w="7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n/a</w:t>
            </w:r>
          </w:p>
        </w:tc>
        <w:tc>
          <w:tcPr>
            <w:tcW w:w="320" w:type="dxa"/>
            <w:vAlign w:val="bottom"/>
            <w:shd w:val="clear" w:color="auto" w:fill="CCEEFF"/>
          </w:tcPr>
          <w:p>
            <w:pPr>
              <w:spacing w:after="0"/>
              <w:rPr>
                <w:sz w:val="13"/>
                <w:szCs w:val="13"/>
                <w:color w:val="auto"/>
              </w:rPr>
            </w:pPr>
          </w:p>
        </w:tc>
      </w:tr>
      <w:tr>
        <w:trPr>
          <w:trHeight w:val="144"/>
        </w:trPr>
        <w:tc>
          <w:tcPr>
            <w:tcW w:w="1500" w:type="dxa"/>
            <w:vAlign w:val="bottom"/>
          </w:tcPr>
          <w:p>
            <w:pPr>
              <w:spacing w:after="0"/>
              <w:rPr>
                <w:sz w:val="12"/>
                <w:szCs w:val="12"/>
                <w:color w:val="auto"/>
              </w:rPr>
            </w:pPr>
          </w:p>
        </w:tc>
        <w:tc>
          <w:tcPr>
            <w:tcW w:w="158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Total</w:t>
            </w:r>
          </w:p>
        </w:tc>
        <w:tc>
          <w:tcPr>
            <w:tcW w:w="1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4.14</w:t>
            </w:r>
          </w:p>
        </w:tc>
        <w:tc>
          <w:tcPr>
            <w:tcW w:w="7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table below lists the weighted average maturity and effective duration in years on our fixed-maturity securities as of March 31, 2015 and December 31,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8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40" w:type="dxa"/>
            <w:vAlign w:val="bottom"/>
            <w:gridSpan w:val="2"/>
          </w:tcPr>
          <w:p>
            <w:pPr>
              <w:jc w:val="right"/>
              <w:ind w:right="1180"/>
              <w:spacing w:after="0"/>
              <w:rPr>
                <w:sz w:val="20"/>
                <w:szCs w:val="20"/>
                <w:color w:val="auto"/>
              </w:rPr>
            </w:pPr>
            <w:r>
              <w:rPr>
                <w:rFonts w:ascii="Times New Roman" w:cs="Times New Roman" w:eastAsia="Times New Roman" w:hAnsi="Times New Roman"/>
                <w:sz w:val="10"/>
                <w:szCs w:val="10"/>
                <w:b w:val="1"/>
                <w:bCs w:val="1"/>
                <w:color w:val="auto"/>
              </w:rPr>
              <w:t>March 31, 2015</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December 31, 2014</w:t>
            </w:r>
          </w:p>
        </w:tc>
        <w:tc>
          <w:tcPr>
            <w:tcW w:w="2880" w:type="dxa"/>
            <w:vAlign w:val="bottom"/>
          </w:tcPr>
          <w:p>
            <w:pPr>
              <w:spacing w:after="0"/>
              <w:rPr>
                <w:sz w:val="10"/>
                <w:szCs w:val="10"/>
                <w:color w:val="auto"/>
              </w:rPr>
            </w:pPr>
          </w:p>
        </w:tc>
      </w:tr>
      <w:tr>
        <w:trPr>
          <w:trHeight w:val="131"/>
        </w:trPr>
        <w:tc>
          <w:tcPr>
            <w:tcW w:w="2860" w:type="dxa"/>
            <w:vAlign w:val="bottom"/>
          </w:tcPr>
          <w:p>
            <w:pPr>
              <w:spacing w:after="0"/>
              <w:rPr>
                <w:sz w:val="11"/>
                <w:szCs w:val="11"/>
                <w:color w:val="auto"/>
              </w:rPr>
            </w:pPr>
          </w:p>
        </w:tc>
        <w:tc>
          <w:tcPr>
            <w:tcW w:w="2100" w:type="dxa"/>
            <w:vAlign w:val="bottom"/>
            <w:shd w:val="clear" w:color="auto" w:fill="CCEEFF"/>
          </w:tcPr>
          <w:p>
            <w:pPr>
              <w:ind w:left="40"/>
              <w:spacing w:after="0" w:line="132" w:lineRule="exact"/>
              <w:rPr>
                <w:sz w:val="20"/>
                <w:szCs w:val="20"/>
                <w:color w:val="auto"/>
              </w:rPr>
            </w:pPr>
            <w:r>
              <w:rPr>
                <w:rFonts w:ascii="Times New Roman" w:cs="Times New Roman" w:eastAsia="Times New Roman" w:hAnsi="Times New Roman"/>
                <w:sz w:val="12"/>
                <w:szCs w:val="12"/>
                <w:color w:val="auto"/>
              </w:rPr>
              <w:t>Weighted average effective</w:t>
            </w:r>
          </w:p>
        </w:tc>
        <w:tc>
          <w:tcPr>
            <w:tcW w:w="1100" w:type="dxa"/>
            <w:vAlign w:val="bottom"/>
            <w:tcBorders>
              <w:top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80" w:type="dxa"/>
            <w:vAlign w:val="bottom"/>
          </w:tcPr>
          <w:p>
            <w:pPr>
              <w:spacing w:after="0"/>
              <w:rPr>
                <w:sz w:val="11"/>
                <w:szCs w:val="11"/>
                <w:color w:val="auto"/>
              </w:rPr>
            </w:pPr>
          </w:p>
        </w:tc>
      </w:tr>
      <w:tr>
        <w:trPr>
          <w:trHeight w:val="155"/>
        </w:trPr>
        <w:tc>
          <w:tcPr>
            <w:tcW w:w="2860" w:type="dxa"/>
            <w:vAlign w:val="bottom"/>
          </w:tcPr>
          <w:p>
            <w:pPr>
              <w:spacing w:after="0"/>
              <w:rPr>
                <w:sz w:val="13"/>
                <w:szCs w:val="13"/>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maturity</w:t>
            </w:r>
          </w:p>
        </w:tc>
        <w:tc>
          <w:tcPr>
            <w:tcW w:w="20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6.3</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6.5</w:t>
            </w:r>
          </w:p>
        </w:tc>
        <w:tc>
          <w:tcPr>
            <w:tcW w:w="2880" w:type="dxa"/>
            <w:vAlign w:val="bottom"/>
          </w:tcPr>
          <w:p>
            <w:pPr>
              <w:spacing w:after="0"/>
              <w:rPr>
                <w:sz w:val="13"/>
                <w:szCs w:val="13"/>
                <w:color w:val="auto"/>
              </w:rPr>
            </w:pPr>
          </w:p>
        </w:tc>
      </w:tr>
      <w:tr>
        <w:trPr>
          <w:trHeight w:val="144"/>
        </w:trPr>
        <w:tc>
          <w:tcPr>
            <w:tcW w:w="28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2860" w:type="dxa"/>
            <w:vAlign w:val="bottom"/>
          </w:tcPr>
          <w:p>
            <w:pPr>
              <w:spacing w:after="0"/>
              <w:rPr>
                <w:sz w:val="12"/>
                <w:szCs w:val="12"/>
                <w:color w:val="auto"/>
              </w:rPr>
            </w:pPr>
          </w:p>
        </w:tc>
        <w:tc>
          <w:tcPr>
            <w:tcW w:w="2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Weighted average final maturity</w:t>
            </w:r>
          </w:p>
        </w:tc>
        <w:tc>
          <w:tcPr>
            <w:tcW w:w="20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7.7</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7.3</w:t>
            </w:r>
          </w:p>
        </w:tc>
        <w:tc>
          <w:tcPr>
            <w:tcW w:w="2880" w:type="dxa"/>
            <w:vAlign w:val="bottom"/>
          </w:tcPr>
          <w:p>
            <w:pPr>
              <w:spacing w:after="0"/>
              <w:rPr>
                <w:sz w:val="12"/>
                <w:szCs w:val="12"/>
                <w:color w:val="auto"/>
              </w:rPr>
            </w:pPr>
          </w:p>
        </w:tc>
      </w:tr>
      <w:tr>
        <w:trPr>
          <w:trHeight w:val="144"/>
        </w:trPr>
        <w:tc>
          <w:tcPr>
            <w:tcW w:w="28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2860" w:type="dxa"/>
            <w:vAlign w:val="bottom"/>
          </w:tcPr>
          <w:p>
            <w:pPr>
              <w:spacing w:after="0"/>
              <w:rPr>
                <w:sz w:val="12"/>
                <w:szCs w:val="12"/>
                <w:color w:val="auto"/>
              </w:rPr>
            </w:pPr>
          </w:p>
        </w:tc>
        <w:tc>
          <w:tcPr>
            <w:tcW w:w="2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Effective duration</w:t>
            </w:r>
          </w:p>
        </w:tc>
        <w:tc>
          <w:tcPr>
            <w:tcW w:w="20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5.5</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5.7</w:t>
            </w:r>
          </w:p>
        </w:tc>
        <w:tc>
          <w:tcPr>
            <w:tcW w:w="2880" w:type="dxa"/>
            <w:vAlign w:val="bottom"/>
          </w:tcPr>
          <w:p>
            <w:pPr>
              <w:spacing w:after="0"/>
              <w:rPr>
                <w:sz w:val="12"/>
                <w:szCs w:val="12"/>
                <w:color w:val="auto"/>
              </w:rPr>
            </w:pPr>
          </w:p>
        </w:tc>
      </w:tr>
      <w:tr>
        <w:trPr>
          <w:trHeight w:val="405"/>
        </w:trPr>
        <w:tc>
          <w:tcPr>
            <w:tcW w:w="2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0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rPr>
              <w:t>45</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76"/>
        </w:trPr>
        <w:tc>
          <w:tcPr>
            <w:tcW w:w="2860" w:type="dxa"/>
            <w:vAlign w:val="bottom"/>
            <w:tcBorders>
              <w:bottom w:val="single" w:sz="8" w:color="808080"/>
            </w:tcBorders>
          </w:tcPr>
          <w:p>
            <w:pPr>
              <w:spacing w:after="0"/>
              <w:rPr>
                <w:sz w:val="6"/>
                <w:szCs w:val="6"/>
                <w:color w:val="auto"/>
              </w:rPr>
            </w:pPr>
          </w:p>
        </w:tc>
        <w:tc>
          <w:tcPr>
            <w:tcW w:w="210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88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47" w:name="page48"/>
    <w:bookmarkEnd w:id="47"/>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Fair Value Consideration</w:t>
      </w:r>
    </w:p>
    <w:p>
      <w:pPr>
        <w:spacing w:after="0" w:line="17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As disclosed in Note 4 to the Condensed Consolidated Financial Statements, with respect to “Fair Value Measurements,” we define fair value under GAAP guidance as the price that would be received to sell an asset or paid to transfer a liability in a transaction involving identical or comparable assets or liabilities between market participants (an “exit price”). This GAAP guidance establishes a fair value hierarchy that distinguishes between inputs based on market data from independent sources (“observable inputs”) and a reporting entity’s internal assumptions based upon the best information available when external market data is limited or unavailable (“unobservable inputs”). The fair value hierarchy in GAAP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March 31, 2015 and December 31, 2014, 61% and 63%, respectively, of the investment portfolio recorded at fair value was priced based upon quoted market prices.</w:t>
      </w:r>
    </w:p>
    <w:p>
      <w:pPr>
        <w:spacing w:after="0" w:line="144"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As more fully described in Note 3 to our Condensed Consolidated Financial Statements, “Investments—Impairment Review,” we completed a detailed review of all our securities in a continuous loss position as of March 31, 2015 and December 31, 2014, and concluded that the unrealized losses in these asset classes are temporary in nature and the result of a decrease in value due to technical spread widening and broader market sentiment, rather than fundamental collateral deterioration.</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68" w:right="199" w:bottom="1440" w:gutter="0" w:footer="0" w:header="0"/>
        </w:sectPr>
      </w:pPr>
    </w:p>
    <w:bookmarkStart w:id="48" w:name="page49"/>
    <w:bookmarkEnd w:id="48"/>
    <w:p>
      <w:pPr>
        <w:ind w:right="280" w:firstLine="432"/>
        <w:spacing w:after="0" w:line="280" w:lineRule="auto"/>
        <w:rPr>
          <w:sz w:val="20"/>
          <w:szCs w:val="20"/>
          <w:color w:val="auto"/>
        </w:rPr>
      </w:pPr>
      <w:r>
        <w:rPr>
          <w:rFonts w:ascii="Times New Roman" w:cs="Times New Roman" w:eastAsia="Times New Roman" w:hAnsi="Times New Roman"/>
          <w:sz w:val="12"/>
          <w:szCs w:val="12"/>
          <w:color w:val="auto"/>
        </w:rPr>
        <w:t>The table below summarizes the gross unrealized losses of our fixed-maturity securities available-for-sale and equity securities by length of time the security has continuously been in an unrealized loss position as of March 31, 2015 and December 31,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March 31, 2015</w:t>
            </w: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w w:val="98"/>
              </w:rPr>
              <w:t>Less than 12 months</w:t>
            </w: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12 months or more</w:t>
            </w: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0" w:type="dxa"/>
            <w:vAlign w:val="bottom"/>
            <w:gridSpan w:val="2"/>
            <w:vMerge w:val="restart"/>
          </w:tcPr>
          <w:p>
            <w:pPr>
              <w:jc w:val="right"/>
              <w:ind w:right="1560"/>
              <w:spacing w:after="0"/>
              <w:rPr>
                <w:sz w:val="20"/>
                <w:szCs w:val="20"/>
                <w:color w:val="auto"/>
              </w:rPr>
            </w:pPr>
            <w:r>
              <w:rPr>
                <w:rFonts w:ascii="Times New Roman" w:cs="Times New Roman" w:eastAsia="Times New Roman" w:hAnsi="Times New Roman"/>
                <w:sz w:val="10"/>
                <w:szCs w:val="10"/>
                <w:b w:val="1"/>
                <w:bCs w:val="1"/>
                <w:color w:val="auto"/>
              </w:rPr>
              <w:t>Fair</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0"/>
                <w:szCs w:val="10"/>
                <w:b w:val="1"/>
                <w:bCs w:val="1"/>
                <w:color w:val="auto"/>
                <w:w w:val="98"/>
              </w:rPr>
              <w:t>Unrealized</w:t>
            </w: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No. of</w:t>
            </w:r>
          </w:p>
        </w:tc>
        <w:tc>
          <w:tcPr>
            <w:tcW w:w="9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Fair</w:t>
            </w:r>
          </w:p>
        </w:tc>
        <w:tc>
          <w:tcPr>
            <w:tcW w:w="780" w:type="dxa"/>
            <w:vAlign w:val="bottom"/>
          </w:tcPr>
          <w:p>
            <w:pPr>
              <w:spacing w:after="0"/>
              <w:rPr>
                <w:sz w:val="7"/>
                <w:szCs w:val="7"/>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0"/>
                <w:szCs w:val="10"/>
                <w:b w:val="1"/>
                <w:bCs w:val="1"/>
                <w:color w:val="auto"/>
                <w:w w:val="98"/>
              </w:rPr>
              <w:t>Unrealized</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60" w:type="dxa"/>
            <w:vAlign w:val="bottom"/>
            <w:gridSpan w:val="2"/>
          </w:tcPr>
          <w:p>
            <w:pPr>
              <w:jc w:val="center"/>
              <w:ind w:right="940"/>
              <w:spacing w:after="0"/>
              <w:rPr>
                <w:sz w:val="20"/>
                <w:szCs w:val="20"/>
                <w:color w:val="auto"/>
              </w:rPr>
            </w:pPr>
            <w:r>
              <w:rPr>
                <w:rFonts w:ascii="Times New Roman" w:cs="Times New Roman" w:eastAsia="Times New Roman" w:hAnsi="Times New Roman"/>
                <w:sz w:val="10"/>
                <w:szCs w:val="10"/>
                <w:b w:val="1"/>
                <w:bCs w:val="1"/>
                <w:color w:val="auto"/>
                <w:w w:val="98"/>
              </w:rPr>
              <w:t>Positions</w:t>
            </w:r>
          </w:p>
        </w:tc>
        <w:tc>
          <w:tcPr>
            <w:tcW w:w="5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Categor</w:t>
            </w:r>
            <w:r>
              <w:rPr>
                <w:rFonts w:ascii="Times New Roman" w:cs="Times New Roman" w:eastAsia="Times New Roman" w:hAnsi="Times New Roman"/>
                <w:sz w:val="10"/>
                <w:szCs w:val="10"/>
                <w:color w:val="auto"/>
              </w:rPr>
              <w:t>y</w:t>
            </w:r>
          </w:p>
        </w:tc>
        <w:tc>
          <w:tcPr>
            <w:tcW w:w="4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0"/>
                <w:szCs w:val="10"/>
                <w:b w:val="1"/>
                <w:bCs w:val="1"/>
                <w:color w:val="auto"/>
              </w:rPr>
              <w:t>Value</w:t>
            </w:r>
          </w:p>
        </w:tc>
        <w:tc>
          <w:tcPr>
            <w:tcW w:w="940" w:type="dxa"/>
            <w:vAlign w:val="bottom"/>
          </w:tcPr>
          <w:p>
            <w:pPr>
              <w:spacing w:after="0"/>
              <w:rPr>
                <w:sz w:val="11"/>
                <w:szCs w:val="11"/>
                <w:color w:val="auto"/>
              </w:rPr>
            </w:pPr>
          </w:p>
        </w:tc>
        <w:tc>
          <w:tcPr>
            <w:tcW w:w="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Held</w:t>
            </w:r>
          </w:p>
        </w:tc>
        <w:tc>
          <w:tcPr>
            <w:tcW w:w="9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14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Fixed-Maturity Securities:</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14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Political</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subdivisions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of</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States,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4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Territories and</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Possessions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548,802</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(4,373</w:t>
            </w:r>
          </w:p>
        </w:tc>
        <w:tc>
          <w:tcPr>
            <w:tcW w:w="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116,919</w:t>
            </w:r>
          </w:p>
        </w:tc>
        <w:tc>
          <w:tcPr>
            <w:tcW w:w="17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(5,216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480" w:type="dxa"/>
            <w:vAlign w:val="bottom"/>
            <w:gridSpan w:val="3"/>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Corporate</w:t>
            </w: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and other</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8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2"/>
                <w:szCs w:val="12"/>
                <w:color w:val="auto"/>
              </w:rPr>
              <w:t>bonds</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4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industrial and</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miscellaneous</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2,555,063</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7"/>
              </w:rPr>
              <w:t>(56,447</w:t>
            </w:r>
          </w:p>
        </w:tc>
        <w:tc>
          <w:tcPr>
            <w:tcW w:w="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7</w:t>
            </w: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483,170</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(6,664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480" w:type="dxa"/>
            <w:vAlign w:val="bottom"/>
            <w:gridSpan w:val="3"/>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Residential</w:t>
            </w: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mortgage</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8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2"/>
                <w:szCs w:val="12"/>
                <w:color w:val="auto"/>
              </w:rPr>
              <w:t>backed</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4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w:t>
            </w:r>
          </w:p>
        </w:tc>
        <w:tc>
          <w:tcPr>
            <w:tcW w:w="240" w:type="dxa"/>
            <w:vAlign w:val="bottom"/>
          </w:tcPr>
          <w:p>
            <w:pPr>
              <w:spacing w:after="0"/>
              <w:rPr>
                <w:sz w:val="13"/>
                <w:szCs w:val="13"/>
                <w:color w:val="auto"/>
              </w:rPr>
            </w:pPr>
          </w:p>
        </w:tc>
        <w:tc>
          <w:tcPr>
            <w:tcW w:w="1800" w:type="dxa"/>
            <w:vAlign w:val="bottom"/>
            <w:gridSpan w:val="2"/>
          </w:tcPr>
          <w:p>
            <w:pPr>
              <w:jc w:val="right"/>
              <w:ind w:right="940"/>
              <w:spacing w:after="0"/>
              <w:rPr>
                <w:sz w:val="20"/>
                <w:szCs w:val="20"/>
                <w:color w:val="auto"/>
              </w:rPr>
            </w:pPr>
            <w:r>
              <w:rPr>
                <w:rFonts w:ascii="Times New Roman" w:cs="Times New Roman" w:eastAsia="Times New Roman" w:hAnsi="Times New Roman"/>
                <w:sz w:val="12"/>
                <w:szCs w:val="12"/>
                <w:color w:val="auto"/>
              </w:rPr>
              <w:t>362,660</w:t>
            </w:r>
          </w:p>
        </w:tc>
        <w:tc>
          <w:tcPr>
            <w:tcW w:w="92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(1,612</w:t>
            </w:r>
          </w:p>
        </w:tc>
        <w:tc>
          <w:tcPr>
            <w:tcW w:w="4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3"/>
          </w:tcPr>
          <w:p>
            <w:pPr>
              <w:jc w:val="right"/>
              <w:ind w:right="940"/>
              <w:spacing w:after="0"/>
              <w:rPr>
                <w:sz w:val="20"/>
                <w:szCs w:val="20"/>
                <w:color w:val="auto"/>
              </w:rPr>
            </w:pPr>
            <w:r>
              <w:rPr>
                <w:rFonts w:ascii="Times New Roman" w:cs="Times New Roman" w:eastAsia="Times New Roman" w:hAnsi="Times New Roman"/>
                <w:sz w:val="12"/>
                <w:szCs w:val="12"/>
                <w:color w:val="auto"/>
              </w:rPr>
              <w:t>2</w:t>
            </w:r>
          </w:p>
        </w:tc>
        <w:tc>
          <w:tcPr>
            <w:tcW w:w="54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48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4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maturity</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securities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3,466,525</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7"/>
              </w:rPr>
              <w:t>(62,432</w:t>
            </w:r>
          </w:p>
        </w:tc>
        <w:tc>
          <w:tcPr>
            <w:tcW w:w="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11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600,089</w:t>
            </w:r>
          </w:p>
        </w:tc>
        <w:tc>
          <w:tcPr>
            <w:tcW w:w="17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(11,880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480" w:type="dxa"/>
            <w:vAlign w:val="bottom"/>
            <w:gridSpan w:val="3"/>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Equity</w:t>
            </w: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8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2"/>
                <w:szCs w:val="12"/>
                <w:color w:val="auto"/>
              </w:rPr>
              <w:t>Preferred</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4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stocks</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gridSpan w:val="2"/>
          </w:tcPr>
          <w:p>
            <w:pPr>
              <w:jc w:val="right"/>
              <w:ind w:right="940"/>
              <w:spacing w:after="0"/>
              <w:rPr>
                <w:sz w:val="20"/>
                <w:szCs w:val="20"/>
                <w:color w:val="auto"/>
              </w:rPr>
            </w:pPr>
            <w:r>
              <w:rPr>
                <w:rFonts w:ascii="Times New Roman" w:cs="Times New Roman" w:eastAsia="Times New Roman" w:hAnsi="Times New Roman"/>
                <w:sz w:val="12"/>
                <w:szCs w:val="12"/>
                <w:color w:val="auto"/>
              </w:rPr>
              <w:t>731,250</w:t>
            </w:r>
          </w:p>
        </w:tc>
        <w:tc>
          <w:tcPr>
            <w:tcW w:w="92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(72</w:t>
            </w:r>
          </w:p>
        </w:tc>
        <w:tc>
          <w:tcPr>
            <w:tcW w:w="4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3"/>
          </w:tcPr>
          <w:p>
            <w:pPr>
              <w:jc w:val="right"/>
              <w:ind w:right="940"/>
              <w:spacing w:after="0"/>
              <w:rPr>
                <w:sz w:val="20"/>
                <w:szCs w:val="20"/>
                <w:color w:val="auto"/>
              </w:rPr>
            </w:pPr>
            <w:r>
              <w:rPr>
                <w:rFonts w:ascii="Times New Roman" w:cs="Times New Roman" w:eastAsia="Times New Roman" w:hAnsi="Times New Roman"/>
                <w:sz w:val="12"/>
                <w:szCs w:val="12"/>
                <w:color w:val="auto"/>
              </w:rPr>
              <w:t>1</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940,600</w:t>
            </w:r>
          </w:p>
        </w:tc>
        <w:tc>
          <w:tcPr>
            <w:tcW w:w="1700" w:type="dxa"/>
            <w:vAlign w:val="bottom"/>
            <w:gridSpan w:val="2"/>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(16,931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80" w:type="dxa"/>
            <w:vAlign w:val="bottom"/>
            <w:gridSpan w:val="3"/>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Common</w:t>
            </w: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stocks</w:t>
            </w:r>
          </w:p>
        </w:tc>
        <w:tc>
          <w:tcPr>
            <w:tcW w:w="24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887,495</w:t>
            </w:r>
          </w:p>
        </w:tc>
        <w:tc>
          <w:tcPr>
            <w:tcW w:w="9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(7,342</w:t>
            </w:r>
          </w:p>
        </w:tc>
        <w:tc>
          <w:tcPr>
            <w:tcW w:w="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6</w:t>
            </w:r>
          </w:p>
        </w:tc>
        <w:tc>
          <w:tcPr>
            <w:tcW w:w="5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480" w:type="dxa"/>
            <w:vAlign w:val="bottom"/>
            <w:gridSpan w:val="3"/>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Total equity</w:t>
            </w: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1,618,745</w:t>
            </w: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(7,414</w:t>
            </w:r>
          </w:p>
        </w:tc>
        <w:tc>
          <w:tcPr>
            <w:tcW w:w="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940,600</w:t>
            </w:r>
          </w:p>
        </w:tc>
        <w:tc>
          <w:tcPr>
            <w:tcW w:w="17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(16,931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5,085,270</w:t>
            </w:r>
          </w:p>
        </w:tc>
        <w:tc>
          <w:tcPr>
            <w:tcW w:w="940" w:type="dxa"/>
            <w:vAlign w:val="bottom"/>
            <w:shd w:val="clear" w:color="auto" w:fill="CCEEFF"/>
          </w:tcPr>
          <w:p>
            <w:pPr>
              <w:spacing w:after="0"/>
              <w:rPr>
                <w:sz w:val="14"/>
                <w:szCs w:val="14"/>
                <w:color w:val="auto"/>
              </w:rPr>
            </w:pP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7"/>
              </w:rPr>
              <w:t>(69,846</w:t>
            </w:r>
          </w:p>
        </w:tc>
        <w:tc>
          <w:tcPr>
            <w:tcW w:w="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rPr>
              <w:t>18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1,540,689</w:t>
            </w:r>
          </w:p>
        </w:tc>
        <w:tc>
          <w:tcPr>
            <w:tcW w:w="17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(28,811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gridSpan w:val="2"/>
          </w:tcPr>
          <w:p>
            <w:pPr>
              <w:jc w:val="right"/>
              <w:ind w:right="954"/>
              <w:spacing w:after="0"/>
              <w:rPr>
                <w:sz w:val="20"/>
                <w:szCs w:val="20"/>
                <w:color w:val="auto"/>
              </w:rPr>
            </w:pPr>
            <w:r>
              <w:rPr>
                <w:rFonts w:ascii="Times New Roman" w:cs="Times New Roman" w:eastAsia="Times New Roman" w:hAnsi="Times New Roman"/>
                <w:sz w:val="12"/>
                <w:szCs w:val="12"/>
                <w:color w:val="auto"/>
              </w:rPr>
              <w:t>47</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7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40"/>
          </w:cols>
          <w:pgMar w:left="220" w:top="390" w:right="1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1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0"/>
                <w:szCs w:val="10"/>
                <w:b w:val="1"/>
                <w:bCs w:val="1"/>
                <w:color w:val="auto"/>
              </w:rPr>
              <w:t>December 31, 2014</w:t>
            </w: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Less than 12 months</w:t>
            </w:r>
          </w:p>
        </w:tc>
        <w:tc>
          <w:tcPr>
            <w:tcW w:w="9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w w:val="93"/>
              </w:rPr>
              <w:t>12 months or more</w:t>
            </w: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restart"/>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Fair</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92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No. of</w:t>
            </w: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7"/>
              </w:rPr>
              <w:t>Fair</w:t>
            </w:r>
          </w:p>
        </w:tc>
        <w:tc>
          <w:tcPr>
            <w:tcW w:w="60" w:type="dxa"/>
            <w:vAlign w:val="bottom"/>
          </w:tcPr>
          <w:p>
            <w:pPr>
              <w:spacing w:after="0"/>
              <w:rPr>
                <w:sz w:val="7"/>
                <w:szCs w:val="7"/>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Unrealized</w:t>
            </w:r>
          </w:p>
        </w:tc>
        <w:tc>
          <w:tcPr>
            <w:tcW w:w="92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No. of</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jc w:val="center"/>
              <w:ind w:right="84"/>
              <w:spacing w:after="0" w:line="81" w:lineRule="exact"/>
              <w:rPr>
                <w:sz w:val="20"/>
                <w:szCs w:val="20"/>
                <w:color w:val="auto"/>
              </w:rPr>
            </w:pPr>
            <w:r>
              <w:rPr>
                <w:rFonts w:ascii="Times New Roman" w:cs="Times New Roman" w:eastAsia="Times New Roman" w:hAnsi="Times New Roman"/>
                <w:sz w:val="8"/>
                <w:szCs w:val="8"/>
                <w:b w:val="1"/>
                <w:bCs w:val="1"/>
                <w:color w:val="auto"/>
              </w:rPr>
              <w:t>Aggregate</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3"/>
              </w:rPr>
              <w:t>Positions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Positions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84"/>
              <w:spacing w:after="0"/>
              <w:rPr>
                <w:sz w:val="20"/>
                <w:szCs w:val="20"/>
                <w:color w:val="auto"/>
              </w:rPr>
            </w:pPr>
            <w:r>
              <w:rPr>
                <w:rFonts w:ascii="Times New Roman" w:cs="Times New Roman" w:eastAsia="Times New Roman" w:hAnsi="Times New Roman"/>
                <w:sz w:val="10"/>
                <w:szCs w:val="10"/>
                <w:b w:val="1"/>
                <w:bCs w:val="1"/>
                <w:color w:val="auto"/>
                <w:w w:val="97"/>
              </w:rPr>
              <w:t>Fair</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Categor</w:t>
            </w:r>
            <w:r>
              <w:rPr>
                <w:rFonts w:ascii="Times New Roman" w:cs="Times New Roman" w:eastAsia="Times New Roman" w:hAnsi="Times New Roman"/>
                <w:sz w:val="10"/>
                <w:szCs w:val="10"/>
                <w:color w:val="auto"/>
              </w:rPr>
              <w:t>y</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Value</w:t>
            </w: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24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Held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20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Held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Fixed-Maturity Securities:</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Political subdivisions of</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States, Territories and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Possessions</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3,013,648</w:t>
            </w:r>
          </w:p>
        </w:tc>
        <w:tc>
          <w:tcPr>
            <w:tcW w:w="3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(23,813)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126,658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(6,379)</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3,140,306</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(30,192)</w:t>
            </w: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Corporate and other</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bonds industrial and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miscellaneous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6,325,579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(118,092)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714,640</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(30,228)</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7,040,219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(148,320)</w:t>
            </w: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fixed-maturity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securities</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9,339,227</w:t>
            </w:r>
          </w:p>
        </w:tc>
        <w:tc>
          <w:tcPr>
            <w:tcW w:w="380" w:type="dxa"/>
            <w:vAlign w:val="bottom"/>
            <w:gridSpan w:val="2"/>
          </w:tcPr>
          <w:p>
            <w:pPr>
              <w:jc w:val="right"/>
              <w:ind w:right="32"/>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(141,905)</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841,298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(36,607)</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10,180,525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(178,512)</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Preferred stocks</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656,325</w:t>
            </w:r>
          </w:p>
        </w:tc>
        <w:tc>
          <w:tcPr>
            <w:tcW w:w="3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(2,647)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1,448,376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(62,886)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2,104,701</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(65,533)</w:t>
            </w: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Common stocks</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267,000</w:t>
            </w:r>
          </w:p>
        </w:tc>
        <w:tc>
          <w:tcPr>
            <w:tcW w:w="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(2,177)</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(2,177)</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 equity securities</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656,325</w:t>
            </w:r>
          </w:p>
        </w:tc>
        <w:tc>
          <w:tcPr>
            <w:tcW w:w="380" w:type="dxa"/>
            <w:vAlign w:val="bottom"/>
            <w:gridSpan w:val="2"/>
          </w:tcPr>
          <w:p>
            <w:pPr>
              <w:jc w:val="right"/>
              <w:ind w:right="32"/>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(2,647)</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1,715,376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(65,063)</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2,371,701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(67,710)</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9,995,552</w:t>
            </w:r>
          </w:p>
        </w:tc>
        <w:tc>
          <w:tcPr>
            <w:tcW w:w="380" w:type="dxa"/>
            <w:vAlign w:val="bottom"/>
            <w:gridSpan w:val="2"/>
          </w:tcPr>
          <w:p>
            <w:pPr>
              <w:jc w:val="right"/>
              <w:ind w:right="32"/>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(144,552)</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2,556,674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(101,670)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12,552,226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(246,222)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w w:val="82"/>
              </w:rPr>
              <w:t>48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3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29" w:right="199" w:bottom="1440" w:gutter="0" w:footer="0" w:header="0"/>
        </w:sectPr>
      </w:pPr>
    </w:p>
    <w:bookmarkStart w:id="50" w:name="page51"/>
    <w:bookmarkEnd w:id="50"/>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There were 24 securities at March 31, 2015 that accounted for the gross unrealized loss, none of which were deemed by us to be other than temporarily impaired. There were 35 securities at December 31, 2014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Cash Flows</w:t>
      </w:r>
    </w:p>
    <w:p>
      <w:pPr>
        <w:spacing w:after="0" w:line="17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3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Through March 31, 2015, the primary sources of cash flow for our holding company operations were in connection with the fee income we received from premium finance. On March 27, 2015, we received $350,000 in connection with the early termination of the agreement that generated placement fees in our premium finance business (see Note 12 to the Condensed Consolidated Financial Statements). We also receive cash dividends from KICO, subject to statutory restrictions. For the three months ended March 31, 2015, KICO paid dividends of $400,000 to us.</w:t>
      </w:r>
    </w:p>
    <w:p>
      <w:pPr>
        <w:spacing w:after="0" w:line="137" w:lineRule="exact"/>
        <w:rPr>
          <w:sz w:val="20"/>
          <w:szCs w:val="20"/>
          <w:color w:val="auto"/>
        </w:rPr>
      </w:pPr>
    </w:p>
    <w:p>
      <w:pPr>
        <w:jc w:val="both"/>
        <w:ind w:right="20" w:firstLine="432"/>
        <w:spacing w:after="0" w:line="280" w:lineRule="auto"/>
        <w:rPr>
          <w:sz w:val="20"/>
          <w:szCs w:val="20"/>
          <w:color w:val="auto"/>
        </w:rPr>
      </w:pPr>
      <w:r>
        <w:rPr>
          <w:rFonts w:ascii="Times New Roman" w:cs="Times New Roman" w:eastAsia="Times New Roman" w:hAnsi="Times New Roman"/>
          <w:sz w:val="12"/>
          <w:szCs w:val="12"/>
          <w:color w:val="auto"/>
        </w:rPr>
        <w:t>We have an agreement with a bank for a $600,000 line of credit to be used for general corporate needs. The principal balance is payable on demand, and must be reduced to zero for a minimum of 30 consecutive days during each year of the term of the credit line. There were no borrowings on the credit line during the three months ended March 31, 2015, and the outstanding principal balance was $-0- as of March 31, 2015.</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the aforementioned is insufficient to cover our holding company cash requirements, we will seek to obtain additional financing.</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51" w:name="page52"/>
    <w:bookmarkEnd w:id="51"/>
    <w:p>
      <w:pPr>
        <w:ind w:left="420"/>
        <w:spacing w:after="0"/>
        <w:rPr>
          <w:sz w:val="20"/>
          <w:szCs w:val="20"/>
          <w:color w:val="auto"/>
        </w:rPr>
      </w:pPr>
      <w:r>
        <w:rPr>
          <w:rFonts w:ascii="Times New Roman" w:cs="Times New Roman" w:eastAsia="Times New Roman" w:hAnsi="Times New Roman"/>
          <w:sz w:val="12"/>
          <w:szCs w:val="12"/>
          <w:color w:val="auto"/>
        </w:rPr>
        <w:t>Cash flow and liquidity are categorized into three sources: (1) operating activities; (2) investing activities; and (3) financing activities, which are shown in the following table:</w:t>
      </w:r>
    </w:p>
    <w:p>
      <w:pPr>
        <w:spacing w:after="0" w:line="147"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Three Months Ended</w:t>
            </w: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vMerge w:val="restart"/>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2015</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vMerge w:val="restart"/>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2014</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March 31,</w:t>
            </w:r>
          </w:p>
        </w:tc>
        <w:tc>
          <w:tcPr>
            <w:tcW w:w="46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flows</w:t>
            </w: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provided by (used</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w:t>
            </w: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Operating</w:t>
            </w:r>
          </w:p>
        </w:tc>
        <w:tc>
          <w:tcPr>
            <w:tcW w:w="4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activities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834,077</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404,628</w:t>
            </w: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Investing</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activities</w:t>
            </w: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(3,940,506</w:t>
            </w:r>
          </w:p>
        </w:tc>
        <w:tc>
          <w:tcPr>
            <w:tcW w:w="220" w:type="dxa"/>
            <w:vAlign w:val="bottom"/>
          </w:tcPr>
          <w:p>
            <w:pPr>
              <w:spacing w:after="0"/>
              <w:rPr>
                <w:sz w:val="13"/>
                <w:szCs w:val="13"/>
                <w:color w:val="auto"/>
              </w:rPr>
            </w:pPr>
          </w:p>
        </w:tc>
        <w:tc>
          <w:tcPr>
            <w:tcW w:w="7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(11,473,404</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Financing</w:t>
            </w:r>
          </w:p>
        </w:tc>
        <w:tc>
          <w:tcPr>
            <w:tcW w:w="4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activities</w:t>
            </w: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(516,794</w:t>
            </w:r>
          </w:p>
        </w:tc>
        <w:tc>
          <w:tcPr>
            <w:tcW w:w="72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(290,664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Borders>
              <w:top w:val="single" w:sz="8" w:color="CCEEFF"/>
            </w:tcBorders>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Net decrease in</w:t>
            </w:r>
          </w:p>
        </w:tc>
        <w:tc>
          <w:tcPr>
            <w:tcW w:w="46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cash and cash</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equivalents</w:t>
            </w: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(3,623,223</w:t>
            </w:r>
          </w:p>
        </w:tc>
        <w:tc>
          <w:tcPr>
            <w:tcW w:w="220" w:type="dxa"/>
            <w:vAlign w:val="bottom"/>
          </w:tcPr>
          <w:p>
            <w:pPr>
              <w:spacing w:after="0"/>
              <w:rPr>
                <w:sz w:val="13"/>
                <w:szCs w:val="13"/>
                <w:color w:val="auto"/>
              </w:rPr>
            </w:pPr>
          </w:p>
        </w:tc>
        <w:tc>
          <w:tcPr>
            <w:tcW w:w="7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(11,359,440</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and cash</w:t>
            </w:r>
          </w:p>
        </w:tc>
        <w:tc>
          <w:tcPr>
            <w:tcW w:w="4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equivalents,</w:t>
            </w: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beginning of</w:t>
            </w: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period</w:t>
            </w: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9,906,878</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19,922,506</w:t>
            </w: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Borders>
              <w:top w:val="single" w:sz="8" w:color="CCEEFF"/>
            </w:tcBorders>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Cash and cash</w:t>
            </w:r>
          </w:p>
        </w:tc>
        <w:tc>
          <w:tcPr>
            <w:tcW w:w="46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equivalents, end</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of period</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6,283,655</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8,563,066</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Net cash provided by operating activities was $834,000 in 2015 as compared to $405,000 provided in 2014. The $429,000 increase in cash flows provided by operating activities in 2015 was primarily a result of an increase in net income (adjusted for non-cash items) of $433,000 and the net fluctuations in assets and liabilities relating to operating activities of KICO as affected by the growth in its operations which are described above.</w:t>
      </w:r>
    </w:p>
    <w:p>
      <w:pPr>
        <w:spacing w:after="0" w:line="128" w:lineRule="exact"/>
        <w:rPr>
          <w:sz w:val="20"/>
          <w:szCs w:val="20"/>
          <w:color w:val="auto"/>
        </w:rPr>
      </w:pPr>
    </w:p>
    <w:p>
      <w:pPr>
        <w:jc w:val="both"/>
        <w:ind w:right="20" w:firstLine="432"/>
        <w:spacing w:after="0" w:line="280" w:lineRule="auto"/>
        <w:rPr>
          <w:sz w:val="20"/>
          <w:szCs w:val="20"/>
          <w:color w:val="auto"/>
        </w:rPr>
      </w:pPr>
      <w:r>
        <w:rPr>
          <w:rFonts w:ascii="Times New Roman" w:cs="Times New Roman" w:eastAsia="Times New Roman" w:hAnsi="Times New Roman"/>
          <w:sz w:val="12"/>
          <w:szCs w:val="12"/>
          <w:color w:val="auto"/>
        </w:rPr>
        <w:t>Net cash used in investing activities was $3,941,000 in 2015 compared to $11,473,000 used in 2014. The $7,532,000 decrease in cash used in investing activities is the result of a $10,131,000 decrease in acquisitions of invested assets, offset by a $2,747,000 increase in sales of invested assets.</w:t>
      </w:r>
    </w:p>
    <w:p>
      <w:pPr>
        <w:spacing w:after="0" w:line="128"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Net cash used in financing activities was $517,000 in 2015 compared to $291,000 used in 2014. The $226,000 increase in cash flows used in financing activities is a result of the $129,000 purchase of treasury stock in 2015, compared to no purchases in 2014 and a $75,000 increase in dividends paid due to additional shares outstanding in 2015 and an increase in the dividend 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Reinsurance</w:t>
      </w:r>
    </w:p>
    <w:p>
      <w:pPr>
        <w:spacing w:after="0" w:line="172"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1"/>
          <w:szCs w:val="11"/>
          <w:color w:val="auto"/>
        </w:rPr>
        <w:t>Our quota share reinsurance treaty in effect for the three months ended March 31, 2015 for our personal lines business, which primarily consists of homeowners’ policies, was covered under the July 1, 2014/June 30, 2015 treaty year. We did not renew our expiring commercial lines quota share reinsurance treaty on July 1, 2014. Our quota share reinsurance treaties in effect for the three months ended March 31, 2014 for both our personal lines business and commercial lines business were covered under the July 1, 2013/June 30, 2014 treaty year. Our personal lines quota share treaty that covered the July 1, 2013/June 30, 2014 treaty year is a two year treaty expiring on June 30, 2015. Effective as of July 1, 2014, we had the option to increase the quota share percentage from 75% to a maximum of 85% or decrease the quota share percentage from 75% to a minimum of 55% by giving no less than 30 days advance notice. On May 12, 2014, we notified the personal lines reinsurers of our election to reduce the ceding percentage in the personal lines quota share treaty from 75% to 55% effective July 1, 2014. In addition to the change in the personal lines quota share treaty discussed above, we entered into new annual treaties with different terms effective July 1, 2014. Our treaties for the July 1, 2013/ June 30, 2014 and July 1, 2014/June 30, 2015 treaty years provide for the following material terms: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41275</wp:posOffset>
            </wp:positionV>
            <wp:extent cx="729932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16"/>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45"/>
              <w:spacing w:after="0"/>
              <w:rPr>
                <w:sz w:val="20"/>
                <w:szCs w:val="20"/>
                <w:color w:val="auto"/>
              </w:rPr>
            </w:pPr>
            <w:r>
              <w:rPr>
                <w:rFonts w:ascii="Times New Roman" w:cs="Times New Roman" w:eastAsia="Times New Roman" w:hAnsi="Times New Roman"/>
                <w:sz w:val="10"/>
                <w:szCs w:val="10"/>
                <w:b w:val="1"/>
                <w:bCs w:val="1"/>
                <w:color w:val="auto"/>
              </w:rPr>
              <w:t>Treaty Year</w:t>
            </w: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1"/>
        </w:trPr>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tcPr>
          <w:p>
            <w:pPr>
              <w:jc w:val="center"/>
              <w:ind w:right="420"/>
              <w:spacing w:after="0" w:line="81" w:lineRule="exact"/>
              <w:rPr>
                <w:sz w:val="20"/>
                <w:szCs w:val="20"/>
                <w:color w:val="auto"/>
              </w:rPr>
            </w:pPr>
            <w:r>
              <w:rPr>
                <w:rFonts w:ascii="Times New Roman" w:cs="Times New Roman" w:eastAsia="Times New Roman" w:hAnsi="Times New Roman"/>
                <w:sz w:val="8"/>
                <w:szCs w:val="8"/>
                <w:b w:val="1"/>
                <w:bCs w:val="1"/>
                <w:color w:val="auto"/>
              </w:rPr>
              <w:t>July 1, 2014</w:t>
            </w:r>
          </w:p>
        </w:tc>
        <w:tc>
          <w:tcPr>
            <w:tcW w:w="200" w:type="dxa"/>
            <w:vAlign w:val="bottom"/>
          </w:tcPr>
          <w:p>
            <w:pPr>
              <w:spacing w:after="0"/>
              <w:rPr>
                <w:sz w:val="7"/>
                <w:szCs w:val="7"/>
                <w:color w:val="auto"/>
              </w:rPr>
            </w:pPr>
          </w:p>
        </w:tc>
        <w:tc>
          <w:tcPr>
            <w:tcW w:w="920" w:type="dxa"/>
            <w:vAlign w:val="bottom"/>
          </w:tcPr>
          <w:p>
            <w:pPr>
              <w:jc w:val="center"/>
              <w:ind w:right="141"/>
              <w:spacing w:after="0" w:line="81" w:lineRule="exact"/>
              <w:rPr>
                <w:sz w:val="20"/>
                <w:szCs w:val="20"/>
                <w:color w:val="auto"/>
              </w:rPr>
            </w:pPr>
            <w:r>
              <w:rPr>
                <w:rFonts w:ascii="Times New Roman" w:cs="Times New Roman" w:eastAsia="Times New Roman" w:hAnsi="Times New Roman"/>
                <w:sz w:val="8"/>
                <w:szCs w:val="8"/>
                <w:b w:val="1"/>
                <w:bCs w:val="1"/>
                <w:color w:val="auto"/>
              </w:rPr>
              <w:t>July 1, 2013</w:t>
            </w:r>
          </w:p>
        </w:tc>
        <w:tc>
          <w:tcPr>
            <w:tcW w:w="120" w:type="dxa"/>
            <w:vAlign w:val="bottom"/>
          </w:tcPr>
          <w:p>
            <w:pPr>
              <w:spacing w:after="0"/>
              <w:rPr>
                <w:sz w:val="7"/>
                <w:szCs w:val="7"/>
                <w:color w:val="auto"/>
              </w:rPr>
            </w:pPr>
          </w:p>
        </w:tc>
      </w:tr>
      <w:tr>
        <w:trPr>
          <w:trHeight w:val="126"/>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to</w:t>
            </w:r>
          </w:p>
        </w:tc>
        <w:tc>
          <w:tcPr>
            <w:tcW w:w="200" w:type="dxa"/>
            <w:vAlign w:val="bottom"/>
          </w:tcPr>
          <w:p>
            <w:pPr>
              <w:spacing w:after="0"/>
              <w:rPr>
                <w:sz w:val="10"/>
                <w:szCs w:val="1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to</w:t>
            </w:r>
          </w:p>
        </w:tc>
      </w:tr>
      <w:tr>
        <w:trPr>
          <w:trHeight w:val="134"/>
        </w:trPr>
        <w:tc>
          <w:tcPr>
            <w:tcW w:w="87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0"/>
                <w:szCs w:val="10"/>
                <w:b w:val="1"/>
                <w:bCs w:val="1"/>
                <w:color w:val="auto"/>
              </w:rPr>
              <w:t>Line of Busines</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0"/>
                <w:szCs w:val="10"/>
                <w:b w:val="1"/>
                <w:bCs w:val="1"/>
                <w:color w:val="auto"/>
                <w:w w:val="96"/>
              </w:rPr>
              <w:t>June 30, 2015</w:t>
            </w: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0"/>
                <w:szCs w:val="10"/>
                <w:b w:val="1"/>
                <w:bCs w:val="1"/>
                <w:color w:val="auto"/>
                <w:w w:val="96"/>
              </w:rPr>
              <w:t>June 30, 2014</w:t>
            </w:r>
          </w:p>
        </w:tc>
        <w:tc>
          <w:tcPr>
            <w:tcW w:w="120" w:type="dxa"/>
            <w:vAlign w:val="bottom"/>
          </w:tcPr>
          <w:p>
            <w:pPr>
              <w:spacing w:after="0"/>
              <w:rPr>
                <w:sz w:val="11"/>
                <w:szCs w:val="11"/>
                <w:color w:val="auto"/>
              </w:rPr>
            </w:pPr>
          </w:p>
        </w:tc>
      </w:tr>
      <w:tr>
        <w:trPr>
          <w:trHeight w:val="277"/>
        </w:trPr>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w w:val="96"/>
              </w:rPr>
              <w:t>Personal Lines:</w:t>
            </w:r>
          </w:p>
        </w:tc>
        <w:tc>
          <w:tcPr>
            <w:tcW w:w="810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0"/>
        </w:trPr>
        <w:tc>
          <w:tcPr>
            <w:tcW w:w="100" w:type="dxa"/>
            <w:vAlign w:val="bottom"/>
          </w:tcPr>
          <w:p>
            <w:pPr>
              <w:spacing w:after="0"/>
              <w:rPr>
                <w:sz w:val="12"/>
                <w:szCs w:val="12"/>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Homeowners, dwelling fire and canine legal liability</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8740" w:type="dxa"/>
            <w:vAlign w:val="bottom"/>
            <w:gridSpan w:val="6"/>
          </w:tcPr>
          <w:p>
            <w:pPr>
              <w:ind w:left="40"/>
              <w:spacing w:after="0"/>
              <w:rPr>
                <w:sz w:val="20"/>
                <w:szCs w:val="20"/>
                <w:color w:val="auto"/>
              </w:rPr>
            </w:pPr>
            <w:r>
              <w:rPr>
                <w:rFonts w:ascii="Times New Roman" w:cs="Times New Roman" w:eastAsia="Times New Roman" w:hAnsi="Times New Roman"/>
                <w:sz w:val="12"/>
                <w:szCs w:val="12"/>
                <w:color w:val="auto"/>
              </w:rPr>
              <w:t>Quota share treaty:</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100" w:type="dxa"/>
            <w:vAlign w:val="bottom"/>
          </w:tcPr>
          <w:p>
            <w:pPr>
              <w:spacing w:after="0"/>
              <w:rPr>
                <w:sz w:val="13"/>
                <w:szCs w:val="13"/>
                <w:color w:val="auto"/>
              </w:rPr>
            </w:pPr>
          </w:p>
        </w:tc>
        <w:tc>
          <w:tcPr>
            <w:tcW w:w="8740" w:type="dxa"/>
            <w:vAlign w:val="bottom"/>
            <w:gridSpan w:val="6"/>
          </w:tcPr>
          <w:p>
            <w:pPr>
              <w:ind w:left="140"/>
              <w:spacing w:after="0"/>
              <w:rPr>
                <w:sz w:val="20"/>
                <w:szCs w:val="20"/>
                <w:color w:val="auto"/>
              </w:rPr>
            </w:pPr>
            <w:r>
              <w:rPr>
                <w:rFonts w:ascii="Times New Roman" w:cs="Times New Roman" w:eastAsia="Times New Roman" w:hAnsi="Times New Roman"/>
                <w:sz w:val="12"/>
                <w:szCs w:val="12"/>
                <w:color w:val="auto"/>
              </w:rPr>
              <w:t>Percent ceded</w:t>
            </w: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55%</w:t>
            </w:r>
          </w:p>
        </w:tc>
        <w:tc>
          <w:tcPr>
            <w:tcW w:w="20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75%</w:t>
            </w:r>
          </w:p>
        </w:tc>
      </w:tr>
      <w:tr>
        <w:trPr>
          <w:trHeight w:val="144"/>
        </w:trPr>
        <w:tc>
          <w:tcPr>
            <w:tcW w:w="10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Risk retained</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300,000</w:t>
            </w:r>
          </w:p>
        </w:tc>
      </w:tr>
      <w:tr>
        <w:trPr>
          <w:trHeight w:val="144"/>
        </w:trPr>
        <w:tc>
          <w:tcPr>
            <w:tcW w:w="100" w:type="dxa"/>
            <w:vAlign w:val="bottom"/>
          </w:tcPr>
          <w:p>
            <w:pPr>
              <w:spacing w:after="0"/>
              <w:rPr>
                <w:sz w:val="12"/>
                <w:szCs w:val="12"/>
                <w:color w:val="auto"/>
              </w:rPr>
            </w:pPr>
          </w:p>
        </w:tc>
        <w:tc>
          <w:tcPr>
            <w:tcW w:w="8740" w:type="dxa"/>
            <w:vAlign w:val="bottom"/>
            <w:gridSpan w:val="6"/>
          </w:tcPr>
          <w:p>
            <w:pPr>
              <w:ind w:left="140"/>
              <w:spacing w:after="0"/>
              <w:rPr>
                <w:sz w:val="20"/>
                <w:szCs w:val="20"/>
                <w:color w:val="auto"/>
              </w:rPr>
            </w:pPr>
            <w:r>
              <w:rPr>
                <w:rFonts w:ascii="Times New Roman" w:cs="Times New Roman" w:eastAsia="Times New Roman" w:hAnsi="Times New Roman"/>
                <w:sz w:val="12"/>
                <w:szCs w:val="12"/>
                <w:color w:val="auto"/>
              </w:rPr>
              <w:t>Losses per occurrence subject to quota share reinsurance coverage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800,000</w:t>
            </w:r>
          </w:p>
        </w:tc>
        <w:tc>
          <w:tcPr>
            <w:tcW w:w="2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1,200,000</w:t>
            </w:r>
          </w:p>
        </w:tc>
        <w:tc>
          <w:tcPr>
            <w:tcW w:w="120" w:type="dxa"/>
            <w:vAlign w:val="bottom"/>
          </w:tcPr>
          <w:p>
            <w:pPr>
              <w:spacing w:after="0"/>
              <w:rPr>
                <w:sz w:val="12"/>
                <w:szCs w:val="12"/>
                <w:color w:val="auto"/>
              </w:rPr>
            </w:pPr>
          </w:p>
        </w:tc>
      </w:tr>
      <w:tr>
        <w:trPr>
          <w:trHeight w:val="144"/>
        </w:trPr>
        <w:tc>
          <w:tcPr>
            <w:tcW w:w="10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Excess of loss coverage above quota share coverage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1,700,000</w:t>
            </w:r>
          </w:p>
        </w:tc>
        <w:tc>
          <w:tcPr>
            <w:tcW w:w="120" w:type="dxa"/>
            <w:vAlign w:val="bottom"/>
            <w:shd w:val="clear" w:color="auto" w:fill="CCEEFF"/>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in excess of</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in excess of</w:t>
            </w:r>
          </w:p>
        </w:tc>
      </w:tr>
      <w:tr>
        <w:trPr>
          <w:trHeight w:val="144"/>
        </w:trPr>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1,200,000</w:t>
            </w:r>
          </w:p>
        </w:tc>
        <w:tc>
          <w:tcPr>
            <w:tcW w:w="120" w:type="dxa"/>
            <w:vAlign w:val="bottom"/>
            <w:shd w:val="clear" w:color="auto" w:fill="CCEEFF"/>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8740" w:type="dxa"/>
            <w:vAlign w:val="bottom"/>
            <w:gridSpan w:val="6"/>
          </w:tcPr>
          <w:p>
            <w:pPr>
              <w:ind w:left="20"/>
              <w:spacing w:after="0"/>
              <w:rPr>
                <w:sz w:val="20"/>
                <w:szCs w:val="20"/>
                <w:color w:val="auto"/>
              </w:rPr>
            </w:pPr>
            <w:r>
              <w:rPr>
                <w:rFonts w:ascii="Times New Roman" w:cs="Times New Roman" w:eastAsia="Times New Roman" w:hAnsi="Times New Roman"/>
                <w:sz w:val="12"/>
                <w:szCs w:val="12"/>
                <w:color w:val="auto"/>
              </w:rPr>
              <w:t>Total reinsurance coverage per occurrence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3,640,000</w:t>
            </w:r>
          </w:p>
        </w:tc>
        <w:tc>
          <w:tcPr>
            <w:tcW w:w="2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2,600,000</w:t>
            </w:r>
          </w:p>
        </w:tc>
        <w:tc>
          <w:tcPr>
            <w:tcW w:w="120" w:type="dxa"/>
            <w:vAlign w:val="bottom"/>
          </w:tcPr>
          <w:p>
            <w:pPr>
              <w:spacing w:after="0"/>
              <w:rPr>
                <w:sz w:val="12"/>
                <w:szCs w:val="12"/>
                <w:color w:val="auto"/>
              </w:rPr>
            </w:pPr>
          </w:p>
        </w:tc>
      </w:tr>
      <w:tr>
        <w:trPr>
          <w:trHeight w:val="144"/>
        </w:trPr>
        <w:tc>
          <w:tcPr>
            <w:tcW w:w="10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Losses per occurrence subject to reinsurance coverage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2,900,000</w:t>
            </w:r>
          </w:p>
        </w:tc>
        <w:tc>
          <w:tcPr>
            <w:tcW w:w="120" w:type="dxa"/>
            <w:vAlign w:val="bottom"/>
            <w:shd w:val="clear" w:color="auto" w:fill="CCEEFF"/>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8740" w:type="dxa"/>
            <w:vAlign w:val="bottom"/>
            <w:gridSpan w:val="6"/>
          </w:tcPr>
          <w:p>
            <w:pPr>
              <w:ind w:left="40"/>
              <w:spacing w:after="0"/>
              <w:rPr>
                <w:sz w:val="20"/>
                <w:szCs w:val="20"/>
                <w:color w:val="auto"/>
              </w:rPr>
            </w:pPr>
            <w:r>
              <w:rPr>
                <w:rFonts w:ascii="Times New Roman" w:cs="Times New Roman" w:eastAsia="Times New Roman" w:hAnsi="Times New Roman"/>
                <w:sz w:val="12"/>
                <w:szCs w:val="12"/>
                <w:color w:val="auto"/>
              </w:rPr>
              <w:t>Expiration date</w:t>
            </w:r>
          </w:p>
        </w:tc>
        <w:tc>
          <w:tcPr>
            <w:tcW w:w="1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June 30, 2015</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June 30, 2015</w:t>
            </w:r>
          </w:p>
        </w:tc>
      </w:tr>
      <w:tr>
        <w:trPr>
          <w:trHeight w:val="144"/>
        </w:trPr>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gridSpan w:val="7"/>
          </w:tcPr>
          <w:p>
            <w:pPr>
              <w:ind w:left="20"/>
              <w:spacing w:after="0"/>
              <w:rPr>
                <w:sz w:val="20"/>
                <w:szCs w:val="20"/>
                <w:color w:val="auto"/>
              </w:rPr>
            </w:pPr>
            <w:r>
              <w:rPr>
                <w:rFonts w:ascii="Times New Roman" w:cs="Times New Roman" w:eastAsia="Times New Roman" w:hAnsi="Times New Roman"/>
                <w:sz w:val="12"/>
                <w:szCs w:val="12"/>
                <w:color w:val="auto"/>
              </w:rPr>
              <w:t>Personal Umbrella</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Quota share treaty:</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8740" w:type="dxa"/>
            <w:vAlign w:val="bottom"/>
            <w:gridSpan w:val="6"/>
          </w:tcPr>
          <w:p>
            <w:pPr>
              <w:ind w:left="140"/>
              <w:spacing w:after="0"/>
              <w:rPr>
                <w:sz w:val="20"/>
                <w:szCs w:val="20"/>
                <w:color w:val="auto"/>
              </w:rPr>
            </w:pPr>
            <w:r>
              <w:rPr>
                <w:rFonts w:ascii="Times New Roman" w:cs="Times New Roman" w:eastAsia="Times New Roman" w:hAnsi="Times New Roman"/>
                <w:sz w:val="12"/>
                <w:szCs w:val="12"/>
                <w:color w:val="auto"/>
              </w:rPr>
              <w:t>Percent ceded - first million dollars of coverage</w:t>
            </w:r>
          </w:p>
        </w:tc>
        <w:tc>
          <w:tcPr>
            <w:tcW w:w="18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90%</w:t>
            </w:r>
          </w:p>
        </w:tc>
        <w:tc>
          <w:tcPr>
            <w:tcW w:w="20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90%</w:t>
            </w:r>
          </w:p>
        </w:tc>
      </w:tr>
      <w:tr>
        <w:trPr>
          <w:trHeight w:val="144"/>
        </w:trPr>
        <w:tc>
          <w:tcPr>
            <w:tcW w:w="10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Percent ceded - excess of one million dollars of coverage</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w:t>
            </w:r>
          </w:p>
        </w:tc>
      </w:tr>
      <w:tr>
        <w:trPr>
          <w:trHeight w:val="144"/>
        </w:trPr>
        <w:tc>
          <w:tcPr>
            <w:tcW w:w="100" w:type="dxa"/>
            <w:vAlign w:val="bottom"/>
          </w:tcPr>
          <w:p>
            <w:pPr>
              <w:spacing w:after="0"/>
              <w:rPr>
                <w:sz w:val="12"/>
                <w:szCs w:val="12"/>
                <w:color w:val="auto"/>
              </w:rPr>
            </w:pPr>
          </w:p>
        </w:tc>
        <w:tc>
          <w:tcPr>
            <w:tcW w:w="8740" w:type="dxa"/>
            <w:vAlign w:val="bottom"/>
            <w:gridSpan w:val="6"/>
          </w:tcPr>
          <w:p>
            <w:pPr>
              <w:ind w:left="140"/>
              <w:spacing w:after="0"/>
              <w:rPr>
                <w:sz w:val="20"/>
                <w:szCs w:val="20"/>
                <w:color w:val="auto"/>
              </w:rPr>
            </w:pPr>
            <w:r>
              <w:rPr>
                <w:rFonts w:ascii="Times New Roman" w:cs="Times New Roman" w:eastAsia="Times New Roman" w:hAnsi="Times New Roman"/>
                <w:sz w:val="12"/>
                <w:szCs w:val="12"/>
                <w:color w:val="auto"/>
              </w:rPr>
              <w:t>Total reinsurance coverage per occurrence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2,900,000</w:t>
            </w:r>
          </w:p>
        </w:tc>
        <w:tc>
          <w:tcPr>
            <w:tcW w:w="2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1,900,000</w:t>
            </w:r>
          </w:p>
        </w:tc>
        <w:tc>
          <w:tcPr>
            <w:tcW w:w="120" w:type="dxa"/>
            <w:vAlign w:val="bottom"/>
          </w:tcPr>
          <w:p>
            <w:pPr>
              <w:spacing w:after="0"/>
              <w:rPr>
                <w:sz w:val="12"/>
                <w:szCs w:val="12"/>
                <w:color w:val="auto"/>
              </w:rPr>
            </w:pPr>
          </w:p>
        </w:tc>
      </w:tr>
      <w:tr>
        <w:trPr>
          <w:trHeight w:val="144"/>
        </w:trPr>
        <w:tc>
          <w:tcPr>
            <w:tcW w:w="10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Losses per occurrence subject to quota share reinsurance coverage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2,000,000</w:t>
            </w:r>
          </w:p>
        </w:tc>
        <w:tc>
          <w:tcPr>
            <w:tcW w:w="120" w:type="dxa"/>
            <w:vAlign w:val="bottom"/>
            <w:shd w:val="clear" w:color="auto" w:fill="CCEEFF"/>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8740" w:type="dxa"/>
            <w:vAlign w:val="bottom"/>
            <w:gridSpan w:val="6"/>
          </w:tcPr>
          <w:p>
            <w:pPr>
              <w:ind w:left="40"/>
              <w:spacing w:after="0"/>
              <w:rPr>
                <w:sz w:val="20"/>
                <w:szCs w:val="20"/>
                <w:color w:val="auto"/>
              </w:rPr>
            </w:pPr>
            <w:r>
              <w:rPr>
                <w:rFonts w:ascii="Times New Roman" w:cs="Times New Roman" w:eastAsia="Times New Roman" w:hAnsi="Times New Roman"/>
                <w:sz w:val="12"/>
                <w:szCs w:val="12"/>
                <w:color w:val="auto"/>
              </w:rPr>
              <w:t>Expiration date</w:t>
            </w:r>
          </w:p>
        </w:tc>
        <w:tc>
          <w:tcPr>
            <w:tcW w:w="1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June 30, 2015</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June 30, 2014</w:t>
            </w:r>
          </w:p>
        </w:tc>
      </w:tr>
      <w:tr>
        <w:trPr>
          <w:trHeight w:val="144"/>
        </w:trPr>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35"/>
        </w:trPr>
        <w:tc>
          <w:tcPr>
            <w:tcW w:w="100" w:type="dxa"/>
            <w:vAlign w:val="bottom"/>
          </w:tcPr>
          <w:p>
            <w:pPr>
              <w:spacing w:after="0"/>
              <w:rPr>
                <w:sz w:val="11"/>
                <w:szCs w:val="11"/>
                <w:color w:val="auto"/>
              </w:rPr>
            </w:pPr>
          </w:p>
        </w:tc>
        <w:tc>
          <w:tcPr>
            <w:tcW w:w="8740" w:type="dxa"/>
            <w:vAlign w:val="bottom"/>
            <w:gridSpan w:val="6"/>
          </w:tcPr>
          <w:p>
            <w:pPr>
              <w:spacing w:after="0" w:line="135" w:lineRule="exact"/>
              <w:rPr>
                <w:sz w:val="20"/>
                <w:szCs w:val="20"/>
                <w:color w:val="auto"/>
              </w:rPr>
            </w:pPr>
            <w:r>
              <w:rPr>
                <w:rFonts w:ascii="Times New Roman" w:cs="Times New Roman" w:eastAsia="Times New Roman" w:hAnsi="Times New Roman"/>
                <w:sz w:val="12"/>
                <w:szCs w:val="12"/>
                <w:color w:val="auto"/>
              </w:rPr>
              <w:t>Commercial Lines:</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7"/>
        </w:trPr>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44"/>
        </w:trPr>
        <w:tc>
          <w:tcPr>
            <w:tcW w:w="10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General liability commercial policies, except for commercial auto</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8740" w:type="dxa"/>
            <w:vAlign w:val="bottom"/>
            <w:gridSpan w:val="6"/>
          </w:tcPr>
          <w:p>
            <w:pPr>
              <w:ind w:left="40"/>
              <w:spacing w:after="0"/>
              <w:rPr>
                <w:sz w:val="20"/>
                <w:szCs w:val="20"/>
                <w:color w:val="auto"/>
              </w:rPr>
            </w:pPr>
            <w:r>
              <w:rPr>
                <w:rFonts w:ascii="Times New Roman" w:cs="Times New Roman" w:eastAsia="Times New Roman" w:hAnsi="Times New Roman"/>
                <w:sz w:val="12"/>
                <w:szCs w:val="12"/>
                <w:color w:val="auto"/>
              </w:rPr>
              <w:t>Quota share treaty:</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10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Percent ceded (terminated effective July 1, 2014)</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None</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w:t>
            </w:r>
          </w:p>
        </w:tc>
      </w:tr>
      <w:tr>
        <w:trPr>
          <w:trHeight w:val="144"/>
        </w:trPr>
        <w:tc>
          <w:tcPr>
            <w:tcW w:w="100" w:type="dxa"/>
            <w:vAlign w:val="bottom"/>
          </w:tcPr>
          <w:p>
            <w:pPr>
              <w:spacing w:after="0"/>
              <w:rPr>
                <w:sz w:val="12"/>
                <w:szCs w:val="12"/>
                <w:color w:val="auto"/>
              </w:rPr>
            </w:pPr>
          </w:p>
        </w:tc>
        <w:tc>
          <w:tcPr>
            <w:tcW w:w="8740" w:type="dxa"/>
            <w:vAlign w:val="bottom"/>
            <w:gridSpan w:val="6"/>
          </w:tcPr>
          <w:p>
            <w:pPr>
              <w:ind w:left="140"/>
              <w:spacing w:after="0"/>
              <w:rPr>
                <w:sz w:val="20"/>
                <w:szCs w:val="20"/>
                <w:color w:val="auto"/>
              </w:rPr>
            </w:pPr>
            <w:r>
              <w:rPr>
                <w:rFonts w:ascii="Times New Roman" w:cs="Times New Roman" w:eastAsia="Times New Roman" w:hAnsi="Times New Roman"/>
                <w:sz w:val="12"/>
                <w:szCs w:val="12"/>
                <w:color w:val="auto"/>
              </w:rPr>
              <w:t>Risk retained</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2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300,000</w:t>
            </w:r>
          </w:p>
        </w:tc>
      </w:tr>
      <w:tr>
        <w:trPr>
          <w:trHeight w:val="144"/>
        </w:trPr>
        <w:tc>
          <w:tcPr>
            <w:tcW w:w="10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Losses per occurrence subject to quota share reinsurance coverage</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None</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400,000</w:t>
            </w:r>
          </w:p>
        </w:tc>
      </w:tr>
      <w:tr>
        <w:trPr>
          <w:trHeight w:val="144"/>
        </w:trPr>
        <w:tc>
          <w:tcPr>
            <w:tcW w:w="100" w:type="dxa"/>
            <w:vAlign w:val="bottom"/>
          </w:tcPr>
          <w:p>
            <w:pPr>
              <w:spacing w:after="0"/>
              <w:rPr>
                <w:sz w:val="12"/>
                <w:szCs w:val="12"/>
                <w:color w:val="auto"/>
              </w:rPr>
            </w:pPr>
          </w:p>
        </w:tc>
        <w:tc>
          <w:tcPr>
            <w:tcW w:w="8740" w:type="dxa"/>
            <w:vAlign w:val="bottom"/>
            <w:gridSpan w:val="6"/>
          </w:tcPr>
          <w:p>
            <w:pPr>
              <w:ind w:left="40"/>
              <w:spacing w:after="0"/>
              <w:rPr>
                <w:sz w:val="20"/>
                <w:szCs w:val="20"/>
                <w:color w:val="auto"/>
              </w:rPr>
            </w:pPr>
            <w:r>
              <w:rPr>
                <w:rFonts w:ascii="Times New Roman" w:cs="Times New Roman" w:eastAsia="Times New Roman" w:hAnsi="Times New Roman"/>
                <w:sz w:val="12"/>
                <w:szCs w:val="12"/>
                <w:color w:val="auto"/>
              </w:rPr>
              <w:t>Excess of loss coverage above quota share coverage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3,600,000</w:t>
            </w:r>
          </w:p>
        </w:tc>
        <w:tc>
          <w:tcPr>
            <w:tcW w:w="2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2,500,000</w:t>
            </w:r>
          </w:p>
        </w:tc>
        <w:tc>
          <w:tcPr>
            <w:tcW w:w="120" w:type="dxa"/>
            <w:vAlign w:val="bottom"/>
          </w:tcPr>
          <w:p>
            <w:pPr>
              <w:spacing w:after="0"/>
              <w:rPr>
                <w:sz w:val="12"/>
                <w:szCs w:val="12"/>
                <w:color w:val="auto"/>
              </w:rPr>
            </w:pPr>
          </w:p>
        </w:tc>
      </w:tr>
      <w:tr>
        <w:trPr>
          <w:trHeight w:val="144"/>
        </w:trPr>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in excess of</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in excess of</w:t>
            </w:r>
          </w:p>
        </w:tc>
      </w:tr>
      <w:tr>
        <w:trPr>
          <w:trHeight w:val="144"/>
        </w:trPr>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2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400,000</w:t>
            </w:r>
          </w:p>
        </w:tc>
      </w:tr>
      <w:tr>
        <w:trPr>
          <w:trHeight w:val="144"/>
        </w:trPr>
        <w:tc>
          <w:tcPr>
            <w:tcW w:w="10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reinsurance coverage per occurrence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2,600,000</w:t>
            </w:r>
          </w:p>
        </w:tc>
        <w:tc>
          <w:tcPr>
            <w:tcW w:w="120" w:type="dxa"/>
            <w:vAlign w:val="bottom"/>
            <w:shd w:val="clear" w:color="auto" w:fill="CCEEFF"/>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8740" w:type="dxa"/>
            <w:vAlign w:val="bottom"/>
            <w:gridSpan w:val="6"/>
          </w:tcPr>
          <w:p>
            <w:pPr>
              <w:ind w:left="40"/>
              <w:spacing w:after="0"/>
              <w:rPr>
                <w:sz w:val="20"/>
                <w:szCs w:val="20"/>
                <w:color w:val="auto"/>
              </w:rPr>
            </w:pPr>
            <w:r>
              <w:rPr>
                <w:rFonts w:ascii="Times New Roman" w:cs="Times New Roman" w:eastAsia="Times New Roman" w:hAnsi="Times New Roman"/>
                <w:sz w:val="12"/>
                <w:szCs w:val="12"/>
                <w:color w:val="auto"/>
              </w:rPr>
              <w:t>Losses per occurrence subject to reinsurance coverage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4,000,000</w:t>
            </w:r>
          </w:p>
        </w:tc>
        <w:tc>
          <w:tcPr>
            <w:tcW w:w="2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2,900,000</w:t>
            </w:r>
          </w:p>
        </w:tc>
        <w:tc>
          <w:tcPr>
            <w:tcW w:w="120" w:type="dxa"/>
            <w:vAlign w:val="bottom"/>
          </w:tcPr>
          <w:p>
            <w:pPr>
              <w:spacing w:after="0"/>
              <w:rPr>
                <w:sz w:val="12"/>
                <w:szCs w:val="12"/>
                <w:color w:val="auto"/>
              </w:rPr>
            </w:pPr>
          </w:p>
        </w:tc>
      </w:tr>
      <w:tr>
        <w:trPr>
          <w:trHeight w:val="144"/>
        </w:trPr>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35"/>
        </w:trPr>
        <w:tc>
          <w:tcPr>
            <w:tcW w:w="8840" w:type="dxa"/>
            <w:vAlign w:val="bottom"/>
            <w:gridSpan w:val="7"/>
          </w:tcPr>
          <w:p>
            <w:pPr>
              <w:spacing w:after="0" w:line="135" w:lineRule="exact"/>
              <w:rPr>
                <w:sz w:val="20"/>
                <w:szCs w:val="20"/>
                <w:color w:val="auto"/>
              </w:rPr>
            </w:pPr>
            <w:r>
              <w:rPr>
                <w:rFonts w:ascii="Times New Roman" w:cs="Times New Roman" w:eastAsia="Times New Roman" w:hAnsi="Times New Roman"/>
                <w:sz w:val="12"/>
                <w:szCs w:val="12"/>
                <w:color w:val="auto"/>
              </w:rPr>
              <w:t>Commercial Auto:</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7"/>
        </w:trPr>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44"/>
        </w:trPr>
        <w:tc>
          <w:tcPr>
            <w:tcW w:w="10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Excess of loss coverage in excess of risk retained</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1,700,000</w:t>
            </w:r>
          </w:p>
        </w:tc>
        <w:tc>
          <w:tcPr>
            <w:tcW w:w="120" w:type="dxa"/>
            <w:vAlign w:val="bottom"/>
            <w:shd w:val="clear" w:color="auto" w:fill="CCEEFF"/>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in excess of</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in excess of</w:t>
            </w:r>
          </w:p>
        </w:tc>
      </w:tr>
      <w:tr>
        <w:trPr>
          <w:trHeight w:val="144"/>
        </w:trPr>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300,000</w:t>
            </w:r>
          </w:p>
        </w:tc>
      </w:tr>
      <w:tr>
        <w:trPr>
          <w:trHeight w:val="135"/>
        </w:trPr>
        <w:tc>
          <w:tcPr>
            <w:tcW w:w="8840" w:type="dxa"/>
            <w:vAlign w:val="bottom"/>
            <w:gridSpan w:val="7"/>
          </w:tcPr>
          <w:p>
            <w:pPr>
              <w:spacing w:after="0" w:line="135" w:lineRule="exact"/>
              <w:rPr>
                <w:sz w:val="20"/>
                <w:szCs w:val="20"/>
                <w:color w:val="auto"/>
              </w:rPr>
            </w:pPr>
            <w:r>
              <w:rPr>
                <w:rFonts w:ascii="Times New Roman" w:cs="Times New Roman" w:eastAsia="Times New Roman" w:hAnsi="Times New Roman"/>
                <w:sz w:val="12"/>
                <w:szCs w:val="12"/>
                <w:color w:val="auto"/>
              </w:rPr>
              <w:t>Catastrophe Reinsurance:</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7"/>
        </w:trPr>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44"/>
        </w:trPr>
        <w:tc>
          <w:tcPr>
            <w:tcW w:w="10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Initial loss subject to personal lines quota share treaty</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4,000,000</w:t>
            </w:r>
          </w:p>
        </w:tc>
        <w:tc>
          <w:tcPr>
            <w:tcW w:w="120" w:type="dxa"/>
            <w:vAlign w:val="bottom"/>
            <w:shd w:val="clear" w:color="auto" w:fill="CCEEFF"/>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8740" w:type="dxa"/>
            <w:vAlign w:val="bottom"/>
            <w:gridSpan w:val="6"/>
          </w:tcPr>
          <w:p>
            <w:pPr>
              <w:ind w:left="40"/>
              <w:spacing w:after="0"/>
              <w:rPr>
                <w:sz w:val="20"/>
                <w:szCs w:val="20"/>
                <w:color w:val="auto"/>
              </w:rPr>
            </w:pPr>
            <w:r>
              <w:rPr>
                <w:rFonts w:ascii="Times New Roman" w:cs="Times New Roman" w:eastAsia="Times New Roman" w:hAnsi="Times New Roman"/>
                <w:sz w:val="12"/>
                <w:szCs w:val="12"/>
                <w:color w:val="auto"/>
              </w:rPr>
              <w:t>Risk retained per catastrophe occurrence (1)</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1,800,000</w:t>
            </w:r>
          </w:p>
        </w:tc>
        <w:tc>
          <w:tcPr>
            <w:tcW w:w="2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120" w:type="dxa"/>
            <w:vAlign w:val="bottom"/>
          </w:tcPr>
          <w:p>
            <w:pPr>
              <w:spacing w:after="0"/>
              <w:rPr>
                <w:sz w:val="12"/>
                <w:szCs w:val="12"/>
                <w:color w:val="auto"/>
              </w:rPr>
            </w:pPr>
          </w:p>
        </w:tc>
      </w:tr>
      <w:tr>
        <w:trPr>
          <w:trHeight w:val="144"/>
        </w:trPr>
        <w:tc>
          <w:tcPr>
            <w:tcW w:w="100" w:type="dxa"/>
            <w:vAlign w:val="bottom"/>
            <w:shd w:val="clear" w:color="auto" w:fill="CCEEFF"/>
          </w:tcPr>
          <w:p>
            <w:pPr>
              <w:spacing w:after="0"/>
              <w:rPr>
                <w:sz w:val="12"/>
                <w:szCs w:val="12"/>
                <w:color w:val="auto"/>
              </w:rPr>
            </w:pPr>
          </w:p>
        </w:tc>
        <w:tc>
          <w:tcPr>
            <w:tcW w:w="87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Catastrophe loss coverage in excess of quota share coverage (2) (3)</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137,000,000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86,000,000</w:t>
            </w:r>
          </w:p>
        </w:tc>
      </w:tr>
    </w:tbl>
    <w:p>
      <w:pPr>
        <w:spacing w:after="0" w:line="151" w:lineRule="exact"/>
        <w:rPr>
          <w:sz w:val="20"/>
          <w:szCs w:val="20"/>
          <w:color w:val="auto"/>
        </w:rPr>
      </w:pPr>
    </w:p>
    <w:p>
      <w:pPr>
        <w:ind w:left="640" w:hanging="199"/>
        <w:spacing w:after="0"/>
        <w:tabs>
          <w:tab w:leader="none" w:pos="6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Plus losses in excess of catastrophe coverage.</w:t>
      </w:r>
    </w:p>
    <w:p>
      <w:pPr>
        <w:spacing w:after="0" w:line="168" w:lineRule="exact"/>
        <w:rPr>
          <w:rFonts w:ascii="Times New Roman" w:cs="Times New Roman" w:eastAsia="Times New Roman" w:hAnsi="Times New Roman"/>
          <w:sz w:val="12"/>
          <w:szCs w:val="12"/>
          <w:color w:val="auto"/>
        </w:rPr>
      </w:pPr>
    </w:p>
    <w:p>
      <w:pPr>
        <w:ind w:left="640" w:hanging="199"/>
        <w:spacing w:after="0"/>
        <w:tabs>
          <w:tab w:leader="none" w:pos="6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July 1, 2014, our catastrophe treaty also covers losses caused by severe winter weather during any consecutive 28 day period.</w:t>
      </w:r>
    </w:p>
    <w:p>
      <w:pPr>
        <w:spacing w:after="0" w:line="168" w:lineRule="exact"/>
        <w:rPr>
          <w:rFonts w:ascii="Times New Roman" w:cs="Times New Roman" w:eastAsia="Times New Roman" w:hAnsi="Times New Roman"/>
          <w:sz w:val="12"/>
          <w:szCs w:val="12"/>
          <w:color w:val="auto"/>
        </w:rPr>
      </w:pPr>
    </w:p>
    <w:p>
      <w:pPr>
        <w:ind w:left="640" w:right="20" w:hanging="199"/>
        <w:spacing w:after="0" w:line="280" w:lineRule="auto"/>
        <w:tabs>
          <w:tab w:leader="none" w:pos="6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Catastrophe coverage is limited on an annual basis to two times the per occurrence amounts. Effective July 1, 2014, the duration of a catastrophe occurrence from windstorm, hail, tornado, hurricane and cyclone was extended to 96 consecutive hours from 72 consecutive hours.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29" w:right="1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color w:val="auto"/>
        </w:rPr>
        <w:t>The single maximum risks per occurrence to which we are subject under the treaties that expired on June 30, 2014 and the new treaties effective July 1, 2014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0"/>
                <w:szCs w:val="10"/>
                <w:b w:val="1"/>
                <w:bCs w:val="1"/>
                <w:color w:val="auto"/>
                <w:w w:val="98"/>
              </w:rPr>
              <w:t>July 1, 2014 - June 30, 2015</w:t>
            </w:r>
          </w:p>
        </w:tc>
        <w:tc>
          <w:tcPr>
            <w:tcW w:w="7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July 1, 2013 - June 30, 2014</w:t>
            </w:r>
          </w:p>
        </w:tc>
        <w:tc>
          <w:tcPr>
            <w:tcW w:w="10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0"/>
                <w:szCs w:val="10"/>
                <w:b w:val="1"/>
                <w:bCs w:val="1"/>
                <w:color w:val="auto"/>
              </w:rPr>
              <w:t>Treaty</w:t>
            </w:r>
          </w:p>
        </w:tc>
        <w:tc>
          <w:tcPr>
            <w:tcW w:w="220" w:type="dxa"/>
            <w:vAlign w:val="bottom"/>
          </w:tcPr>
          <w:p>
            <w:pPr>
              <w:spacing w:after="0"/>
              <w:rPr>
                <w:sz w:val="12"/>
                <w:szCs w:val="12"/>
                <w:color w:val="auto"/>
              </w:rPr>
            </w:pPr>
          </w:p>
        </w:tc>
        <w:tc>
          <w:tcPr>
            <w:tcW w:w="1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0"/>
                <w:szCs w:val="10"/>
                <w:b w:val="1"/>
                <w:bCs w:val="1"/>
                <w:color w:val="auto"/>
              </w:rPr>
              <w:t>Extent of Loss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Risk Retained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0"/>
                <w:szCs w:val="10"/>
                <w:b w:val="1"/>
                <w:bCs w:val="1"/>
                <w:color w:val="auto"/>
              </w:rPr>
              <w:t>Extent of Loss</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Risk Retained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$800,000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360,000</w:t>
            </w:r>
          </w:p>
        </w:tc>
        <w:tc>
          <w:tcPr>
            <w:tcW w:w="2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Initial $1,200,000</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2"/>
                <w:szCs w:val="12"/>
                <w:color w:val="auto"/>
              </w:rPr>
              <w:t>$ 800,000 - $4,000,000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None(1)</w:t>
            </w:r>
          </w:p>
        </w:tc>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$ 1,200,000 - $2,900,000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None(1)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$4,000,000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w:t>
            </w:r>
          </w:p>
        </w:tc>
        <w:tc>
          <w:tcPr>
            <w:tcW w:w="2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Over $2,900,000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Umbrella</w:t>
            </w: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$1,000,000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100,000</w:t>
            </w:r>
          </w:p>
        </w:tc>
        <w:tc>
          <w:tcPr>
            <w:tcW w:w="2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Initial $1,000,000</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2"/>
                <w:szCs w:val="12"/>
                <w:color w:val="auto"/>
              </w:rPr>
              <w:t>$ 1,000,000 - $3,000,000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None(1)</w:t>
            </w:r>
          </w:p>
        </w:tc>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$ 1,000,000 - $2,000,000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None(1)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$3,000,000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w:t>
            </w:r>
          </w:p>
        </w:tc>
        <w:tc>
          <w:tcPr>
            <w:tcW w:w="2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Over $2,000,000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Lines</w:t>
            </w: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$400,000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400,000</w:t>
            </w:r>
          </w:p>
        </w:tc>
        <w:tc>
          <w:tcPr>
            <w:tcW w:w="2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Initial $400,000</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2"/>
                <w:szCs w:val="12"/>
                <w:color w:val="auto"/>
              </w:rPr>
              <w:t>$ 400,000 - $4,000,000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None(1)</w:t>
            </w:r>
          </w:p>
        </w:tc>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$ 400,000 - $2,900,000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None(1)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$4,000,000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w:t>
            </w:r>
          </w:p>
        </w:tc>
        <w:tc>
          <w:tcPr>
            <w:tcW w:w="2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Over $2,900,000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Auto</w:t>
            </w: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$300,000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300,000</w:t>
            </w:r>
          </w:p>
        </w:tc>
        <w:tc>
          <w:tcPr>
            <w:tcW w:w="2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Initial $300,000</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2"/>
                <w:szCs w:val="12"/>
                <w:color w:val="auto"/>
              </w:rPr>
              <w:t>$ 300,000 - $2,000,000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None(1)</w:t>
            </w:r>
          </w:p>
        </w:tc>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$ 300,000 - $2,000,000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None(1)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$2,000,000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w:t>
            </w:r>
          </w:p>
        </w:tc>
        <w:tc>
          <w:tcPr>
            <w:tcW w:w="2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Over $2,000,000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Catastrophe (2)</w:t>
            </w: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Initial $4,000,000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1,800,000</w:t>
            </w:r>
          </w:p>
        </w:tc>
        <w:tc>
          <w:tcPr>
            <w:tcW w:w="2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Initial $4,000,000</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2"/>
                <w:szCs w:val="12"/>
                <w:color w:val="auto"/>
              </w:rPr>
              <w:t>$ 4,000,000 - $141,000,000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None</w:t>
            </w:r>
          </w:p>
        </w:tc>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$ 4,000,000 - $90,000,000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None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$141,000,000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w:t>
            </w:r>
          </w:p>
        </w:tc>
        <w:tc>
          <w:tcPr>
            <w:tcW w:w="2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Over $90,000,000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w:t>
            </w: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40" w:hanging="199"/>
        <w:spacing w:after="0"/>
        <w:tabs>
          <w:tab w:leader="none" w:pos="6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Covered by excess of loss treaties.</w:t>
      </w:r>
    </w:p>
    <w:p>
      <w:pPr>
        <w:spacing w:after="0" w:line="168" w:lineRule="exact"/>
        <w:rPr>
          <w:rFonts w:ascii="Times New Roman" w:cs="Times New Roman" w:eastAsia="Times New Roman" w:hAnsi="Times New Roman"/>
          <w:sz w:val="12"/>
          <w:szCs w:val="12"/>
          <w:color w:val="auto"/>
        </w:rPr>
      </w:pPr>
    </w:p>
    <w:p>
      <w:pPr>
        <w:ind w:left="640" w:hanging="199"/>
        <w:spacing w:after="0"/>
        <w:tabs>
          <w:tab w:leader="none" w:pos="6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Catastrophe coverage is limited on an annual basis to two times the per occurrence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17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Factors That May Affect Future Results and Financial Condition</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Based upon the factors set forth under “Factors That May Affect Future Results and Financial Condition” in Item 7 of our Annual Report on Form 10-K for the year ended December 31, 2014,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In addition, such factors, among others, may affect the accuracy of certain forward-looking statements contained in our periodic reports, including this Quarterly Report.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0" w:right="1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b w:val="1"/>
          <w:bCs w:val="1"/>
          <w:color w:val="auto"/>
        </w:rPr>
        <w:t xml:space="preserve">Item 3. </w:t>
      </w:r>
      <w:r>
        <w:rPr>
          <w:rFonts w:ascii="Times New Roman" w:cs="Times New Roman" w:eastAsia="Times New Roman" w:hAnsi="Times New Roman"/>
          <w:sz w:val="12"/>
          <w:szCs w:val="12"/>
          <w:b w:val="1"/>
          <w:bCs w:val="1"/>
          <w:u w:val="single" w:color="auto"/>
          <w:color w:val="auto"/>
        </w:rPr>
        <w:t>Quantitative and Qualitative Disclosures About Market Risk</w:t>
      </w:r>
      <w:r>
        <w:rPr>
          <w:rFonts w:ascii="Times New Roman" w:cs="Times New Roman" w:eastAsia="Times New Roman" w:hAnsi="Times New Roman"/>
          <w:sz w:val="12"/>
          <w:szCs w:val="12"/>
          <w:color w:val="auto"/>
        </w:rPr>
        <w:t>.</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Item 4. </w:t>
      </w:r>
      <w:r>
        <w:rPr>
          <w:rFonts w:ascii="Times New Roman" w:cs="Times New Roman" w:eastAsia="Times New Roman" w:hAnsi="Times New Roman"/>
          <w:sz w:val="12"/>
          <w:szCs w:val="12"/>
          <w:b w:val="1"/>
          <w:bCs w:val="1"/>
          <w:u w:val="single" w:color="auto"/>
          <w:color w:val="auto"/>
        </w:rPr>
        <w:t>Controls and Procedures</w:t>
      </w:r>
      <w:r>
        <w:rPr>
          <w:rFonts w:ascii="Times New Roman" w:cs="Times New Roman" w:eastAsia="Times New Roman" w:hAnsi="Times New Roman"/>
          <w:sz w:val="12"/>
          <w:szCs w:val="12"/>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Evaluation of Disclosure Controls and Procedures</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maintain disclosure controls and procedures (as defined in Exchange Act Rule 13a-15(e)) that are designed to assure that information required to be disclosed in our Exchange Act reports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w:t>
      </w:r>
    </w:p>
    <w:p>
      <w:pPr>
        <w:spacing w:after="0" w:line="137"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As required by Exchange Act Rule 13a-15(b), as of the end of the period covered by this Annual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March 31, 2015.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2"/>
          <w:szCs w:val="12"/>
          <w:b w:val="1"/>
          <w:bCs w:val="1"/>
          <w:color w:val="auto"/>
        </w:rPr>
        <w:t xml:space="preserve">PART II. </w:t>
      </w:r>
      <w:r>
        <w:rPr>
          <w:rFonts w:ascii="Times New Roman" w:cs="Times New Roman" w:eastAsia="Times New Roman" w:hAnsi="Times New Roman"/>
          <w:sz w:val="12"/>
          <w:szCs w:val="12"/>
          <w:b w:val="1"/>
          <w:bCs w:val="1"/>
          <w:u w:val="single" w:color="auto"/>
          <w:color w:val="auto"/>
        </w:rPr>
        <w:t>OTHER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Item 1. </w:t>
      </w:r>
      <w:r>
        <w:rPr>
          <w:rFonts w:ascii="Times New Roman" w:cs="Times New Roman" w:eastAsia="Times New Roman" w:hAnsi="Times New Roman"/>
          <w:sz w:val="12"/>
          <w:szCs w:val="12"/>
          <w:b w:val="1"/>
          <w:bCs w:val="1"/>
          <w:u w:val="single" w:color="auto"/>
          <w:color w:val="auto"/>
        </w:rPr>
        <w:t>Legal Proceedings</w:t>
      </w:r>
      <w:r>
        <w:rPr>
          <w:rFonts w:ascii="Times New Roman" w:cs="Times New Roman" w:eastAsia="Times New Roman" w:hAnsi="Times New Roman"/>
          <w:sz w:val="12"/>
          <w:szCs w:val="12"/>
          <w:color w:val="auto"/>
        </w:rPr>
        <w:t>.</w:t>
      </w:r>
    </w:p>
    <w:p>
      <w:pPr>
        <w:spacing w:after="0" w:line="172" w:lineRule="exact"/>
        <w:rPr>
          <w:sz w:val="20"/>
          <w:szCs w:val="20"/>
          <w:color w:val="auto"/>
        </w:rPr>
      </w:pPr>
    </w:p>
    <w:p>
      <w:pPr>
        <w:jc w:val="center"/>
        <w:ind w:right="10360"/>
        <w:spacing w:after="0"/>
        <w:rPr>
          <w:sz w:val="20"/>
          <w:szCs w:val="20"/>
          <w:color w:val="auto"/>
        </w:rPr>
      </w:pPr>
      <w:r>
        <w:rPr>
          <w:rFonts w:ascii="Times New Roman" w:cs="Times New Roman" w:eastAsia="Times New Roman" w:hAnsi="Times New Roman"/>
          <w:sz w:val="12"/>
          <w:szCs w:val="12"/>
          <w:color w:val="auto"/>
        </w:rPr>
        <w:t>None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Item 1A. </w:t>
      </w:r>
      <w:r>
        <w:rPr>
          <w:rFonts w:ascii="Times New Roman" w:cs="Times New Roman" w:eastAsia="Times New Roman" w:hAnsi="Times New Roman"/>
          <w:sz w:val="12"/>
          <w:szCs w:val="12"/>
          <w:b w:val="1"/>
          <w:bCs w:val="1"/>
          <w:u w:val="single" w:color="auto"/>
          <w:color w:val="auto"/>
        </w:rPr>
        <w:t>Risk Factors</w:t>
      </w:r>
      <w:r>
        <w:rPr>
          <w:rFonts w:ascii="Times New Roman" w:cs="Times New Roman" w:eastAsia="Times New Roman" w:hAnsi="Times New Roman"/>
          <w:sz w:val="12"/>
          <w:szCs w:val="12"/>
          <w:color w:val="auto"/>
        </w:rPr>
        <w:t>.</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Item 2. </w:t>
      </w:r>
      <w:r>
        <w:rPr>
          <w:rFonts w:ascii="Times New Roman" w:cs="Times New Roman" w:eastAsia="Times New Roman" w:hAnsi="Times New Roman"/>
          <w:sz w:val="12"/>
          <w:szCs w:val="12"/>
          <w:b w:val="1"/>
          <w:bCs w:val="1"/>
          <w:u w:val="single" w:color="auto"/>
          <w:color w:val="auto"/>
        </w:rPr>
        <w:t>Unregistered Sales of Equity Securities and Use of Proceeds</w:t>
      </w:r>
      <w:r>
        <w:rPr>
          <w:rFonts w:ascii="Times New Roman" w:cs="Times New Roman" w:eastAsia="Times New Roman" w:hAnsi="Times New Roman"/>
          <w:sz w:val="12"/>
          <w:szCs w:val="12"/>
          <w:color w:val="auto"/>
        </w:rPr>
        <w:t>.</w:t>
      </w:r>
    </w:p>
    <w:p>
      <w:pPr>
        <w:spacing w:after="0" w:line="172" w:lineRule="exact"/>
        <w:rPr>
          <w:sz w:val="20"/>
          <w:szCs w:val="20"/>
          <w:color w:val="auto"/>
        </w:rPr>
      </w:pPr>
    </w:p>
    <w:p>
      <w:pPr>
        <w:ind w:left="860" w:hanging="427"/>
        <w:spacing w:after="0"/>
        <w:tabs>
          <w:tab w:leader="none" w:pos="86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w:t>
      </w:r>
    </w:p>
    <w:p>
      <w:pPr>
        <w:spacing w:after="0" w:line="168" w:lineRule="exact"/>
        <w:rPr>
          <w:rFonts w:ascii="Times New Roman" w:cs="Times New Roman" w:eastAsia="Times New Roman" w:hAnsi="Times New Roman"/>
          <w:sz w:val="12"/>
          <w:szCs w:val="12"/>
          <w:color w:val="auto"/>
        </w:rPr>
      </w:pPr>
    </w:p>
    <w:p>
      <w:pPr>
        <w:ind w:left="860" w:hanging="427"/>
        <w:spacing w:after="0"/>
        <w:tabs>
          <w:tab w:leader="none" w:pos="86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168" w:lineRule="exact"/>
        <w:rPr>
          <w:rFonts w:ascii="Times New Roman" w:cs="Times New Roman" w:eastAsia="Times New Roman" w:hAnsi="Times New Roman"/>
          <w:sz w:val="12"/>
          <w:szCs w:val="12"/>
          <w:color w:val="auto"/>
        </w:rPr>
      </w:pPr>
    </w:p>
    <w:p>
      <w:pPr>
        <w:ind w:left="860" w:hanging="427"/>
        <w:spacing w:after="0"/>
        <w:tabs>
          <w:tab w:leader="none" w:pos="86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table sets forth certain information with respect to purchases of common stock made by us or any “affiliated purchaser” during the quarter ended March 31, 2015:</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11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Total Number of Shares</w:t>
            </w:r>
          </w:p>
        </w:tc>
        <w:tc>
          <w:tcPr>
            <w:tcW w:w="220" w:type="dxa"/>
            <w:vAlign w:val="bottom"/>
          </w:tcPr>
          <w:p>
            <w:pPr>
              <w:spacing w:after="0"/>
              <w:rPr>
                <w:sz w:val="10"/>
                <w:szCs w:val="1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Maximum Number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Purchased as Part of</w:t>
            </w:r>
          </w:p>
        </w:tc>
        <w:tc>
          <w:tcPr>
            <w:tcW w:w="220" w:type="dxa"/>
            <w:vAlign w:val="bottom"/>
          </w:tcPr>
          <w:p>
            <w:pPr>
              <w:spacing w:after="0"/>
              <w:rPr>
                <w:sz w:val="8"/>
                <w:szCs w:val="8"/>
                <w:color w:val="auto"/>
              </w:rPr>
            </w:pPr>
          </w:p>
        </w:tc>
        <w:tc>
          <w:tcPr>
            <w:tcW w:w="124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4"/>
              </w:rPr>
              <w:t>Shares that May Be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380" w:type="dxa"/>
            <w:vAlign w:val="bottom"/>
            <w:vMerge w:val="restart"/>
          </w:tcPr>
          <w:p>
            <w:pPr>
              <w:ind w:left="820"/>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5"/>
              </w:rPr>
              <w:t>Number of Shares</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4"/>
              </w:rPr>
              <w:t>Price Paid</w:t>
            </w:r>
          </w:p>
        </w:tc>
        <w:tc>
          <w:tcPr>
            <w:tcW w:w="11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Publicly Announced Plans</w:t>
            </w:r>
          </w:p>
        </w:tc>
        <w:tc>
          <w:tcPr>
            <w:tcW w:w="220" w:type="dxa"/>
            <w:vAlign w:val="bottom"/>
          </w:tcPr>
          <w:p>
            <w:pPr>
              <w:spacing w:after="0"/>
              <w:rPr>
                <w:sz w:val="8"/>
                <w:szCs w:val="8"/>
                <w:color w:val="auto"/>
              </w:rPr>
            </w:pPr>
          </w:p>
        </w:tc>
        <w:tc>
          <w:tcPr>
            <w:tcW w:w="12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4"/>
              </w:rPr>
              <w:t>Purchased Under the Plans</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Purchased (1)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3"/>
              </w:rPr>
              <w:t>per Share(1)</w:t>
            </w:r>
          </w:p>
        </w:tc>
        <w:tc>
          <w:tcPr>
            <w:tcW w:w="11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or Programs</w:t>
            </w:r>
          </w:p>
        </w:tc>
        <w:tc>
          <w:tcPr>
            <w:tcW w:w="220" w:type="dxa"/>
            <w:vAlign w:val="bottom"/>
          </w:tcPr>
          <w:p>
            <w:pPr>
              <w:spacing w:after="0"/>
              <w:rPr>
                <w:sz w:val="10"/>
                <w:szCs w:val="1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or Programs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1/1/15 – 3/31/15</w:t>
            </w:r>
          </w:p>
        </w:tc>
        <w:tc>
          <w:tcPr>
            <w:tcW w:w="2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14,146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2/1/15 – 2/28/15</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3/1/15 – 3/31/15</w:t>
            </w:r>
          </w:p>
        </w:tc>
        <w:tc>
          <w:tcPr>
            <w:tcW w:w="1680" w:type="dxa"/>
            <w:vAlign w:val="bottom"/>
            <w:gridSpan w:val="2"/>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5,250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7.59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380" w:type="dxa"/>
            <w:vAlign w:val="bottom"/>
            <w:gridSpan w:val="5"/>
          </w:tcPr>
          <w:p>
            <w:pPr>
              <w:spacing w:after="0" w:line="124" w:lineRule="exact"/>
              <w:rPr>
                <w:sz w:val="20"/>
                <w:szCs w:val="20"/>
                <w:color w:val="auto"/>
              </w:rPr>
            </w:pPr>
            <w:r>
              <w:rPr>
                <w:rFonts w:ascii="Times New Roman" w:cs="Times New Roman" w:eastAsia="Times New Roman" w:hAnsi="Times New Roman"/>
                <w:sz w:val="12"/>
                <w:szCs w:val="12"/>
                <w:color w:val="auto"/>
              </w:rPr>
              <w:t>Total</w:t>
            </w:r>
          </w:p>
        </w:tc>
        <w:tc>
          <w:tcPr>
            <w:tcW w:w="1680" w:type="dxa"/>
            <w:vAlign w:val="bottom"/>
            <w:gridSpan w:val="2"/>
          </w:tcPr>
          <w:p>
            <w:pPr>
              <w:spacing w:after="0"/>
              <w:rPr>
                <w:sz w:val="12"/>
                <w:szCs w:val="12"/>
                <w:color w:val="auto"/>
              </w:rPr>
            </w:pPr>
          </w:p>
        </w:tc>
        <w:tc>
          <w:tcPr>
            <w:tcW w:w="128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19,396</w:t>
            </w:r>
          </w:p>
        </w:tc>
        <w:tc>
          <w:tcPr>
            <w:tcW w:w="30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240"/>
              <w:spacing w:after="0" w:line="124" w:lineRule="exact"/>
              <w:rPr>
                <w:sz w:val="20"/>
                <w:szCs w:val="20"/>
                <w:color w:val="auto"/>
              </w:rPr>
            </w:pPr>
            <w:r>
              <w:rPr>
                <w:rFonts w:ascii="Times New Roman" w:cs="Times New Roman" w:eastAsia="Times New Roman" w:hAnsi="Times New Roman"/>
                <w:sz w:val="12"/>
                <w:szCs w:val="12"/>
                <w:color w:val="auto"/>
              </w:rPr>
              <w:t>7.89</w:t>
            </w:r>
          </w:p>
        </w:tc>
        <w:tc>
          <w:tcPr>
            <w:tcW w:w="11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2"/>
                <w:szCs w:val="12"/>
                <w:color w:val="auto"/>
              </w:rPr>
              <w:t>(1) Includes shares purchased by “affiliated purchasers”.</w:t>
            </w: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4380" w:type="dxa"/>
            <w:vAlign w:val="bottom"/>
            <w:gridSpan w:val="5"/>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40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r>
              <w:rPr>
                <w:rFonts w:ascii="Times New Roman" w:cs="Times New Roman" w:eastAsia="Times New Roman" w:hAnsi="Times New Roman"/>
                <w:sz w:val="12"/>
                <w:szCs w:val="12"/>
                <w:color w:val="auto"/>
              </w:rPr>
              <w: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None</w:t>
            </w:r>
          </w:p>
        </w:tc>
        <w:tc>
          <w:tcPr>
            <w:tcW w:w="2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40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r>
              <w:rPr>
                <w:rFonts w:ascii="Times New Roman" w:cs="Times New Roman" w:eastAsia="Times New Roman" w:hAnsi="Times New Roman"/>
                <w:sz w:val="12"/>
                <w:szCs w:val="12"/>
                <w:color w:val="auto"/>
              </w:rPr>
              <w: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Not applicable</w:t>
            </w:r>
          </w:p>
        </w:tc>
        <w:tc>
          <w:tcPr>
            <w:tcW w:w="280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40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r>
              <w:rPr>
                <w:rFonts w:ascii="Times New Roman" w:cs="Times New Roman" w:eastAsia="Times New Roman" w:hAnsi="Times New Roman"/>
                <w:sz w:val="12"/>
                <w:szCs w:val="12"/>
                <w:color w:val="auto"/>
              </w:rPr>
              <w: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None</w:t>
            </w:r>
          </w:p>
        </w:tc>
        <w:tc>
          <w:tcPr>
            <w:tcW w:w="3060" w:type="dxa"/>
            <w:vAlign w:val="bottom"/>
            <w:gridSpan w:val="3"/>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380" w:type="dxa"/>
            <w:vAlign w:val="bottom"/>
            <w:tcBorders>
              <w:bottom w:val="single" w:sz="8" w:color="808080"/>
            </w:tcBorders>
          </w:tcPr>
          <w:p>
            <w:pPr>
              <w:spacing w:after="0"/>
              <w:rPr>
                <w:sz w:val="6"/>
                <w:szCs w:val="6"/>
                <w:color w:val="auto"/>
              </w:rPr>
            </w:pPr>
          </w:p>
        </w:tc>
        <w:tc>
          <w:tcPr>
            <w:tcW w:w="15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38"/>
        </w:trPr>
        <w:tc>
          <w:tcPr>
            <w:tcW w:w="150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w w:val="96"/>
              </w:rPr>
              <w:t>Item 6. Exhibits</w:t>
            </w:r>
            <w:r>
              <w:rPr>
                <w:rFonts w:ascii="Times New Roman" w:cs="Times New Roman" w:eastAsia="Times New Roman" w:hAnsi="Times New Roman"/>
                <w:sz w:val="12"/>
                <w:szCs w:val="12"/>
                <w:color w:val="auto"/>
                <w:w w:val="96"/>
              </w:rPr>
              <w:t>.</w:t>
            </w:r>
          </w:p>
        </w:tc>
        <w:tc>
          <w:tcPr>
            <w:tcW w:w="70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3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3(a)</w:t>
            </w:r>
          </w:p>
        </w:tc>
        <w:tc>
          <w:tcPr>
            <w:tcW w:w="9880" w:type="dxa"/>
            <w:vAlign w:val="bottom"/>
            <w:gridSpan w:val="2"/>
          </w:tcPr>
          <w:p>
            <w:pPr>
              <w:ind w:left="2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Restated Certificate of Incorporation, as amended</w:t>
            </w:r>
            <w:hyperlink w:anchor="page59">
              <w:r>
                <w:rPr>
                  <w:rFonts w:ascii="Times New Roman" w:cs="Times New Roman" w:eastAsia="Times New Roman" w:hAnsi="Times New Roman"/>
                  <w:sz w:val="16"/>
                  <w:szCs w:val="16"/>
                  <w:u w:val="single" w:color="auto"/>
                  <w:color w:val="0000EE"/>
                  <w:vertAlign w:val="superscript"/>
                </w:rPr>
                <w:t>1</w:t>
              </w:r>
            </w:hyperlink>
          </w:p>
        </w:tc>
        <w:tc>
          <w:tcPr>
            <w:tcW w:w="0" w:type="dxa"/>
            <w:vAlign w:val="bottom"/>
          </w:tcPr>
          <w:p>
            <w:pPr>
              <w:spacing w:after="0"/>
              <w:rPr>
                <w:sz w:val="1"/>
                <w:szCs w:val="1"/>
                <w:color w:val="auto"/>
              </w:rPr>
            </w:pPr>
          </w:p>
        </w:tc>
      </w:tr>
      <w:tr>
        <w:trPr>
          <w:trHeight w:val="288"/>
        </w:trPr>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3(b)</w:t>
            </w:r>
          </w:p>
        </w:tc>
        <w:tc>
          <w:tcPr>
            <w:tcW w:w="9880" w:type="dxa"/>
            <w:vAlign w:val="bottom"/>
            <w:gridSpan w:val="2"/>
          </w:tcPr>
          <w:p>
            <w:pPr>
              <w:ind w:left="2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By-laws, as amended</w:t>
            </w:r>
            <w:hyperlink w:anchor="page57">
              <w:r>
                <w:rPr>
                  <w:rFonts w:ascii="Times New Roman" w:cs="Times New Roman" w:eastAsia="Times New Roman" w:hAnsi="Times New Roman"/>
                  <w:sz w:val="16"/>
                  <w:szCs w:val="16"/>
                  <w:u w:val="single" w:color="auto"/>
                  <w:color w:val="0000EE"/>
                  <w:vertAlign w:val="superscript"/>
                </w:rPr>
                <w:t>2</w:t>
              </w:r>
            </w:hyperlink>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31(a)</w:t>
            </w:r>
          </w:p>
        </w:tc>
        <w:tc>
          <w:tcPr>
            <w:tcW w:w="98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Rule 13a-14(a)/15d-14(a) Certification of Principal Executive Officer as adopted pursuant to Section 302 of the Sarbanes-Oxley Act of 2002</w:t>
            </w:r>
          </w:p>
        </w:tc>
        <w:tc>
          <w:tcPr>
            <w:tcW w:w="0" w:type="dxa"/>
            <w:vAlign w:val="bottom"/>
          </w:tcPr>
          <w:p>
            <w:pPr>
              <w:spacing w:after="0"/>
              <w:rPr>
                <w:sz w:val="1"/>
                <w:szCs w:val="1"/>
                <w:color w:val="auto"/>
              </w:rPr>
            </w:pPr>
          </w:p>
        </w:tc>
      </w:tr>
      <w:tr>
        <w:trPr>
          <w:trHeight w:val="288"/>
        </w:trPr>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31(b)</w:t>
            </w:r>
          </w:p>
        </w:tc>
        <w:tc>
          <w:tcPr>
            <w:tcW w:w="98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Rule 13a-14(a)/15d-14(a) Certification of Principal Financial Officer as adopted pursuant to Section 302 of the Sarbanes-Oxley Act of 2002</w:t>
            </w: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9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auto"/>
              </w:rPr>
              <w:t>Certification of Chief Executive Officer and Chief Financial Officer 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32</w:t>
            </w:r>
          </w:p>
        </w:tc>
        <w:tc>
          <w:tcPr>
            <w:tcW w:w="98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Section 906 of the Sarbanes-Oxley Act of 2002</w:t>
            </w:r>
          </w:p>
        </w:tc>
        <w:tc>
          <w:tcPr>
            <w:tcW w:w="0" w:type="dxa"/>
            <w:vAlign w:val="bottom"/>
          </w:tcPr>
          <w:p>
            <w:pPr>
              <w:spacing w:after="0"/>
              <w:rPr>
                <w:sz w:val="1"/>
                <w:szCs w:val="1"/>
                <w:color w:val="auto"/>
              </w:rPr>
            </w:pPr>
          </w:p>
        </w:tc>
      </w:tr>
      <w:tr>
        <w:trPr>
          <w:trHeight w:val="288"/>
        </w:trPr>
        <w:tc>
          <w:tcPr>
            <w:tcW w:w="38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101.INS</w:t>
            </w:r>
          </w:p>
        </w:tc>
        <w:tc>
          <w:tcPr>
            <w:tcW w:w="98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XBRL Instance Document</w:t>
            </w:r>
          </w:p>
        </w:tc>
        <w:tc>
          <w:tcPr>
            <w:tcW w:w="0" w:type="dxa"/>
            <w:vAlign w:val="bottom"/>
          </w:tcPr>
          <w:p>
            <w:pPr>
              <w:spacing w:after="0"/>
              <w:rPr>
                <w:sz w:val="1"/>
                <w:szCs w:val="1"/>
                <w:color w:val="auto"/>
              </w:rPr>
            </w:pPr>
          </w:p>
        </w:tc>
      </w:tr>
      <w:tr>
        <w:trPr>
          <w:trHeight w:val="288"/>
        </w:trPr>
        <w:tc>
          <w:tcPr>
            <w:tcW w:w="38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101.SCH</w:t>
            </w:r>
          </w:p>
        </w:tc>
        <w:tc>
          <w:tcPr>
            <w:tcW w:w="98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101.SCH XBRL Taxonomy Extension Schema.</w:t>
            </w:r>
          </w:p>
        </w:tc>
        <w:tc>
          <w:tcPr>
            <w:tcW w:w="0" w:type="dxa"/>
            <w:vAlign w:val="bottom"/>
          </w:tcPr>
          <w:p>
            <w:pPr>
              <w:spacing w:after="0"/>
              <w:rPr>
                <w:sz w:val="1"/>
                <w:szCs w:val="1"/>
                <w:color w:val="auto"/>
              </w:rPr>
            </w:pPr>
          </w:p>
        </w:tc>
      </w:tr>
      <w:tr>
        <w:trPr>
          <w:trHeight w:val="288"/>
        </w:trPr>
        <w:tc>
          <w:tcPr>
            <w:tcW w:w="38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101.CAL</w:t>
            </w:r>
          </w:p>
        </w:tc>
        <w:tc>
          <w:tcPr>
            <w:tcW w:w="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101.CAL</w:t>
            </w:r>
          </w:p>
        </w:tc>
        <w:tc>
          <w:tcPr>
            <w:tcW w:w="91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XBRL Taxonomy Extension Calculation Linkbase.</w:t>
            </w:r>
          </w:p>
        </w:tc>
        <w:tc>
          <w:tcPr>
            <w:tcW w:w="0" w:type="dxa"/>
            <w:vAlign w:val="bottom"/>
          </w:tcPr>
          <w:p>
            <w:pPr>
              <w:spacing w:after="0"/>
              <w:rPr>
                <w:sz w:val="1"/>
                <w:szCs w:val="1"/>
                <w:color w:val="auto"/>
              </w:rPr>
            </w:pPr>
          </w:p>
        </w:tc>
      </w:tr>
      <w:tr>
        <w:trPr>
          <w:trHeight w:val="288"/>
        </w:trPr>
        <w:tc>
          <w:tcPr>
            <w:tcW w:w="38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101.DEF</w:t>
            </w:r>
          </w:p>
        </w:tc>
        <w:tc>
          <w:tcPr>
            <w:tcW w:w="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101.DEF</w:t>
            </w:r>
          </w:p>
        </w:tc>
        <w:tc>
          <w:tcPr>
            <w:tcW w:w="91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XBRL Taxonomy Extension Definition Linkbase.</w:t>
            </w:r>
          </w:p>
        </w:tc>
        <w:tc>
          <w:tcPr>
            <w:tcW w:w="0" w:type="dxa"/>
            <w:vAlign w:val="bottom"/>
          </w:tcPr>
          <w:p>
            <w:pPr>
              <w:spacing w:after="0"/>
              <w:rPr>
                <w:sz w:val="1"/>
                <w:szCs w:val="1"/>
                <w:color w:val="auto"/>
              </w:rPr>
            </w:pPr>
          </w:p>
        </w:tc>
      </w:tr>
      <w:tr>
        <w:trPr>
          <w:trHeight w:val="288"/>
        </w:trPr>
        <w:tc>
          <w:tcPr>
            <w:tcW w:w="38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101.LAB</w:t>
            </w:r>
          </w:p>
        </w:tc>
        <w:tc>
          <w:tcPr>
            <w:tcW w:w="7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101.LAB</w:t>
            </w:r>
          </w:p>
        </w:tc>
        <w:tc>
          <w:tcPr>
            <w:tcW w:w="91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XBRL Taxonomy Extension Label Linkbase.</w:t>
            </w:r>
          </w:p>
        </w:tc>
        <w:tc>
          <w:tcPr>
            <w:tcW w:w="0" w:type="dxa"/>
            <w:vAlign w:val="bottom"/>
          </w:tcPr>
          <w:p>
            <w:pPr>
              <w:spacing w:after="0"/>
              <w:rPr>
                <w:sz w:val="1"/>
                <w:szCs w:val="1"/>
                <w:color w:val="auto"/>
              </w:rPr>
            </w:pPr>
          </w:p>
        </w:tc>
      </w:tr>
      <w:tr>
        <w:trPr>
          <w:trHeight w:val="288"/>
        </w:trPr>
        <w:tc>
          <w:tcPr>
            <w:tcW w:w="38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101.PRE</w:t>
            </w:r>
          </w:p>
        </w:tc>
        <w:tc>
          <w:tcPr>
            <w:tcW w:w="98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101.PRE XBRL Taxonomy Extension Presentation Linkbase.</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1Denotes document filed as an exhibit to our Quarterly Report on Form 10-Q for the period ended March 31, 2014 and incorporated herein by reference.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 Denotes document filed as an exhibit to our Current Report on Form 8-K for an event dated November 5, 2009 and incorporated herein by reference.</w:t>
      </w: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29932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380" w:right="299" w:bottom="1440" w:gutter="0" w:footer="0" w:header="0"/>
        </w:sectPr>
      </w:pPr>
    </w:p>
    <w:bookmarkStart w:id="57" w:name="page58"/>
    <w:bookmarkEnd w:id="57"/>
    <w:p>
      <w:pPr>
        <w:jc w:val="center"/>
        <w:ind w:right="40"/>
        <w:spacing w:after="0"/>
        <w:rPr>
          <w:sz w:val="20"/>
          <w:szCs w:val="20"/>
          <w:color w:val="auto"/>
        </w:rPr>
      </w:pPr>
      <w:r>
        <w:rPr>
          <w:rFonts w:ascii="Times New Roman" w:cs="Times New Roman" w:eastAsia="Times New Roman" w:hAnsi="Times New Roman"/>
          <w:sz w:val="12"/>
          <w:szCs w:val="12"/>
          <w:b w:val="1"/>
          <w:bCs w:val="1"/>
          <w:u w:val="single" w:color="auto"/>
          <w:color w:val="auto"/>
        </w:rPr>
        <w:t>SIGNATURES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60" w:type="dxa"/>
            <w:vAlign w:val="bottom"/>
          </w:tcPr>
          <w:p>
            <w:pPr>
              <w:spacing w:after="0"/>
              <w:rPr>
                <w:sz w:val="13"/>
                <w:szCs w:val="13"/>
                <w:color w:val="auto"/>
              </w:rPr>
            </w:pPr>
          </w:p>
        </w:tc>
        <w:tc>
          <w:tcPr>
            <w:tcW w:w="6960" w:type="dxa"/>
            <w:vAlign w:val="bottom"/>
            <w:gridSpan w:val="4"/>
          </w:tcPr>
          <w:p>
            <w:pPr>
              <w:ind w:left="2480"/>
              <w:spacing w:after="0"/>
              <w:rPr>
                <w:sz w:val="20"/>
                <w:szCs w:val="20"/>
                <w:color w:val="auto"/>
              </w:rPr>
            </w:pPr>
            <w:r>
              <w:rPr>
                <w:rFonts w:ascii="Times New Roman" w:cs="Times New Roman" w:eastAsia="Times New Roman" w:hAnsi="Times New Roman"/>
                <w:sz w:val="12"/>
                <w:szCs w:val="12"/>
                <w:b w:val="1"/>
                <w:bCs w:val="1"/>
                <w:color w:val="auto"/>
              </w:rPr>
              <w:t>KINGSTONE COMPANIES, INC.</w:t>
            </w:r>
          </w:p>
        </w:tc>
        <w:tc>
          <w:tcPr>
            <w:tcW w:w="1380" w:type="dxa"/>
            <w:vAlign w:val="bottom"/>
          </w:tcPr>
          <w:p>
            <w:pPr>
              <w:spacing w:after="0"/>
              <w:rPr>
                <w:sz w:val="13"/>
                <w:szCs w:val="13"/>
                <w:color w:val="auto"/>
              </w:rPr>
            </w:pPr>
          </w:p>
        </w:tc>
      </w:tr>
      <w:tr>
        <w:trPr>
          <w:trHeight w:val="295"/>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May 13, 2015</w:t>
            </w:r>
          </w:p>
        </w:tc>
        <w:tc>
          <w:tcPr>
            <w:tcW w:w="292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By:</w:t>
            </w:r>
          </w:p>
        </w:tc>
        <w:tc>
          <w:tcPr>
            <w:tcW w:w="40" w:type="dxa"/>
            <w:vAlign w:val="bottom"/>
          </w:tcPr>
          <w:p>
            <w:pPr>
              <w:spacing w:after="0"/>
              <w:rPr>
                <w:sz w:val="24"/>
                <w:szCs w:val="24"/>
                <w:color w:val="auto"/>
              </w:rPr>
            </w:pPr>
          </w:p>
        </w:tc>
        <w:tc>
          <w:tcPr>
            <w:tcW w:w="40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2"/>
                <w:szCs w:val="12"/>
                <w:color w:val="auto"/>
              </w:rPr>
              <w:t>/s/ Barry B. Goldstein</w:t>
            </w:r>
          </w:p>
        </w:tc>
        <w:tc>
          <w:tcPr>
            <w:tcW w:w="1380" w:type="dxa"/>
            <w:vAlign w:val="bottom"/>
          </w:tcPr>
          <w:p>
            <w:pPr>
              <w:spacing w:after="0"/>
              <w:rPr>
                <w:sz w:val="24"/>
                <w:szCs w:val="24"/>
                <w:color w:val="auto"/>
              </w:rPr>
            </w:pPr>
          </w:p>
        </w:tc>
      </w:tr>
      <w:tr>
        <w:trPr>
          <w:trHeight w:val="133"/>
        </w:trPr>
        <w:tc>
          <w:tcPr>
            <w:tcW w:w="31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0" w:type="dxa"/>
            <w:vAlign w:val="bottom"/>
            <w:gridSpan w:val="2"/>
          </w:tcPr>
          <w:p>
            <w:pPr>
              <w:ind w:left="420"/>
              <w:spacing w:after="0" w:line="133" w:lineRule="exact"/>
              <w:rPr>
                <w:sz w:val="20"/>
                <w:szCs w:val="20"/>
                <w:color w:val="auto"/>
              </w:rPr>
            </w:pPr>
            <w:r>
              <w:rPr>
                <w:rFonts w:ascii="Times New Roman" w:cs="Times New Roman" w:eastAsia="Times New Roman" w:hAnsi="Times New Roman"/>
                <w:sz w:val="12"/>
                <w:szCs w:val="12"/>
                <w:color w:val="auto"/>
              </w:rPr>
              <w:t>Barry B. Goldstein</w:t>
            </w:r>
          </w:p>
        </w:tc>
        <w:tc>
          <w:tcPr>
            <w:tcW w:w="1380" w:type="dxa"/>
            <w:vAlign w:val="bottom"/>
          </w:tcPr>
          <w:p>
            <w:pPr>
              <w:spacing w:after="0"/>
              <w:rPr>
                <w:sz w:val="11"/>
                <w:szCs w:val="11"/>
                <w:color w:val="auto"/>
              </w:rPr>
            </w:pPr>
          </w:p>
        </w:tc>
      </w:tr>
      <w:tr>
        <w:trPr>
          <w:trHeight w:val="155"/>
        </w:trPr>
        <w:tc>
          <w:tcPr>
            <w:tcW w:w="31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President</w:t>
            </w:r>
          </w:p>
        </w:tc>
        <w:tc>
          <w:tcPr>
            <w:tcW w:w="1380" w:type="dxa"/>
            <w:vAlign w:val="bottom"/>
          </w:tcPr>
          <w:p>
            <w:pPr>
              <w:spacing w:after="0"/>
              <w:rPr>
                <w:sz w:val="13"/>
                <w:szCs w:val="13"/>
                <w:color w:val="auto"/>
              </w:rPr>
            </w:pPr>
          </w:p>
        </w:tc>
      </w:tr>
      <w:tr>
        <w:trPr>
          <w:trHeight w:val="620"/>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May 13, 2015</w:t>
            </w:r>
          </w:p>
        </w:tc>
        <w:tc>
          <w:tcPr>
            <w:tcW w:w="2920" w:type="dxa"/>
            <w:vAlign w:val="bottom"/>
          </w:tcPr>
          <w:p>
            <w:pPr>
              <w:ind w:left="2580"/>
              <w:spacing w:after="0"/>
              <w:rPr>
                <w:sz w:val="20"/>
                <w:szCs w:val="20"/>
                <w:color w:val="auto"/>
              </w:rPr>
            </w:pPr>
            <w:r>
              <w:rPr>
                <w:rFonts w:ascii="Times New Roman" w:cs="Times New Roman" w:eastAsia="Times New Roman" w:hAnsi="Times New Roman"/>
                <w:sz w:val="12"/>
                <w:szCs w:val="12"/>
                <w:color w:val="auto"/>
              </w:rPr>
              <w:t>By:</w:t>
            </w:r>
          </w:p>
        </w:tc>
        <w:tc>
          <w:tcPr>
            <w:tcW w:w="40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 Victor Brodsky</w:t>
            </w:r>
          </w:p>
        </w:tc>
        <w:tc>
          <w:tcPr>
            <w:tcW w:w="1380" w:type="dxa"/>
            <w:vAlign w:val="bottom"/>
          </w:tcPr>
          <w:p>
            <w:pPr>
              <w:spacing w:after="0"/>
              <w:rPr>
                <w:sz w:val="24"/>
                <w:szCs w:val="24"/>
                <w:color w:val="auto"/>
              </w:rPr>
            </w:pPr>
          </w:p>
        </w:tc>
      </w:tr>
      <w:tr>
        <w:trPr>
          <w:trHeight w:val="133"/>
        </w:trPr>
        <w:tc>
          <w:tcPr>
            <w:tcW w:w="31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020" w:type="dxa"/>
            <w:vAlign w:val="bottom"/>
            <w:tcBorders>
              <w:top w:val="single" w:sz="8" w:color="auto"/>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Victor Brodsky</w:t>
            </w: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55"/>
        </w:trPr>
        <w:tc>
          <w:tcPr>
            <w:tcW w:w="31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Chief Financial Officer</w:t>
            </w:r>
          </w:p>
        </w:tc>
        <w:tc>
          <w:tcPr>
            <w:tcW w:w="1380" w:type="dxa"/>
            <w:vAlign w:val="bottom"/>
          </w:tcPr>
          <w:p>
            <w:pPr>
              <w:spacing w:after="0"/>
              <w:rPr>
                <w:sz w:val="13"/>
                <w:szCs w:val="13"/>
                <w:color w:val="auto"/>
              </w:rPr>
            </w:pPr>
          </w:p>
        </w:tc>
      </w:tr>
      <w:tr>
        <w:trPr>
          <w:trHeight w:val="638"/>
        </w:trPr>
        <w:tc>
          <w:tcPr>
            <w:tcW w:w="3160" w:type="dxa"/>
            <w:vAlign w:val="bottom"/>
          </w:tcPr>
          <w:p>
            <w:pPr>
              <w:spacing w:after="0"/>
              <w:rPr>
                <w:sz w:val="24"/>
                <w:szCs w:val="24"/>
                <w:color w:val="auto"/>
              </w:rPr>
            </w:pPr>
          </w:p>
        </w:tc>
        <w:tc>
          <w:tcPr>
            <w:tcW w:w="292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8"/>
        </w:trPr>
        <w:tc>
          <w:tcPr>
            <w:tcW w:w="3160" w:type="dxa"/>
            <w:vAlign w:val="bottom"/>
            <w:tcBorders>
              <w:bottom w:val="single" w:sz="8" w:color="808080"/>
            </w:tcBorders>
          </w:tcPr>
          <w:p>
            <w:pPr>
              <w:spacing w:after="0"/>
              <w:rPr>
                <w:sz w:val="5"/>
                <w:szCs w:val="5"/>
                <w:color w:val="auto"/>
              </w:rPr>
            </w:pPr>
          </w:p>
        </w:tc>
        <w:tc>
          <w:tcPr>
            <w:tcW w:w="29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39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-11430</wp:posOffset>
            </wp:positionV>
            <wp:extent cx="1270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00"/>
          </w:cols>
          <w:pgMar w:left="220" w:top="368" w:right="179" w:bottom="1440" w:gutter="0" w:footer="0" w:header="0"/>
        </w:sectPr>
      </w:pPr>
    </w:p>
    <w:bookmarkStart w:id="58" w:name="page59"/>
    <w:bookmarkEnd w:id="58"/>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u w:val="single" w:color="auto"/>
          <w:color w:val="auto"/>
        </w:rPr>
        <w:t>CERTIFICATION</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Barry Goldstein, certify that:</w:t>
      </w:r>
    </w:p>
    <w:p>
      <w:pPr>
        <w:spacing w:after="0" w:line="186" w:lineRule="exact"/>
        <w:rPr>
          <w:sz w:val="20"/>
          <w:szCs w:val="20"/>
          <w:color w:val="auto"/>
        </w:rPr>
      </w:pPr>
    </w:p>
    <w:p>
      <w:pPr>
        <w:ind w:left="228" w:hanging="228"/>
        <w:spacing w:after="0"/>
        <w:tabs>
          <w:tab w:leader="none" w:pos="22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Form 10-Q of Kingstone Companies, Inc.;</w:t>
      </w:r>
    </w:p>
    <w:p>
      <w:pPr>
        <w:spacing w:after="0" w:line="186" w:lineRule="exact"/>
        <w:rPr>
          <w:rFonts w:ascii="Times New Roman" w:cs="Times New Roman" w:eastAsia="Times New Roman" w:hAnsi="Times New Roman"/>
          <w:sz w:val="12"/>
          <w:szCs w:val="12"/>
          <w:color w:val="auto"/>
        </w:rPr>
      </w:pPr>
    </w:p>
    <w:p>
      <w:pPr>
        <w:ind w:left="8" w:right="40" w:hanging="8"/>
        <w:spacing w:after="0" w:line="280" w:lineRule="auto"/>
        <w:tabs>
          <w:tab w:leader="none" w:pos="242"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2"/>
          <w:szCs w:val="12"/>
          <w:color w:val="auto"/>
        </w:rPr>
      </w:pPr>
    </w:p>
    <w:p>
      <w:pPr>
        <w:ind w:left="8" w:right="80" w:hanging="8"/>
        <w:spacing w:after="0" w:line="280" w:lineRule="auto"/>
        <w:tabs>
          <w:tab w:leader="none" w:pos="242"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46" w:lineRule="exact"/>
        <w:rPr>
          <w:rFonts w:ascii="Times New Roman" w:cs="Times New Roman" w:eastAsia="Times New Roman" w:hAnsi="Times New Roman"/>
          <w:sz w:val="12"/>
          <w:szCs w:val="12"/>
          <w:color w:val="auto"/>
        </w:rPr>
      </w:pPr>
    </w:p>
    <w:p>
      <w:pPr>
        <w:ind w:left="8" w:right="300" w:hanging="8"/>
        <w:spacing w:after="0" w:line="280" w:lineRule="auto"/>
        <w:tabs>
          <w:tab w:leader="none" w:pos="242"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28" w:lineRule="exact"/>
        <w:rPr>
          <w:sz w:val="20"/>
          <w:szCs w:val="20"/>
          <w:color w:val="auto"/>
        </w:rPr>
      </w:pPr>
    </w:p>
    <w:p>
      <w:pPr>
        <w:ind w:left="868" w:right="40" w:hanging="132"/>
        <w:spacing w:after="0" w:line="280" w:lineRule="auto"/>
        <w:rPr>
          <w:sz w:val="20"/>
          <w:szCs w:val="20"/>
          <w:color w:val="auto"/>
        </w:rPr>
      </w:pPr>
      <w:r>
        <w:rPr>
          <w:rFonts w:ascii="Times New Roman" w:cs="Times New Roman" w:eastAsia="Times New Roman" w:hAnsi="Times New Roman"/>
          <w:sz w:val="12"/>
          <w:szCs w:val="12"/>
          <w:color w:val="auto"/>
        </w:rPr>
        <w:t>(a)Designed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28" w:lineRule="exact"/>
        <w:rPr>
          <w:sz w:val="20"/>
          <w:szCs w:val="20"/>
          <w:color w:val="auto"/>
        </w:rPr>
      </w:pPr>
    </w:p>
    <w:p>
      <w:pPr>
        <w:ind w:left="868" w:right="20" w:hanging="139"/>
        <w:spacing w:after="0" w:line="280" w:lineRule="auto"/>
        <w:rPr>
          <w:sz w:val="20"/>
          <w:szCs w:val="20"/>
          <w:color w:val="auto"/>
        </w:rPr>
      </w:pPr>
      <w:r>
        <w:rPr>
          <w:rFonts w:ascii="Times New Roman" w:cs="Times New Roman" w:eastAsia="Times New Roman" w:hAnsi="Times New Roman"/>
          <w:sz w:val="12"/>
          <w:szCs w:val="12"/>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sz w:val="20"/>
          <w:szCs w:val="20"/>
          <w:color w:val="auto"/>
        </w:rPr>
      </w:pPr>
    </w:p>
    <w:p>
      <w:pPr>
        <w:ind w:left="868" w:right="40" w:hanging="132"/>
        <w:spacing w:after="0" w:line="280" w:lineRule="auto"/>
        <w:rPr>
          <w:sz w:val="20"/>
          <w:szCs w:val="20"/>
          <w:color w:val="auto"/>
        </w:rPr>
      </w:pPr>
      <w:r>
        <w:rPr>
          <w:rFonts w:ascii="Times New Roman" w:cs="Times New Roman" w:eastAsia="Times New Roman" w:hAnsi="Times New Roman"/>
          <w:sz w:val="12"/>
          <w:szCs w:val="12"/>
          <w:color w:val="auto"/>
        </w:rPr>
        <w:t>(c)Evaluated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sz w:val="20"/>
          <w:szCs w:val="20"/>
          <w:color w:val="auto"/>
        </w:rPr>
      </w:pPr>
    </w:p>
    <w:p>
      <w:pPr>
        <w:ind w:left="868" w:right="20" w:hanging="139"/>
        <w:spacing w:after="0" w:line="280" w:lineRule="auto"/>
        <w:rPr>
          <w:sz w:val="20"/>
          <w:szCs w:val="20"/>
          <w:color w:val="auto"/>
        </w:rPr>
      </w:pPr>
      <w:r>
        <w:rPr>
          <w:rFonts w:ascii="Times New Roman" w:cs="Times New Roman" w:eastAsia="Times New Roman" w:hAnsi="Times New Roman"/>
          <w:sz w:val="12"/>
          <w:szCs w:val="12"/>
          <w:color w:val="auto"/>
        </w:rPr>
        <w:t>(d)Disclosed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46" w:lineRule="exact"/>
        <w:rPr>
          <w:sz w:val="20"/>
          <w:szCs w:val="20"/>
          <w:color w:val="auto"/>
        </w:rPr>
      </w:pPr>
    </w:p>
    <w:p>
      <w:pPr>
        <w:ind w:left="8" w:right="200" w:hanging="8"/>
        <w:spacing w:after="0" w:line="280" w:lineRule="auto"/>
        <w:tabs>
          <w:tab w:leader="none" w:pos="242"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28" w:lineRule="exact"/>
        <w:rPr>
          <w:sz w:val="20"/>
          <w:szCs w:val="20"/>
          <w:color w:val="auto"/>
        </w:rPr>
      </w:pPr>
    </w:p>
    <w:p>
      <w:pPr>
        <w:ind w:left="868" w:right="20" w:hanging="132"/>
        <w:spacing w:after="0" w:line="280" w:lineRule="auto"/>
        <w:rPr>
          <w:sz w:val="20"/>
          <w:szCs w:val="20"/>
          <w:color w:val="auto"/>
        </w:rPr>
      </w:pPr>
      <w:r>
        <w:rPr>
          <w:rFonts w:ascii="Times New Roman" w:cs="Times New Roman" w:eastAsia="Times New Roman" w:hAnsi="Times New Roman"/>
          <w:sz w:val="12"/>
          <w:szCs w:val="12"/>
          <w:color w:val="auto"/>
        </w:rPr>
        <w:t>(a)All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28" w:lineRule="exact"/>
        <w:rPr>
          <w:sz w:val="20"/>
          <w:szCs w:val="20"/>
          <w:color w:val="auto"/>
        </w:rPr>
      </w:pPr>
    </w:p>
    <w:p>
      <w:pPr>
        <w:ind w:left="728"/>
        <w:spacing w:after="0"/>
        <w:rPr>
          <w:sz w:val="20"/>
          <w:szCs w:val="20"/>
          <w:color w:val="auto"/>
        </w:rPr>
      </w:pPr>
      <w:r>
        <w:rPr>
          <w:rFonts w:ascii="Times New Roman" w:cs="Times New Roman" w:eastAsia="Times New Roman" w:hAnsi="Times New Roman"/>
          <w:sz w:val="12"/>
          <w:szCs w:val="12"/>
          <w:color w:val="auto"/>
        </w:rPr>
        <w:t>(b)Any fraud, whether or not material, that involves management or other employees who have a significant role in the small business issuer’s internal control over financial reporting.</w:t>
      </w:r>
    </w:p>
    <w:p>
      <w:pPr>
        <w:spacing w:after="0" w:line="33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Date: May 13, 2015</w:t>
            </w:r>
          </w:p>
        </w:tc>
        <w:tc>
          <w:tcPr>
            <w:tcW w:w="836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/s/ Barry B. Goldstein</w:t>
            </w:r>
          </w:p>
        </w:tc>
        <w:tc>
          <w:tcPr>
            <w:tcW w:w="20" w:type="dxa"/>
            <w:vAlign w:val="bottom"/>
          </w:tcPr>
          <w:p>
            <w:pPr>
              <w:spacing w:after="0"/>
              <w:rPr>
                <w:sz w:val="12"/>
                <w:szCs w:val="12"/>
                <w:color w:val="auto"/>
              </w:rPr>
            </w:pPr>
          </w:p>
        </w:tc>
      </w:tr>
      <w:tr>
        <w:trPr>
          <w:trHeight w:val="144"/>
        </w:trPr>
        <w:tc>
          <w:tcPr>
            <w:tcW w:w="3120" w:type="dxa"/>
            <w:vAlign w:val="bottom"/>
          </w:tcPr>
          <w:p>
            <w:pPr>
              <w:spacing w:after="0"/>
              <w:rPr>
                <w:sz w:val="12"/>
                <w:szCs w:val="12"/>
                <w:color w:val="auto"/>
              </w:rPr>
            </w:pPr>
          </w:p>
        </w:tc>
        <w:tc>
          <w:tcPr>
            <w:tcW w:w="836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Barry B. Goldstein</w:t>
            </w:r>
          </w:p>
        </w:tc>
        <w:tc>
          <w:tcPr>
            <w:tcW w:w="20" w:type="dxa"/>
            <w:vAlign w:val="bottom"/>
          </w:tcPr>
          <w:p>
            <w:pPr>
              <w:spacing w:after="0"/>
              <w:rPr>
                <w:sz w:val="12"/>
                <w:szCs w:val="12"/>
                <w:color w:val="auto"/>
              </w:rPr>
            </w:pPr>
          </w:p>
        </w:tc>
      </w:tr>
      <w:tr>
        <w:trPr>
          <w:trHeight w:val="155"/>
        </w:trPr>
        <w:tc>
          <w:tcPr>
            <w:tcW w:w="3120" w:type="dxa"/>
            <w:vAlign w:val="bottom"/>
          </w:tcPr>
          <w:p>
            <w:pPr>
              <w:spacing w:after="0"/>
              <w:rPr>
                <w:sz w:val="13"/>
                <w:szCs w:val="13"/>
                <w:color w:val="auto"/>
              </w:rPr>
            </w:pPr>
          </w:p>
        </w:tc>
        <w:tc>
          <w:tcPr>
            <w:tcW w:w="836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Principal Executive Officer</w:t>
            </w:r>
          </w:p>
        </w:tc>
        <w:tc>
          <w:tcPr>
            <w:tcW w:w="20" w:type="dxa"/>
            <w:vAlign w:val="bottom"/>
          </w:tcPr>
          <w:p>
            <w:pPr>
              <w:spacing w:after="0"/>
              <w:rPr>
                <w:sz w:val="13"/>
                <w:szCs w:val="13"/>
                <w:color w:val="auto"/>
              </w:rPr>
            </w:pPr>
          </w:p>
        </w:tc>
      </w:tr>
      <w:tr>
        <w:trPr>
          <w:trHeight w:val="558"/>
        </w:trPr>
        <w:tc>
          <w:tcPr>
            <w:tcW w:w="312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3120" w:type="dxa"/>
            <w:vAlign w:val="bottom"/>
            <w:tcBorders>
              <w:bottom w:val="single" w:sz="8" w:color="808080"/>
            </w:tcBorders>
          </w:tcPr>
          <w:p>
            <w:pPr>
              <w:spacing w:after="0"/>
              <w:rPr>
                <w:sz w:val="24"/>
                <w:szCs w:val="24"/>
                <w:color w:val="auto"/>
              </w:rPr>
            </w:pPr>
          </w:p>
        </w:tc>
        <w:tc>
          <w:tcPr>
            <w:tcW w:w="8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-313055</wp:posOffset>
            </wp:positionV>
            <wp:extent cx="311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-313055</wp:posOffset>
            </wp:positionV>
            <wp:extent cx="311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7294245</wp:posOffset>
            </wp:positionH>
            <wp:positionV relativeFrom="paragraph">
              <wp:posOffset>-11430</wp:posOffset>
            </wp:positionV>
            <wp:extent cx="1270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08"/>
          </w:cols>
          <w:pgMar w:left="212" w:top="287" w:right="179" w:bottom="1440" w:gutter="0" w:footer="0" w:header="0"/>
        </w:sectPr>
      </w:pPr>
    </w:p>
    <w:bookmarkStart w:id="59" w:name="page60"/>
    <w:bookmarkEnd w:id="59"/>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u w:val="single" w:color="auto"/>
          <w:color w:val="auto"/>
        </w:rPr>
        <w:t>CERTIFICATION</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Victor Brodsky, certify that:</w:t>
      </w:r>
    </w:p>
    <w:p>
      <w:pPr>
        <w:spacing w:after="0" w:line="186" w:lineRule="exact"/>
        <w:rPr>
          <w:sz w:val="20"/>
          <w:szCs w:val="20"/>
          <w:color w:val="auto"/>
        </w:rPr>
      </w:pPr>
    </w:p>
    <w:p>
      <w:pPr>
        <w:ind w:left="228" w:hanging="228"/>
        <w:spacing w:after="0"/>
        <w:tabs>
          <w:tab w:leader="none" w:pos="22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Form 10-Q of Kingstone Companies, Inc.;</w:t>
      </w:r>
    </w:p>
    <w:p>
      <w:pPr>
        <w:spacing w:after="0" w:line="186" w:lineRule="exact"/>
        <w:rPr>
          <w:rFonts w:ascii="Times New Roman" w:cs="Times New Roman" w:eastAsia="Times New Roman" w:hAnsi="Times New Roman"/>
          <w:sz w:val="12"/>
          <w:szCs w:val="12"/>
          <w:color w:val="auto"/>
        </w:rPr>
      </w:pPr>
    </w:p>
    <w:p>
      <w:pPr>
        <w:ind w:left="8" w:right="40" w:hanging="8"/>
        <w:spacing w:after="0" w:line="280" w:lineRule="auto"/>
        <w:tabs>
          <w:tab w:leader="none" w:pos="24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2"/>
          <w:szCs w:val="12"/>
          <w:color w:val="auto"/>
        </w:rPr>
      </w:pPr>
    </w:p>
    <w:p>
      <w:pPr>
        <w:ind w:left="8" w:right="80" w:hanging="8"/>
        <w:spacing w:after="0" w:line="280" w:lineRule="auto"/>
        <w:tabs>
          <w:tab w:leader="none" w:pos="24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46" w:lineRule="exact"/>
        <w:rPr>
          <w:rFonts w:ascii="Times New Roman" w:cs="Times New Roman" w:eastAsia="Times New Roman" w:hAnsi="Times New Roman"/>
          <w:sz w:val="12"/>
          <w:szCs w:val="12"/>
          <w:color w:val="auto"/>
        </w:rPr>
      </w:pPr>
    </w:p>
    <w:p>
      <w:pPr>
        <w:ind w:left="8" w:right="300" w:hanging="8"/>
        <w:spacing w:after="0" w:line="280" w:lineRule="auto"/>
        <w:tabs>
          <w:tab w:leader="none" w:pos="24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28" w:lineRule="exact"/>
        <w:rPr>
          <w:sz w:val="20"/>
          <w:szCs w:val="20"/>
          <w:color w:val="auto"/>
        </w:rPr>
      </w:pPr>
    </w:p>
    <w:p>
      <w:pPr>
        <w:ind w:left="868" w:right="40" w:hanging="132"/>
        <w:spacing w:after="0" w:line="280" w:lineRule="auto"/>
        <w:rPr>
          <w:sz w:val="20"/>
          <w:szCs w:val="20"/>
          <w:color w:val="auto"/>
        </w:rPr>
      </w:pPr>
      <w:r>
        <w:rPr>
          <w:rFonts w:ascii="Times New Roman" w:cs="Times New Roman" w:eastAsia="Times New Roman" w:hAnsi="Times New Roman"/>
          <w:sz w:val="12"/>
          <w:szCs w:val="12"/>
          <w:color w:val="auto"/>
        </w:rPr>
        <w:t>(a)Designed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28" w:lineRule="exact"/>
        <w:rPr>
          <w:sz w:val="20"/>
          <w:szCs w:val="20"/>
          <w:color w:val="auto"/>
        </w:rPr>
      </w:pPr>
    </w:p>
    <w:p>
      <w:pPr>
        <w:ind w:left="868" w:right="20" w:hanging="139"/>
        <w:spacing w:after="0" w:line="280" w:lineRule="auto"/>
        <w:rPr>
          <w:sz w:val="20"/>
          <w:szCs w:val="20"/>
          <w:color w:val="auto"/>
        </w:rPr>
      </w:pPr>
      <w:r>
        <w:rPr>
          <w:rFonts w:ascii="Times New Roman" w:cs="Times New Roman" w:eastAsia="Times New Roman" w:hAnsi="Times New Roman"/>
          <w:sz w:val="12"/>
          <w:szCs w:val="12"/>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sz w:val="20"/>
          <w:szCs w:val="20"/>
          <w:color w:val="auto"/>
        </w:rPr>
      </w:pPr>
    </w:p>
    <w:p>
      <w:pPr>
        <w:ind w:left="868" w:right="40" w:hanging="132"/>
        <w:spacing w:after="0" w:line="280" w:lineRule="auto"/>
        <w:rPr>
          <w:sz w:val="20"/>
          <w:szCs w:val="20"/>
          <w:color w:val="auto"/>
        </w:rPr>
      </w:pPr>
      <w:r>
        <w:rPr>
          <w:rFonts w:ascii="Times New Roman" w:cs="Times New Roman" w:eastAsia="Times New Roman" w:hAnsi="Times New Roman"/>
          <w:sz w:val="12"/>
          <w:szCs w:val="12"/>
          <w:color w:val="auto"/>
        </w:rPr>
        <w:t>(c)Evaluated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sz w:val="20"/>
          <w:szCs w:val="20"/>
          <w:color w:val="auto"/>
        </w:rPr>
      </w:pPr>
    </w:p>
    <w:p>
      <w:pPr>
        <w:ind w:left="868" w:right="20" w:hanging="139"/>
        <w:spacing w:after="0" w:line="280" w:lineRule="auto"/>
        <w:rPr>
          <w:sz w:val="20"/>
          <w:szCs w:val="20"/>
          <w:color w:val="auto"/>
        </w:rPr>
      </w:pPr>
      <w:r>
        <w:rPr>
          <w:rFonts w:ascii="Times New Roman" w:cs="Times New Roman" w:eastAsia="Times New Roman" w:hAnsi="Times New Roman"/>
          <w:sz w:val="12"/>
          <w:szCs w:val="12"/>
          <w:color w:val="auto"/>
        </w:rPr>
        <w:t>(d)Disclosed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46" w:lineRule="exact"/>
        <w:rPr>
          <w:sz w:val="20"/>
          <w:szCs w:val="20"/>
          <w:color w:val="auto"/>
        </w:rPr>
      </w:pPr>
    </w:p>
    <w:p>
      <w:pPr>
        <w:ind w:left="8" w:right="200" w:hanging="8"/>
        <w:spacing w:after="0" w:line="280" w:lineRule="auto"/>
        <w:tabs>
          <w:tab w:leader="none" w:pos="242"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28" w:lineRule="exact"/>
        <w:rPr>
          <w:sz w:val="20"/>
          <w:szCs w:val="20"/>
          <w:color w:val="auto"/>
        </w:rPr>
      </w:pPr>
    </w:p>
    <w:p>
      <w:pPr>
        <w:ind w:left="868" w:right="20" w:hanging="132"/>
        <w:spacing w:after="0" w:line="280" w:lineRule="auto"/>
        <w:rPr>
          <w:sz w:val="20"/>
          <w:szCs w:val="20"/>
          <w:color w:val="auto"/>
        </w:rPr>
      </w:pPr>
      <w:r>
        <w:rPr>
          <w:rFonts w:ascii="Times New Roman" w:cs="Times New Roman" w:eastAsia="Times New Roman" w:hAnsi="Times New Roman"/>
          <w:sz w:val="12"/>
          <w:szCs w:val="12"/>
          <w:color w:val="auto"/>
        </w:rPr>
        <w:t>(a)All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28" w:lineRule="exact"/>
        <w:rPr>
          <w:sz w:val="20"/>
          <w:szCs w:val="20"/>
          <w:color w:val="auto"/>
        </w:rPr>
      </w:pPr>
    </w:p>
    <w:p>
      <w:pPr>
        <w:ind w:left="728"/>
        <w:spacing w:after="0"/>
        <w:rPr>
          <w:sz w:val="20"/>
          <w:szCs w:val="20"/>
          <w:color w:val="auto"/>
        </w:rPr>
      </w:pPr>
      <w:r>
        <w:rPr>
          <w:rFonts w:ascii="Times New Roman" w:cs="Times New Roman" w:eastAsia="Times New Roman" w:hAnsi="Times New Roman"/>
          <w:sz w:val="12"/>
          <w:szCs w:val="12"/>
          <w:color w:val="auto"/>
        </w:rPr>
        <w:t>(b)Any fraud, whether or not material, that involves management or other employees who have a significant role in the small business issuer’s internal control over financial reporting.</w:t>
      </w:r>
    </w:p>
    <w:p>
      <w:pPr>
        <w:spacing w:after="0" w:line="33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Date: May 13, 2015</w:t>
            </w:r>
          </w:p>
        </w:tc>
        <w:tc>
          <w:tcPr>
            <w:tcW w:w="838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/s/ Victor Brodsky</w:t>
            </w:r>
          </w:p>
        </w:tc>
      </w:tr>
      <w:tr>
        <w:trPr>
          <w:trHeight w:val="144"/>
        </w:trPr>
        <w:tc>
          <w:tcPr>
            <w:tcW w:w="3120" w:type="dxa"/>
            <w:vAlign w:val="bottom"/>
          </w:tcPr>
          <w:p>
            <w:pPr>
              <w:spacing w:after="0"/>
              <w:rPr>
                <w:sz w:val="12"/>
                <w:szCs w:val="12"/>
                <w:color w:val="auto"/>
              </w:rPr>
            </w:pPr>
          </w:p>
        </w:tc>
        <w:tc>
          <w:tcPr>
            <w:tcW w:w="838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Victor Brodsky</w:t>
            </w:r>
          </w:p>
        </w:tc>
      </w:tr>
      <w:tr>
        <w:trPr>
          <w:trHeight w:val="155"/>
        </w:trPr>
        <w:tc>
          <w:tcPr>
            <w:tcW w:w="3120" w:type="dxa"/>
            <w:vAlign w:val="bottom"/>
          </w:tcPr>
          <w:p>
            <w:pPr>
              <w:spacing w:after="0"/>
              <w:rPr>
                <w:sz w:val="13"/>
                <w:szCs w:val="13"/>
                <w:color w:val="auto"/>
              </w:rPr>
            </w:pPr>
          </w:p>
        </w:tc>
        <w:tc>
          <w:tcPr>
            <w:tcW w:w="8380" w:type="dxa"/>
            <w:vAlign w:val="bottom"/>
          </w:tcPr>
          <w:p>
            <w:pPr>
              <w:ind w:left="2160"/>
              <w:spacing w:after="0"/>
              <w:rPr>
                <w:sz w:val="20"/>
                <w:szCs w:val="20"/>
                <w:color w:val="auto"/>
              </w:rPr>
            </w:pPr>
            <w:r>
              <w:rPr>
                <w:rFonts w:ascii="Times New Roman" w:cs="Times New Roman" w:eastAsia="Times New Roman" w:hAnsi="Times New Roman"/>
                <w:sz w:val="12"/>
                <w:szCs w:val="12"/>
                <w:color w:val="auto"/>
              </w:rPr>
              <w:t>Principal Financial Officer</w:t>
            </w:r>
          </w:p>
        </w:tc>
      </w:tr>
      <w:tr>
        <w:trPr>
          <w:trHeight w:val="238"/>
        </w:trPr>
        <w:tc>
          <w:tcPr>
            <w:tcW w:w="3120" w:type="dxa"/>
            <w:vAlign w:val="bottom"/>
            <w:tcBorders>
              <w:bottom w:val="single" w:sz="8" w:color="808080"/>
            </w:tcBorders>
          </w:tcPr>
          <w:p>
            <w:pPr>
              <w:spacing w:after="0"/>
              <w:rPr>
                <w:sz w:val="20"/>
                <w:szCs w:val="20"/>
                <w:color w:val="auto"/>
              </w:rPr>
            </w:pPr>
          </w:p>
        </w:tc>
        <w:tc>
          <w:tcPr>
            <w:tcW w:w="838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7294245</wp:posOffset>
            </wp:positionH>
            <wp:positionV relativeFrom="paragraph">
              <wp:posOffset>-11430</wp:posOffset>
            </wp:positionV>
            <wp:extent cx="1270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08"/>
          </w:cols>
          <w:pgMar w:left="212" w:top="125" w:right="179" w:bottom="1440" w:gutter="0" w:footer="0" w:header="0"/>
        </w:sectPr>
      </w:pPr>
    </w:p>
    <w:bookmarkStart w:id="60" w:name="page61"/>
    <w:bookmarkEnd w:id="60"/>
    <w:p>
      <w:pPr>
        <w:ind w:left="1074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AND CHIEF FINANCIAL OFFICER</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PURSUANT TO</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5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undersigned hereby certify, pursuant to, and as required by, 18 U.S.C. Section 1350, as adopted pursuant to Section 906 of the Sarbanes-Oxley Act of 2002, that the Quarterly Report of Kingstone Companies, Inc. (the “Company”) on Form 10-Q for the period ended March 31, 2015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Date: May 13, 2015</w:t>
            </w:r>
          </w:p>
        </w:tc>
        <w:tc>
          <w:tcPr>
            <w:tcW w:w="840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/s/ Barry B. Goldstein</w:t>
            </w:r>
          </w:p>
        </w:tc>
      </w:tr>
      <w:tr>
        <w:trPr>
          <w:trHeight w:val="144"/>
        </w:trPr>
        <w:tc>
          <w:tcPr>
            <w:tcW w:w="3100" w:type="dxa"/>
            <w:vAlign w:val="bottom"/>
          </w:tcPr>
          <w:p>
            <w:pPr>
              <w:spacing w:after="0"/>
              <w:rPr>
                <w:sz w:val="12"/>
                <w:szCs w:val="12"/>
                <w:color w:val="auto"/>
              </w:rPr>
            </w:pPr>
          </w:p>
        </w:tc>
        <w:tc>
          <w:tcPr>
            <w:tcW w:w="840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Barry B. Goldstein</w:t>
            </w:r>
          </w:p>
        </w:tc>
      </w:tr>
      <w:tr>
        <w:trPr>
          <w:trHeight w:val="155"/>
        </w:trPr>
        <w:tc>
          <w:tcPr>
            <w:tcW w:w="3100" w:type="dxa"/>
            <w:vAlign w:val="bottom"/>
          </w:tcPr>
          <w:p>
            <w:pPr>
              <w:spacing w:after="0"/>
              <w:rPr>
                <w:sz w:val="13"/>
                <w:szCs w:val="13"/>
                <w:color w:val="auto"/>
              </w:rPr>
            </w:pPr>
          </w:p>
        </w:tc>
        <w:tc>
          <w:tcPr>
            <w:tcW w:w="840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277"/>
        </w:trPr>
        <w:tc>
          <w:tcPr>
            <w:tcW w:w="3100" w:type="dxa"/>
            <w:vAlign w:val="bottom"/>
          </w:tcPr>
          <w:p>
            <w:pPr>
              <w:spacing w:after="0"/>
              <w:rPr>
                <w:sz w:val="24"/>
                <w:szCs w:val="24"/>
                <w:color w:val="auto"/>
              </w:rPr>
            </w:pPr>
          </w:p>
        </w:tc>
        <w:tc>
          <w:tcPr>
            <w:tcW w:w="840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/s/ Victor Brodsky</w:t>
            </w:r>
          </w:p>
        </w:tc>
      </w:tr>
      <w:tr>
        <w:trPr>
          <w:trHeight w:val="144"/>
        </w:trPr>
        <w:tc>
          <w:tcPr>
            <w:tcW w:w="3100" w:type="dxa"/>
            <w:vAlign w:val="bottom"/>
          </w:tcPr>
          <w:p>
            <w:pPr>
              <w:spacing w:after="0"/>
              <w:rPr>
                <w:sz w:val="12"/>
                <w:szCs w:val="12"/>
                <w:color w:val="auto"/>
              </w:rPr>
            </w:pPr>
          </w:p>
        </w:tc>
        <w:tc>
          <w:tcPr>
            <w:tcW w:w="840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Victor Brodsky</w:t>
            </w:r>
          </w:p>
        </w:tc>
      </w:tr>
      <w:tr>
        <w:trPr>
          <w:trHeight w:val="155"/>
        </w:trPr>
        <w:tc>
          <w:tcPr>
            <w:tcW w:w="3100" w:type="dxa"/>
            <w:vAlign w:val="bottom"/>
          </w:tcPr>
          <w:p>
            <w:pPr>
              <w:spacing w:after="0"/>
              <w:rPr>
                <w:sz w:val="13"/>
                <w:szCs w:val="13"/>
                <w:color w:val="auto"/>
              </w:rPr>
            </w:pPr>
          </w:p>
        </w:tc>
        <w:tc>
          <w:tcPr>
            <w:tcW w:w="840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544"/>
        </w:trPr>
        <w:tc>
          <w:tcPr>
            <w:tcW w:w="3100" w:type="dxa"/>
            <w:vAlign w:val="bottom"/>
            <w:tcBorders>
              <w:bottom w:val="single" w:sz="8" w:color="808080"/>
            </w:tcBorders>
          </w:tcPr>
          <w:p>
            <w:pPr>
              <w:spacing w:after="0"/>
              <w:rPr>
                <w:sz w:val="24"/>
                <w:szCs w:val="24"/>
                <w:color w:val="auto"/>
              </w:rPr>
            </w:pPr>
          </w:p>
        </w:tc>
        <w:tc>
          <w:tcPr>
            <w:tcW w:w="8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-11430</wp:posOffset>
            </wp:positionV>
            <wp:extent cx="1270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sectPr>
      <w:pgSz w:w="11900" w:h="16838" w:orient="portrait"/>
      <w:cols w:equalWidth="0" w:num="1">
        <w:col w:w="11500"/>
      </w:cols>
      <w:pgMar w:left="220" w:top="120"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upperLetter"/>
      <w:start w:val="1"/>
    </w:lvl>
  </w:abstractNum>
  <w:abstractNum w:abstractNumId="5">
    <w:nsid w:val="1F16E9E8"/>
    <w:multiLevelType w:val="hybridMultilevel"/>
    <w:lvl w:ilvl="0">
      <w:lvlJc w:val="left"/>
      <w:lvlText w:val="(%1)"/>
      <w:numFmt w:val="upperLetter"/>
      <w:start w:val="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5"/>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2020-01-23T15:03:27Z</dcterms:created>
  <dcterms:modified xsi:type="dcterms:W3CDTF">2020-01-23T15:03:27Z</dcterms:modified>
</cp:coreProperties>
</file>